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CB23A6" w14:textId="77777777" w:rsidR="009662A3" w:rsidRDefault="009662A3" w:rsidP="009662A3">
      <w:pPr>
        <w:pStyle w:val="GvdeMetni"/>
        <w:rPr>
          <w:b/>
          <w:bCs/>
        </w:rPr>
      </w:pPr>
      <w:bookmarkStart w:id="0" w:name="_Toc38715714"/>
      <w:r w:rsidRPr="00AE6D07">
        <w:rPr>
          <w:noProof/>
          <w:lang w:eastAsia="tr-TR"/>
        </w:rPr>
        <w:drawing>
          <wp:anchor distT="0" distB="0" distL="114300" distR="114300" simplePos="0" relativeHeight="251700224" behindDoc="0" locked="0" layoutInCell="1" allowOverlap="1" wp14:anchorId="31CB2DC9" wp14:editId="31CB2DCA">
            <wp:simplePos x="0" y="0"/>
            <wp:positionH relativeFrom="column">
              <wp:posOffset>2058035</wp:posOffset>
            </wp:positionH>
            <wp:positionV relativeFrom="paragraph">
              <wp:posOffset>114935</wp:posOffset>
            </wp:positionV>
            <wp:extent cx="1701165" cy="1724025"/>
            <wp:effectExtent l="0" t="0" r="0" b="9525"/>
            <wp:wrapSquare wrapText="bothSides"/>
            <wp:docPr id="1" name="Resim 1" descr="F:\TEZ\YÖK TEZLERİ\inönü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Z\YÖK TEZLERİ\inönü 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0116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B23A7" w14:textId="77777777" w:rsidR="009662A3" w:rsidRDefault="009662A3" w:rsidP="009662A3">
      <w:pPr>
        <w:pStyle w:val="GvdeMetni"/>
        <w:rPr>
          <w:b/>
          <w:bCs/>
        </w:rPr>
      </w:pPr>
      <w:r>
        <w:rPr>
          <w:b/>
          <w:bCs/>
        </w:rPr>
        <w:t xml:space="preserve"> </w:t>
      </w:r>
    </w:p>
    <w:p w14:paraId="31CB23A8" w14:textId="77777777" w:rsidR="009662A3" w:rsidRDefault="009662A3" w:rsidP="009662A3">
      <w:pPr>
        <w:pStyle w:val="GvdeMetni"/>
      </w:pPr>
    </w:p>
    <w:p w14:paraId="31CB23A9" w14:textId="77777777" w:rsidR="009662A3" w:rsidRDefault="009662A3" w:rsidP="009662A3">
      <w:pPr>
        <w:pStyle w:val="GvdeMetni"/>
      </w:pPr>
    </w:p>
    <w:p w14:paraId="31CB23AA" w14:textId="77777777" w:rsidR="009662A3" w:rsidRDefault="009662A3" w:rsidP="009662A3">
      <w:pPr>
        <w:pStyle w:val="GvdeMetni"/>
      </w:pPr>
    </w:p>
    <w:p w14:paraId="31CB23AB" w14:textId="77777777" w:rsidR="009662A3" w:rsidRPr="00015F83" w:rsidRDefault="009662A3" w:rsidP="009662A3">
      <w:pPr>
        <w:pStyle w:val="GvdeMetni"/>
        <w:rPr>
          <w:b/>
        </w:rPr>
      </w:pPr>
    </w:p>
    <w:p w14:paraId="31CB23AC" w14:textId="77777777" w:rsidR="009662A3" w:rsidRPr="00015F83" w:rsidRDefault="009662A3" w:rsidP="009662A3">
      <w:pPr>
        <w:pStyle w:val="GvdeMetni"/>
        <w:rPr>
          <w:b/>
        </w:rPr>
      </w:pPr>
    </w:p>
    <w:p w14:paraId="31CB23AD" w14:textId="77777777" w:rsidR="009662A3" w:rsidRPr="00015F83" w:rsidRDefault="009662A3" w:rsidP="009662A3">
      <w:pPr>
        <w:pStyle w:val="GvdeMetni"/>
        <w:rPr>
          <w:b/>
        </w:rPr>
      </w:pPr>
    </w:p>
    <w:p w14:paraId="31CB23AE" w14:textId="77777777" w:rsidR="009662A3" w:rsidRPr="00015F83" w:rsidRDefault="009662A3" w:rsidP="009662A3">
      <w:pPr>
        <w:pStyle w:val="GvdeMetni"/>
        <w:rPr>
          <w:b/>
        </w:rPr>
      </w:pPr>
    </w:p>
    <w:p w14:paraId="31CB23AF" w14:textId="77777777" w:rsidR="009662A3" w:rsidRDefault="009662A3" w:rsidP="009662A3">
      <w:pPr>
        <w:pStyle w:val="GvdeMetni"/>
        <w:rPr>
          <w:b/>
        </w:rPr>
      </w:pPr>
    </w:p>
    <w:p w14:paraId="31CB23B0" w14:textId="77777777" w:rsidR="009662A3" w:rsidRDefault="009662A3" w:rsidP="009662A3">
      <w:pPr>
        <w:pStyle w:val="GvdeMetni"/>
        <w:rPr>
          <w:b/>
        </w:rPr>
      </w:pPr>
    </w:p>
    <w:p w14:paraId="31CB23B1" w14:textId="77777777" w:rsidR="009662A3" w:rsidRDefault="009662A3" w:rsidP="009662A3">
      <w:pPr>
        <w:pStyle w:val="GvdeMetni"/>
        <w:rPr>
          <w:b/>
        </w:rPr>
      </w:pPr>
    </w:p>
    <w:p w14:paraId="31CB23B2" w14:textId="77777777" w:rsidR="009662A3" w:rsidRPr="00015F83" w:rsidRDefault="009662A3" w:rsidP="009662A3">
      <w:pPr>
        <w:pStyle w:val="GvdeMetni"/>
        <w:rPr>
          <w:b/>
        </w:rPr>
      </w:pPr>
    </w:p>
    <w:p w14:paraId="31CB23B3" w14:textId="77777777" w:rsidR="009662A3" w:rsidRDefault="009662A3" w:rsidP="009662A3">
      <w:pPr>
        <w:pStyle w:val="GvdeMetni"/>
        <w:spacing w:line="276" w:lineRule="auto"/>
        <w:jc w:val="right"/>
        <w:rPr>
          <w:b/>
        </w:rPr>
      </w:pPr>
    </w:p>
    <w:p w14:paraId="31CB23B4" w14:textId="77777777" w:rsidR="009662A3" w:rsidRDefault="009662A3" w:rsidP="009662A3">
      <w:pPr>
        <w:pStyle w:val="GvdeMetni"/>
        <w:spacing w:line="276" w:lineRule="auto"/>
        <w:jc w:val="center"/>
        <w:rPr>
          <w:b/>
        </w:rPr>
      </w:pPr>
      <w:r w:rsidRPr="00015F83">
        <w:rPr>
          <w:b/>
        </w:rPr>
        <w:t>T.C.</w:t>
      </w:r>
    </w:p>
    <w:p w14:paraId="31CB23B5" w14:textId="77777777" w:rsidR="009662A3" w:rsidRPr="00015F83" w:rsidRDefault="009662A3" w:rsidP="009662A3">
      <w:pPr>
        <w:pStyle w:val="GvdeMetni"/>
        <w:spacing w:line="276" w:lineRule="auto"/>
        <w:jc w:val="center"/>
        <w:rPr>
          <w:b/>
        </w:rPr>
      </w:pPr>
    </w:p>
    <w:p w14:paraId="31CB23B6" w14:textId="77777777" w:rsidR="009662A3" w:rsidRPr="00015F83" w:rsidRDefault="009662A3" w:rsidP="009662A3">
      <w:pPr>
        <w:spacing w:line="276" w:lineRule="auto"/>
        <w:jc w:val="center"/>
        <w:rPr>
          <w:b/>
          <w:szCs w:val="24"/>
        </w:rPr>
      </w:pPr>
      <w:r w:rsidRPr="00015F83">
        <w:rPr>
          <w:b/>
          <w:szCs w:val="24"/>
        </w:rPr>
        <w:t>İNÖNÜ ÜNİVERSİTESİ TIP FAKÜLTESİ</w:t>
      </w:r>
    </w:p>
    <w:p w14:paraId="31CB23B7" w14:textId="77777777" w:rsidR="009662A3" w:rsidRPr="00015F83" w:rsidRDefault="009662A3" w:rsidP="009662A3">
      <w:pPr>
        <w:spacing w:line="276" w:lineRule="auto"/>
        <w:jc w:val="center"/>
        <w:rPr>
          <w:b/>
          <w:szCs w:val="24"/>
        </w:rPr>
      </w:pPr>
      <w:r w:rsidRPr="00015F83">
        <w:rPr>
          <w:b/>
          <w:szCs w:val="24"/>
        </w:rPr>
        <w:t>GENEL CERRAHİ ANABİLİM DALI</w:t>
      </w:r>
    </w:p>
    <w:p w14:paraId="31CB23B8" w14:textId="77777777" w:rsidR="009662A3" w:rsidRPr="00015F83" w:rsidRDefault="009662A3" w:rsidP="009662A3">
      <w:pPr>
        <w:spacing w:line="276" w:lineRule="auto"/>
        <w:jc w:val="center"/>
        <w:rPr>
          <w:b/>
          <w:szCs w:val="24"/>
        </w:rPr>
      </w:pPr>
    </w:p>
    <w:p w14:paraId="31CB23B9" w14:textId="77777777" w:rsidR="009662A3" w:rsidRDefault="009662A3" w:rsidP="009662A3">
      <w:pPr>
        <w:spacing w:line="276" w:lineRule="auto"/>
        <w:jc w:val="center"/>
        <w:rPr>
          <w:b/>
          <w:szCs w:val="24"/>
        </w:rPr>
      </w:pPr>
    </w:p>
    <w:p w14:paraId="31CB23BA" w14:textId="77777777" w:rsidR="009662A3" w:rsidRPr="00015F83" w:rsidRDefault="009662A3" w:rsidP="009662A3">
      <w:pPr>
        <w:spacing w:line="276" w:lineRule="auto"/>
        <w:jc w:val="center"/>
        <w:rPr>
          <w:b/>
          <w:szCs w:val="24"/>
        </w:rPr>
      </w:pPr>
    </w:p>
    <w:p w14:paraId="31CB23BB" w14:textId="77777777" w:rsidR="009662A3" w:rsidRPr="00015F83" w:rsidRDefault="009662A3" w:rsidP="009662A3">
      <w:pPr>
        <w:spacing w:line="276" w:lineRule="auto"/>
        <w:jc w:val="center"/>
        <w:rPr>
          <w:b/>
          <w:szCs w:val="24"/>
        </w:rPr>
      </w:pPr>
    </w:p>
    <w:p w14:paraId="31CB23BC" w14:textId="77777777" w:rsidR="009662A3" w:rsidRPr="00015F83" w:rsidRDefault="009662A3" w:rsidP="009662A3">
      <w:pPr>
        <w:spacing w:line="276" w:lineRule="auto"/>
        <w:jc w:val="center"/>
        <w:rPr>
          <w:b/>
          <w:sz w:val="28"/>
          <w:szCs w:val="28"/>
        </w:rPr>
      </w:pPr>
      <w:r w:rsidRPr="00015F83">
        <w:rPr>
          <w:b/>
          <w:sz w:val="28"/>
          <w:szCs w:val="28"/>
        </w:rPr>
        <w:t>KARACİĞER TRANSPLANTASYONU SONRASINDA ABDOMİNAL SEPSİS GELİŞEN HASTALARDA TRANPLANTE GREFTİN SEPSİSE YANITININ DEĞERLENDİRİLMESİ</w:t>
      </w:r>
    </w:p>
    <w:p w14:paraId="31CB23BD" w14:textId="77777777" w:rsidR="009662A3" w:rsidRDefault="009662A3" w:rsidP="009662A3">
      <w:pPr>
        <w:spacing w:line="276" w:lineRule="auto"/>
        <w:jc w:val="center"/>
        <w:rPr>
          <w:b/>
          <w:szCs w:val="24"/>
        </w:rPr>
      </w:pPr>
    </w:p>
    <w:p w14:paraId="31CB23BE" w14:textId="77777777" w:rsidR="009662A3" w:rsidRDefault="009662A3" w:rsidP="009662A3">
      <w:pPr>
        <w:spacing w:line="276" w:lineRule="auto"/>
        <w:jc w:val="center"/>
        <w:rPr>
          <w:b/>
          <w:szCs w:val="24"/>
        </w:rPr>
      </w:pPr>
    </w:p>
    <w:p w14:paraId="31CB23BF" w14:textId="77777777" w:rsidR="009662A3" w:rsidRPr="00015F83" w:rsidRDefault="009662A3" w:rsidP="009662A3">
      <w:pPr>
        <w:spacing w:line="276" w:lineRule="auto"/>
        <w:jc w:val="center"/>
        <w:rPr>
          <w:b/>
          <w:szCs w:val="24"/>
        </w:rPr>
      </w:pPr>
    </w:p>
    <w:p w14:paraId="31CB23C0" w14:textId="77777777" w:rsidR="009662A3" w:rsidRPr="00015F83" w:rsidRDefault="009662A3" w:rsidP="009662A3">
      <w:pPr>
        <w:spacing w:line="276" w:lineRule="auto"/>
        <w:jc w:val="center"/>
        <w:rPr>
          <w:b/>
          <w:szCs w:val="24"/>
        </w:rPr>
      </w:pPr>
    </w:p>
    <w:p w14:paraId="31CB23C1" w14:textId="77777777" w:rsidR="009662A3" w:rsidRPr="00015F83" w:rsidRDefault="009662A3" w:rsidP="009662A3">
      <w:pPr>
        <w:spacing w:line="276" w:lineRule="auto"/>
        <w:jc w:val="center"/>
        <w:rPr>
          <w:b/>
          <w:szCs w:val="24"/>
        </w:rPr>
      </w:pPr>
    </w:p>
    <w:p w14:paraId="31CB23C2" w14:textId="77777777" w:rsidR="009662A3" w:rsidRPr="00015F83" w:rsidRDefault="009662A3" w:rsidP="009662A3">
      <w:pPr>
        <w:spacing w:line="276" w:lineRule="auto"/>
        <w:jc w:val="center"/>
        <w:rPr>
          <w:b/>
          <w:szCs w:val="24"/>
        </w:rPr>
      </w:pPr>
      <w:r w:rsidRPr="00015F83">
        <w:rPr>
          <w:b/>
          <w:szCs w:val="24"/>
        </w:rPr>
        <w:t>TIPTA UZMANLIK TEZİ</w:t>
      </w:r>
    </w:p>
    <w:p w14:paraId="31CB23C3" w14:textId="77777777" w:rsidR="009662A3" w:rsidRPr="00015F83" w:rsidRDefault="009662A3" w:rsidP="009662A3">
      <w:pPr>
        <w:spacing w:line="276" w:lineRule="auto"/>
        <w:jc w:val="center"/>
        <w:rPr>
          <w:b/>
          <w:szCs w:val="24"/>
        </w:rPr>
      </w:pPr>
      <w:r w:rsidRPr="00015F83">
        <w:rPr>
          <w:b/>
          <w:szCs w:val="24"/>
        </w:rPr>
        <w:t>Dr. Emrah ŞAHİN</w:t>
      </w:r>
    </w:p>
    <w:p w14:paraId="31CB23C4" w14:textId="77777777" w:rsidR="009662A3" w:rsidRPr="00015F83" w:rsidRDefault="009662A3" w:rsidP="009662A3">
      <w:pPr>
        <w:spacing w:line="276" w:lineRule="auto"/>
        <w:jc w:val="center"/>
        <w:rPr>
          <w:b/>
          <w:szCs w:val="24"/>
        </w:rPr>
      </w:pPr>
    </w:p>
    <w:p w14:paraId="31CB23C5" w14:textId="77777777" w:rsidR="009662A3" w:rsidRDefault="009662A3" w:rsidP="009662A3">
      <w:pPr>
        <w:spacing w:line="276" w:lineRule="auto"/>
        <w:jc w:val="center"/>
        <w:rPr>
          <w:b/>
          <w:szCs w:val="24"/>
        </w:rPr>
      </w:pPr>
    </w:p>
    <w:p w14:paraId="31CB23C6" w14:textId="77777777" w:rsidR="009662A3" w:rsidRPr="00015F83" w:rsidRDefault="009662A3" w:rsidP="009662A3">
      <w:pPr>
        <w:spacing w:line="276" w:lineRule="auto"/>
        <w:jc w:val="center"/>
        <w:rPr>
          <w:b/>
          <w:szCs w:val="24"/>
        </w:rPr>
      </w:pPr>
    </w:p>
    <w:p w14:paraId="31CB23C7" w14:textId="77777777" w:rsidR="009662A3" w:rsidRPr="00015F83" w:rsidRDefault="009662A3" w:rsidP="009662A3">
      <w:pPr>
        <w:spacing w:line="276" w:lineRule="auto"/>
        <w:jc w:val="center"/>
        <w:rPr>
          <w:b/>
          <w:szCs w:val="24"/>
        </w:rPr>
      </w:pPr>
      <w:r w:rsidRPr="00015F83">
        <w:rPr>
          <w:b/>
          <w:szCs w:val="24"/>
        </w:rPr>
        <w:t>TEZ DANIŞMANI</w:t>
      </w:r>
    </w:p>
    <w:p w14:paraId="31CB23C8" w14:textId="77777777" w:rsidR="009662A3" w:rsidRPr="00015F83" w:rsidRDefault="009662A3" w:rsidP="009662A3">
      <w:pPr>
        <w:spacing w:line="276" w:lineRule="auto"/>
        <w:jc w:val="center"/>
        <w:rPr>
          <w:b/>
          <w:szCs w:val="24"/>
        </w:rPr>
      </w:pPr>
      <w:r w:rsidRPr="00015F83">
        <w:rPr>
          <w:b/>
          <w:szCs w:val="24"/>
        </w:rPr>
        <w:t>Prof.Dr. Cemalettin AYDIN</w:t>
      </w:r>
    </w:p>
    <w:p w14:paraId="31CB23C9" w14:textId="77777777" w:rsidR="009662A3" w:rsidRPr="00015F83" w:rsidRDefault="009662A3" w:rsidP="009662A3">
      <w:pPr>
        <w:spacing w:line="276" w:lineRule="auto"/>
        <w:jc w:val="center"/>
        <w:rPr>
          <w:b/>
          <w:szCs w:val="24"/>
        </w:rPr>
      </w:pPr>
    </w:p>
    <w:p w14:paraId="31CB23CA" w14:textId="5FE8F8ED" w:rsidR="009662A3" w:rsidRPr="008D1743" w:rsidRDefault="009662A3" w:rsidP="009662A3">
      <w:pPr>
        <w:spacing w:line="276" w:lineRule="auto"/>
        <w:jc w:val="center"/>
        <w:rPr>
          <w:b/>
          <w:szCs w:val="24"/>
        </w:rPr>
      </w:pPr>
      <w:r w:rsidRPr="008D1743">
        <w:rPr>
          <w:color w:val="000000"/>
          <w:szCs w:val="24"/>
        </w:rPr>
        <w:t>Bu tez, T.C. İnönü Üniversitesi Bilimsel Araştırma Projeleri Birimi (BAP) tarafından</w:t>
      </w:r>
      <w:r w:rsidR="00B93A6E">
        <w:rPr>
          <w:color w:val="000000"/>
          <w:szCs w:val="24"/>
        </w:rPr>
        <w:t xml:space="preserve"> TTU-2019-1810</w:t>
      </w:r>
      <w:r>
        <w:rPr>
          <w:color w:val="000000"/>
          <w:szCs w:val="24"/>
          <w:shd w:val="clear" w:color="auto" w:fill="F8F8F8"/>
        </w:rPr>
        <w:t xml:space="preserve"> </w:t>
      </w:r>
      <w:r w:rsidRPr="008D1743">
        <w:rPr>
          <w:color w:val="000000"/>
          <w:szCs w:val="24"/>
        </w:rPr>
        <w:t xml:space="preserve">proje </w:t>
      </w:r>
      <w:r>
        <w:rPr>
          <w:color w:val="000000"/>
          <w:szCs w:val="24"/>
        </w:rPr>
        <w:t xml:space="preserve">kodu </w:t>
      </w:r>
      <w:r w:rsidRPr="008D1743">
        <w:rPr>
          <w:color w:val="000000"/>
          <w:szCs w:val="24"/>
        </w:rPr>
        <w:t>ile desteklenmiştir.</w:t>
      </w:r>
    </w:p>
    <w:p w14:paraId="31CB23CB" w14:textId="77777777" w:rsidR="009662A3" w:rsidRDefault="009662A3" w:rsidP="009662A3">
      <w:pPr>
        <w:spacing w:line="276" w:lineRule="auto"/>
        <w:jc w:val="center"/>
        <w:rPr>
          <w:b/>
          <w:szCs w:val="24"/>
        </w:rPr>
      </w:pPr>
    </w:p>
    <w:p w14:paraId="31CB23CC" w14:textId="77777777" w:rsidR="009662A3" w:rsidRDefault="009662A3" w:rsidP="009662A3">
      <w:pPr>
        <w:spacing w:line="276" w:lineRule="auto"/>
        <w:jc w:val="center"/>
        <w:rPr>
          <w:b/>
          <w:szCs w:val="24"/>
        </w:rPr>
      </w:pPr>
    </w:p>
    <w:p w14:paraId="31CB23CD" w14:textId="77777777" w:rsidR="009662A3" w:rsidRDefault="009662A3" w:rsidP="009662A3">
      <w:pPr>
        <w:spacing w:line="276" w:lineRule="auto"/>
        <w:jc w:val="center"/>
        <w:rPr>
          <w:b/>
          <w:szCs w:val="24"/>
        </w:rPr>
      </w:pPr>
    </w:p>
    <w:p w14:paraId="31CB23CE" w14:textId="77777777" w:rsidR="009662A3" w:rsidRPr="00015F83" w:rsidRDefault="009662A3" w:rsidP="009662A3">
      <w:pPr>
        <w:spacing w:line="276" w:lineRule="auto"/>
        <w:jc w:val="center"/>
        <w:rPr>
          <w:b/>
          <w:szCs w:val="24"/>
        </w:rPr>
      </w:pPr>
    </w:p>
    <w:p w14:paraId="31CB23CF" w14:textId="77777777" w:rsidR="009662A3" w:rsidRPr="00015F83" w:rsidRDefault="009662A3" w:rsidP="009662A3">
      <w:pPr>
        <w:spacing w:line="276" w:lineRule="auto"/>
        <w:jc w:val="center"/>
        <w:rPr>
          <w:b/>
          <w:szCs w:val="24"/>
        </w:rPr>
      </w:pPr>
      <w:r w:rsidRPr="00015F83">
        <w:rPr>
          <w:b/>
          <w:szCs w:val="24"/>
        </w:rPr>
        <w:t>Malatya – 2020</w:t>
      </w:r>
    </w:p>
    <w:p w14:paraId="31CB23FE" w14:textId="77777777" w:rsidR="009662A3" w:rsidRDefault="009662A3" w:rsidP="009662A3">
      <w:pPr>
        <w:pStyle w:val="Balk1"/>
      </w:pPr>
      <w:bookmarkStart w:id="1" w:name="_Toc55727764"/>
      <w:r w:rsidRPr="003656DA">
        <w:lastRenderedPageBreak/>
        <w:t>İÇİNDEKİLER</w:t>
      </w:r>
      <w:bookmarkEnd w:id="1"/>
    </w:p>
    <w:p w14:paraId="687C4689" w14:textId="77777777" w:rsidR="00794B7D" w:rsidRPr="002C3D0F" w:rsidRDefault="009662A3">
      <w:pPr>
        <w:pStyle w:val="T1"/>
        <w:tabs>
          <w:tab w:val="right" w:leader="dot" w:pos="8493"/>
        </w:tabs>
        <w:rPr>
          <w:rFonts w:eastAsiaTheme="minorEastAsia" w:cs="Times New Roman"/>
          <w:b w:val="0"/>
          <w:bCs w:val="0"/>
          <w:noProof/>
          <w:lang w:eastAsia="tr-TR"/>
        </w:rPr>
      </w:pPr>
      <w:r w:rsidRPr="002C3D0F">
        <w:rPr>
          <w:rFonts w:cs="Times New Roman"/>
        </w:rPr>
        <w:fldChar w:fldCharType="begin"/>
      </w:r>
      <w:r w:rsidRPr="002C3D0F">
        <w:rPr>
          <w:rFonts w:cs="Times New Roman"/>
        </w:rPr>
        <w:instrText xml:space="preserve"> TOC \o "1-3" \h \z \u </w:instrText>
      </w:r>
      <w:r w:rsidRPr="002C3D0F">
        <w:rPr>
          <w:rFonts w:cs="Times New Roman"/>
        </w:rPr>
        <w:fldChar w:fldCharType="separate"/>
      </w:r>
      <w:hyperlink w:anchor="_Toc55727764" w:history="1">
        <w:r w:rsidR="00794B7D" w:rsidRPr="002C3D0F">
          <w:rPr>
            <w:rStyle w:val="Kpr"/>
            <w:rFonts w:cs="Times New Roman"/>
            <w:noProof/>
          </w:rPr>
          <w:t>İÇİNDEKİLER</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_Toc55727764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iv</w:t>
        </w:r>
        <w:r w:rsidR="00794B7D" w:rsidRPr="002C3D0F">
          <w:rPr>
            <w:rFonts w:cs="Times New Roman"/>
            <w:noProof/>
            <w:webHidden/>
          </w:rPr>
          <w:fldChar w:fldCharType="end"/>
        </w:r>
      </w:hyperlink>
    </w:p>
    <w:p w14:paraId="02AAE917" w14:textId="02C76A2A" w:rsidR="00794B7D" w:rsidRPr="002C3D0F" w:rsidRDefault="009F02C6">
      <w:pPr>
        <w:pStyle w:val="T1"/>
        <w:tabs>
          <w:tab w:val="right" w:leader="dot" w:pos="8493"/>
        </w:tabs>
        <w:rPr>
          <w:rFonts w:eastAsiaTheme="minorEastAsia" w:cs="Times New Roman"/>
          <w:b w:val="0"/>
          <w:bCs w:val="0"/>
          <w:noProof/>
          <w:lang w:eastAsia="tr-TR"/>
        </w:rPr>
      </w:pPr>
      <w:hyperlink w:anchor="_Toc55727765" w:history="1">
        <w:r w:rsidR="00794B7D" w:rsidRPr="002C3D0F">
          <w:rPr>
            <w:rStyle w:val="Kpr"/>
            <w:rFonts w:cs="Times New Roman"/>
            <w:noProof/>
          </w:rPr>
          <w:t>TEŞEKKÜR</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_Toc55727765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vii</w:t>
        </w:r>
        <w:r w:rsidR="00794B7D" w:rsidRPr="002C3D0F">
          <w:rPr>
            <w:rFonts w:cs="Times New Roman"/>
            <w:noProof/>
            <w:webHidden/>
          </w:rPr>
          <w:fldChar w:fldCharType="end"/>
        </w:r>
      </w:hyperlink>
    </w:p>
    <w:p w14:paraId="71BCB95F" w14:textId="77777777" w:rsidR="00794B7D" w:rsidRPr="002C3D0F" w:rsidRDefault="009F02C6">
      <w:pPr>
        <w:pStyle w:val="T1"/>
        <w:tabs>
          <w:tab w:val="right" w:leader="dot" w:pos="8493"/>
        </w:tabs>
        <w:rPr>
          <w:rFonts w:eastAsiaTheme="minorEastAsia" w:cs="Times New Roman"/>
          <w:b w:val="0"/>
          <w:bCs w:val="0"/>
          <w:noProof/>
          <w:lang w:eastAsia="tr-TR"/>
        </w:rPr>
      </w:pPr>
      <w:hyperlink w:anchor="_Toc55727766" w:history="1">
        <w:r w:rsidR="00794B7D" w:rsidRPr="002C3D0F">
          <w:rPr>
            <w:rStyle w:val="Kpr"/>
            <w:rFonts w:cs="Times New Roman"/>
            <w:noProof/>
          </w:rPr>
          <w:t>ÖZET</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_Toc55727766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viii</w:t>
        </w:r>
        <w:r w:rsidR="00794B7D" w:rsidRPr="002C3D0F">
          <w:rPr>
            <w:rFonts w:cs="Times New Roman"/>
            <w:noProof/>
            <w:webHidden/>
          </w:rPr>
          <w:fldChar w:fldCharType="end"/>
        </w:r>
      </w:hyperlink>
    </w:p>
    <w:p w14:paraId="70205D2F" w14:textId="77777777" w:rsidR="00794B7D" w:rsidRPr="002C3D0F" w:rsidRDefault="009F02C6">
      <w:pPr>
        <w:pStyle w:val="T1"/>
        <w:tabs>
          <w:tab w:val="right" w:leader="dot" w:pos="8493"/>
        </w:tabs>
        <w:rPr>
          <w:rFonts w:eastAsiaTheme="minorEastAsia" w:cs="Times New Roman"/>
          <w:b w:val="0"/>
          <w:bCs w:val="0"/>
          <w:noProof/>
          <w:lang w:eastAsia="tr-TR"/>
        </w:rPr>
      </w:pPr>
      <w:hyperlink w:anchor="_Toc55727767" w:history="1">
        <w:r w:rsidR="00794B7D" w:rsidRPr="002C3D0F">
          <w:rPr>
            <w:rStyle w:val="Kpr"/>
            <w:rFonts w:cs="Times New Roman"/>
            <w:noProof/>
          </w:rPr>
          <w:t>ABSTRACT</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_Toc55727767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x</w:t>
        </w:r>
        <w:r w:rsidR="00794B7D" w:rsidRPr="002C3D0F">
          <w:rPr>
            <w:rFonts w:cs="Times New Roman"/>
            <w:noProof/>
            <w:webHidden/>
          </w:rPr>
          <w:fldChar w:fldCharType="end"/>
        </w:r>
      </w:hyperlink>
    </w:p>
    <w:p w14:paraId="24A3C598" w14:textId="77777777" w:rsidR="00794B7D" w:rsidRPr="002C3D0F" w:rsidRDefault="009F02C6">
      <w:pPr>
        <w:pStyle w:val="T1"/>
        <w:tabs>
          <w:tab w:val="right" w:leader="dot" w:pos="8493"/>
        </w:tabs>
        <w:rPr>
          <w:rFonts w:eastAsiaTheme="minorEastAsia" w:cs="Times New Roman"/>
          <w:b w:val="0"/>
          <w:bCs w:val="0"/>
          <w:noProof/>
          <w:lang w:eastAsia="tr-TR"/>
        </w:rPr>
      </w:pPr>
      <w:hyperlink w:anchor="_Toc55727768" w:history="1">
        <w:r w:rsidR="00794B7D" w:rsidRPr="002C3D0F">
          <w:rPr>
            <w:rStyle w:val="Kpr"/>
            <w:rFonts w:cs="Times New Roman"/>
            <w:noProof/>
          </w:rPr>
          <w:t>SİMGELER VE KISALTMALAR DİZİNİ</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_Toc55727768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xi</w:t>
        </w:r>
        <w:r w:rsidR="00794B7D" w:rsidRPr="002C3D0F">
          <w:rPr>
            <w:rFonts w:cs="Times New Roman"/>
            <w:noProof/>
            <w:webHidden/>
          </w:rPr>
          <w:fldChar w:fldCharType="end"/>
        </w:r>
      </w:hyperlink>
    </w:p>
    <w:p w14:paraId="39E012E3" w14:textId="77777777" w:rsidR="00794B7D" w:rsidRPr="002C3D0F" w:rsidRDefault="009F02C6">
      <w:pPr>
        <w:pStyle w:val="T1"/>
        <w:tabs>
          <w:tab w:val="right" w:leader="dot" w:pos="8493"/>
        </w:tabs>
        <w:rPr>
          <w:rFonts w:eastAsiaTheme="minorEastAsia" w:cs="Times New Roman"/>
          <w:b w:val="0"/>
          <w:bCs w:val="0"/>
          <w:noProof/>
          <w:lang w:eastAsia="tr-TR"/>
        </w:rPr>
      </w:pPr>
      <w:hyperlink w:anchor="_Toc55727769" w:history="1">
        <w:r w:rsidR="00794B7D" w:rsidRPr="002C3D0F">
          <w:rPr>
            <w:rStyle w:val="Kpr"/>
            <w:rFonts w:cs="Times New Roman"/>
            <w:noProof/>
          </w:rPr>
          <w:t>ŞEKİLLER DİZİNİ</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_Toc55727769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xii</w:t>
        </w:r>
        <w:r w:rsidR="00794B7D" w:rsidRPr="002C3D0F">
          <w:rPr>
            <w:rFonts w:cs="Times New Roman"/>
            <w:noProof/>
            <w:webHidden/>
          </w:rPr>
          <w:fldChar w:fldCharType="end"/>
        </w:r>
      </w:hyperlink>
    </w:p>
    <w:p w14:paraId="644170EB" w14:textId="77777777" w:rsidR="00794B7D" w:rsidRPr="002C3D0F" w:rsidRDefault="009F02C6">
      <w:pPr>
        <w:pStyle w:val="T1"/>
        <w:tabs>
          <w:tab w:val="right" w:leader="dot" w:pos="8493"/>
        </w:tabs>
        <w:rPr>
          <w:rFonts w:eastAsiaTheme="minorEastAsia" w:cs="Times New Roman"/>
          <w:b w:val="0"/>
          <w:bCs w:val="0"/>
          <w:noProof/>
          <w:lang w:eastAsia="tr-TR"/>
        </w:rPr>
      </w:pPr>
      <w:hyperlink w:anchor="_Toc55727770" w:history="1">
        <w:r w:rsidR="00794B7D" w:rsidRPr="002C3D0F">
          <w:rPr>
            <w:rStyle w:val="Kpr"/>
            <w:rFonts w:cs="Times New Roman"/>
            <w:noProof/>
          </w:rPr>
          <w:t>TABLOLAR DİZİNİ</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_Toc55727770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xiii</w:t>
        </w:r>
        <w:r w:rsidR="00794B7D" w:rsidRPr="002C3D0F">
          <w:rPr>
            <w:rFonts w:cs="Times New Roman"/>
            <w:noProof/>
            <w:webHidden/>
          </w:rPr>
          <w:fldChar w:fldCharType="end"/>
        </w:r>
      </w:hyperlink>
    </w:p>
    <w:p w14:paraId="3D95DB23" w14:textId="77777777" w:rsidR="00794B7D" w:rsidRPr="002C3D0F" w:rsidRDefault="009F02C6">
      <w:pPr>
        <w:pStyle w:val="T1"/>
        <w:tabs>
          <w:tab w:val="left" w:pos="1200"/>
          <w:tab w:val="right" w:leader="dot" w:pos="8493"/>
        </w:tabs>
        <w:rPr>
          <w:rFonts w:eastAsiaTheme="minorEastAsia" w:cs="Times New Roman"/>
          <w:b w:val="0"/>
          <w:bCs w:val="0"/>
          <w:noProof/>
          <w:lang w:eastAsia="tr-TR"/>
        </w:rPr>
      </w:pPr>
      <w:hyperlink w:anchor="_Toc55727771" w:history="1">
        <w:r w:rsidR="00794B7D" w:rsidRPr="002C3D0F">
          <w:rPr>
            <w:rStyle w:val="Kpr"/>
            <w:rFonts w:cs="Times New Roman"/>
            <w:noProof/>
          </w:rPr>
          <w:t>1.</w:t>
        </w:r>
        <w:r w:rsidR="00794B7D" w:rsidRPr="002C3D0F">
          <w:rPr>
            <w:rFonts w:eastAsiaTheme="minorEastAsia" w:cs="Times New Roman"/>
            <w:b w:val="0"/>
            <w:bCs w:val="0"/>
            <w:noProof/>
            <w:lang w:eastAsia="tr-TR"/>
          </w:rPr>
          <w:tab/>
        </w:r>
        <w:r w:rsidR="00794B7D" w:rsidRPr="002C3D0F">
          <w:rPr>
            <w:rStyle w:val="Kpr"/>
            <w:rFonts w:cs="Times New Roman"/>
            <w:noProof/>
          </w:rPr>
          <w:t>GİRİŞ VE AMAÇ</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_Toc55727771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1</w:t>
        </w:r>
        <w:r w:rsidR="00794B7D" w:rsidRPr="002C3D0F">
          <w:rPr>
            <w:rFonts w:cs="Times New Roman"/>
            <w:noProof/>
            <w:webHidden/>
          </w:rPr>
          <w:fldChar w:fldCharType="end"/>
        </w:r>
      </w:hyperlink>
    </w:p>
    <w:p w14:paraId="3904998B" w14:textId="77777777" w:rsidR="00794B7D" w:rsidRPr="002C3D0F" w:rsidRDefault="009F02C6">
      <w:pPr>
        <w:pStyle w:val="T1"/>
        <w:tabs>
          <w:tab w:val="left" w:pos="1200"/>
          <w:tab w:val="right" w:leader="dot" w:pos="8493"/>
        </w:tabs>
        <w:rPr>
          <w:rFonts w:eastAsiaTheme="minorEastAsia" w:cs="Times New Roman"/>
          <w:b w:val="0"/>
          <w:bCs w:val="0"/>
          <w:noProof/>
          <w:lang w:eastAsia="tr-TR"/>
        </w:rPr>
      </w:pPr>
      <w:hyperlink w:anchor="_Toc55727772" w:history="1">
        <w:r w:rsidR="00794B7D" w:rsidRPr="002C3D0F">
          <w:rPr>
            <w:rStyle w:val="Kpr"/>
            <w:rFonts w:cs="Times New Roman"/>
            <w:noProof/>
          </w:rPr>
          <w:t>2.</w:t>
        </w:r>
        <w:r w:rsidR="00794B7D" w:rsidRPr="002C3D0F">
          <w:rPr>
            <w:rFonts w:eastAsiaTheme="minorEastAsia" w:cs="Times New Roman"/>
            <w:b w:val="0"/>
            <w:bCs w:val="0"/>
            <w:noProof/>
            <w:lang w:eastAsia="tr-TR"/>
          </w:rPr>
          <w:tab/>
        </w:r>
        <w:r w:rsidR="00794B7D" w:rsidRPr="002C3D0F">
          <w:rPr>
            <w:rStyle w:val="Kpr"/>
            <w:rFonts w:cs="Times New Roman"/>
            <w:noProof/>
          </w:rPr>
          <w:t>GENEL BİLGİLER</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_Toc55727772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2</w:t>
        </w:r>
        <w:r w:rsidR="00794B7D" w:rsidRPr="002C3D0F">
          <w:rPr>
            <w:rFonts w:cs="Times New Roman"/>
            <w:noProof/>
            <w:webHidden/>
          </w:rPr>
          <w:fldChar w:fldCharType="end"/>
        </w:r>
      </w:hyperlink>
    </w:p>
    <w:p w14:paraId="00833C72" w14:textId="77777777" w:rsidR="00794B7D" w:rsidRPr="002C3D0F" w:rsidRDefault="009F02C6">
      <w:pPr>
        <w:pStyle w:val="T2"/>
        <w:tabs>
          <w:tab w:val="left" w:pos="1440"/>
          <w:tab w:val="right" w:leader="dot" w:pos="8493"/>
        </w:tabs>
        <w:rPr>
          <w:rFonts w:ascii="Times New Roman" w:eastAsiaTheme="minorEastAsia" w:hAnsi="Times New Roman" w:cs="Times New Roman"/>
          <w:i w:val="0"/>
          <w:iCs w:val="0"/>
          <w:noProof/>
          <w:lang w:eastAsia="tr-TR"/>
        </w:rPr>
      </w:pPr>
      <w:hyperlink w:anchor="_Toc55727773" w:history="1">
        <w:r w:rsidR="00794B7D" w:rsidRPr="002C3D0F">
          <w:rPr>
            <w:rStyle w:val="Kpr"/>
            <w:rFonts w:ascii="Times New Roman" w:hAnsi="Times New Roman" w:cs="Times New Roman"/>
            <w:i w:val="0"/>
            <w:noProof/>
          </w:rPr>
          <w:t>2.1</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Karaciğerin Temel Görevleri ve Fonksiyon Testleri</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_Toc55727773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2</w:t>
        </w:r>
        <w:r w:rsidR="00794B7D" w:rsidRPr="002C3D0F">
          <w:rPr>
            <w:rFonts w:ascii="Times New Roman" w:hAnsi="Times New Roman" w:cs="Times New Roman"/>
            <w:i w:val="0"/>
            <w:noProof/>
            <w:webHidden/>
          </w:rPr>
          <w:fldChar w:fldCharType="end"/>
        </w:r>
      </w:hyperlink>
    </w:p>
    <w:p w14:paraId="45B297D0" w14:textId="77777777" w:rsidR="00794B7D" w:rsidRPr="002C3D0F" w:rsidRDefault="009F02C6">
      <w:pPr>
        <w:pStyle w:val="T2"/>
        <w:tabs>
          <w:tab w:val="left" w:pos="1440"/>
          <w:tab w:val="right" w:leader="dot" w:pos="8493"/>
        </w:tabs>
        <w:rPr>
          <w:rFonts w:ascii="Times New Roman" w:eastAsiaTheme="minorEastAsia" w:hAnsi="Times New Roman" w:cs="Times New Roman"/>
          <w:i w:val="0"/>
          <w:iCs w:val="0"/>
          <w:noProof/>
          <w:lang w:eastAsia="tr-TR"/>
        </w:rPr>
      </w:pPr>
      <w:hyperlink w:anchor="_Toc55727774" w:history="1">
        <w:r w:rsidR="00794B7D" w:rsidRPr="002C3D0F">
          <w:rPr>
            <w:rStyle w:val="Kpr"/>
            <w:rFonts w:ascii="Times New Roman" w:hAnsi="Times New Roman" w:cs="Times New Roman"/>
            <w:i w:val="0"/>
            <w:noProof/>
          </w:rPr>
          <w:t>2.2</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Karaciğer Nakil Endikasyonları</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_Toc55727774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5</w:t>
        </w:r>
        <w:r w:rsidR="00794B7D" w:rsidRPr="002C3D0F">
          <w:rPr>
            <w:rFonts w:ascii="Times New Roman" w:hAnsi="Times New Roman" w:cs="Times New Roman"/>
            <w:i w:val="0"/>
            <w:noProof/>
            <w:webHidden/>
          </w:rPr>
          <w:fldChar w:fldCharType="end"/>
        </w:r>
      </w:hyperlink>
    </w:p>
    <w:p w14:paraId="6F76DB74" w14:textId="77777777" w:rsidR="00794B7D" w:rsidRPr="002C3D0F" w:rsidRDefault="009F02C6">
      <w:pPr>
        <w:pStyle w:val="T2"/>
        <w:tabs>
          <w:tab w:val="left" w:pos="1440"/>
          <w:tab w:val="right" w:leader="dot" w:pos="8493"/>
        </w:tabs>
        <w:rPr>
          <w:rFonts w:ascii="Times New Roman" w:eastAsiaTheme="minorEastAsia" w:hAnsi="Times New Roman" w:cs="Times New Roman"/>
          <w:i w:val="0"/>
          <w:iCs w:val="0"/>
          <w:noProof/>
          <w:lang w:eastAsia="tr-TR"/>
        </w:rPr>
      </w:pPr>
      <w:hyperlink w:anchor="_Toc55727775" w:history="1">
        <w:r w:rsidR="00794B7D" w:rsidRPr="002C3D0F">
          <w:rPr>
            <w:rStyle w:val="Kpr"/>
            <w:rFonts w:ascii="Times New Roman" w:hAnsi="Times New Roman" w:cs="Times New Roman"/>
            <w:i w:val="0"/>
            <w:noProof/>
          </w:rPr>
          <w:t>2.3</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Karaciğer Nakli Komplikasyonları</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_Toc55727775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6</w:t>
        </w:r>
        <w:r w:rsidR="00794B7D" w:rsidRPr="002C3D0F">
          <w:rPr>
            <w:rFonts w:ascii="Times New Roman" w:hAnsi="Times New Roman" w:cs="Times New Roman"/>
            <w:i w:val="0"/>
            <w:noProof/>
            <w:webHidden/>
          </w:rPr>
          <w:fldChar w:fldCharType="end"/>
        </w:r>
      </w:hyperlink>
    </w:p>
    <w:p w14:paraId="3DCDF517" w14:textId="77777777" w:rsidR="00794B7D" w:rsidRPr="002C3D0F" w:rsidRDefault="009F02C6">
      <w:pPr>
        <w:pStyle w:val="T3"/>
        <w:tabs>
          <w:tab w:val="left" w:pos="1920"/>
          <w:tab w:val="right" w:leader="dot" w:pos="8493"/>
        </w:tabs>
        <w:rPr>
          <w:rFonts w:ascii="Times New Roman" w:eastAsiaTheme="minorEastAsia" w:hAnsi="Times New Roman" w:cs="Times New Roman"/>
          <w:noProof/>
          <w:lang w:eastAsia="tr-TR"/>
        </w:rPr>
      </w:pPr>
      <w:hyperlink w:anchor="_Toc55727776" w:history="1">
        <w:r w:rsidR="00794B7D" w:rsidRPr="002C3D0F">
          <w:rPr>
            <w:rStyle w:val="Kpr"/>
            <w:rFonts w:ascii="Times New Roman" w:hAnsi="Times New Roman" w:cs="Times New Roman"/>
            <w:noProof/>
          </w:rPr>
          <w:t>2.3.1</w:t>
        </w:r>
        <w:r w:rsidR="00794B7D" w:rsidRPr="002C3D0F">
          <w:rPr>
            <w:rFonts w:ascii="Times New Roman" w:eastAsiaTheme="minorEastAsia" w:hAnsi="Times New Roman" w:cs="Times New Roman"/>
            <w:noProof/>
            <w:lang w:eastAsia="tr-TR"/>
          </w:rPr>
          <w:tab/>
        </w:r>
        <w:r w:rsidR="00794B7D" w:rsidRPr="002C3D0F">
          <w:rPr>
            <w:rStyle w:val="Kpr"/>
            <w:rFonts w:ascii="Times New Roman" w:hAnsi="Times New Roman" w:cs="Times New Roman"/>
            <w:noProof/>
          </w:rPr>
          <w:t>Enfeksiyona Bağlı Komplikasyonlar</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_Toc55727776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6</w:t>
        </w:r>
        <w:r w:rsidR="00794B7D" w:rsidRPr="002C3D0F">
          <w:rPr>
            <w:rFonts w:ascii="Times New Roman" w:hAnsi="Times New Roman" w:cs="Times New Roman"/>
            <w:noProof/>
            <w:webHidden/>
          </w:rPr>
          <w:fldChar w:fldCharType="end"/>
        </w:r>
      </w:hyperlink>
    </w:p>
    <w:p w14:paraId="21404840" w14:textId="77777777" w:rsidR="00794B7D" w:rsidRPr="002C3D0F" w:rsidRDefault="009F02C6">
      <w:pPr>
        <w:pStyle w:val="T3"/>
        <w:tabs>
          <w:tab w:val="left" w:pos="1920"/>
          <w:tab w:val="right" w:leader="dot" w:pos="8493"/>
        </w:tabs>
        <w:rPr>
          <w:rFonts w:ascii="Times New Roman" w:eastAsiaTheme="minorEastAsia" w:hAnsi="Times New Roman" w:cs="Times New Roman"/>
          <w:noProof/>
          <w:lang w:eastAsia="tr-TR"/>
        </w:rPr>
      </w:pPr>
      <w:hyperlink w:anchor="_Toc55727777" w:history="1">
        <w:r w:rsidR="00794B7D" w:rsidRPr="002C3D0F">
          <w:rPr>
            <w:rStyle w:val="Kpr"/>
            <w:rFonts w:ascii="Times New Roman" w:hAnsi="Times New Roman" w:cs="Times New Roman"/>
            <w:noProof/>
          </w:rPr>
          <w:t>2.3.2</w:t>
        </w:r>
        <w:r w:rsidR="00794B7D" w:rsidRPr="002C3D0F">
          <w:rPr>
            <w:rFonts w:ascii="Times New Roman" w:eastAsiaTheme="minorEastAsia" w:hAnsi="Times New Roman" w:cs="Times New Roman"/>
            <w:noProof/>
            <w:lang w:eastAsia="tr-TR"/>
          </w:rPr>
          <w:tab/>
        </w:r>
        <w:r w:rsidR="00794B7D" w:rsidRPr="002C3D0F">
          <w:rPr>
            <w:rStyle w:val="Kpr"/>
            <w:rFonts w:ascii="Times New Roman" w:hAnsi="Times New Roman" w:cs="Times New Roman"/>
            <w:noProof/>
          </w:rPr>
          <w:t>Cerrahiye Bağlı Komplikasyonlar</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_Toc55727777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6</w:t>
        </w:r>
        <w:r w:rsidR="00794B7D" w:rsidRPr="002C3D0F">
          <w:rPr>
            <w:rFonts w:ascii="Times New Roman" w:hAnsi="Times New Roman" w:cs="Times New Roman"/>
            <w:noProof/>
            <w:webHidden/>
          </w:rPr>
          <w:fldChar w:fldCharType="end"/>
        </w:r>
      </w:hyperlink>
    </w:p>
    <w:p w14:paraId="3A20915F" w14:textId="77777777" w:rsidR="00794B7D" w:rsidRPr="002C3D0F" w:rsidRDefault="009F02C6">
      <w:pPr>
        <w:pStyle w:val="T3"/>
        <w:tabs>
          <w:tab w:val="left" w:pos="1920"/>
          <w:tab w:val="right" w:leader="dot" w:pos="8493"/>
        </w:tabs>
        <w:rPr>
          <w:rFonts w:ascii="Times New Roman" w:eastAsiaTheme="minorEastAsia" w:hAnsi="Times New Roman" w:cs="Times New Roman"/>
          <w:noProof/>
          <w:lang w:eastAsia="tr-TR"/>
        </w:rPr>
      </w:pPr>
      <w:hyperlink w:anchor="_Toc55727778" w:history="1">
        <w:r w:rsidR="00794B7D" w:rsidRPr="002C3D0F">
          <w:rPr>
            <w:rStyle w:val="Kpr"/>
            <w:rFonts w:ascii="Times New Roman" w:hAnsi="Times New Roman" w:cs="Times New Roman"/>
            <w:noProof/>
          </w:rPr>
          <w:t>2.3.3</w:t>
        </w:r>
        <w:r w:rsidR="00794B7D" w:rsidRPr="002C3D0F">
          <w:rPr>
            <w:rFonts w:ascii="Times New Roman" w:eastAsiaTheme="minorEastAsia" w:hAnsi="Times New Roman" w:cs="Times New Roman"/>
            <w:noProof/>
            <w:lang w:eastAsia="tr-TR"/>
          </w:rPr>
          <w:tab/>
        </w:r>
        <w:r w:rsidR="00794B7D" w:rsidRPr="002C3D0F">
          <w:rPr>
            <w:rStyle w:val="Kpr"/>
            <w:rFonts w:ascii="Times New Roman" w:hAnsi="Times New Roman" w:cs="Times New Roman"/>
            <w:noProof/>
          </w:rPr>
          <w:t>Sepsiste Greft Rejeksiyonu</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_Toc55727778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6</w:t>
        </w:r>
        <w:r w:rsidR="00794B7D" w:rsidRPr="002C3D0F">
          <w:rPr>
            <w:rFonts w:ascii="Times New Roman" w:hAnsi="Times New Roman" w:cs="Times New Roman"/>
            <w:noProof/>
            <w:webHidden/>
          </w:rPr>
          <w:fldChar w:fldCharType="end"/>
        </w:r>
      </w:hyperlink>
    </w:p>
    <w:p w14:paraId="0E75C65A" w14:textId="77777777" w:rsidR="00794B7D" w:rsidRPr="002C3D0F" w:rsidRDefault="009F02C6">
      <w:pPr>
        <w:pStyle w:val="T2"/>
        <w:tabs>
          <w:tab w:val="left" w:pos="1440"/>
          <w:tab w:val="right" w:leader="dot" w:pos="8493"/>
        </w:tabs>
        <w:rPr>
          <w:rFonts w:ascii="Times New Roman" w:eastAsiaTheme="minorEastAsia" w:hAnsi="Times New Roman" w:cs="Times New Roman"/>
          <w:i w:val="0"/>
          <w:iCs w:val="0"/>
          <w:noProof/>
          <w:lang w:eastAsia="tr-TR"/>
        </w:rPr>
      </w:pPr>
      <w:hyperlink w:anchor="_Toc55727779" w:history="1">
        <w:r w:rsidR="00794B7D" w:rsidRPr="002C3D0F">
          <w:rPr>
            <w:rStyle w:val="Kpr"/>
            <w:rFonts w:ascii="Times New Roman" w:hAnsi="Times New Roman" w:cs="Times New Roman"/>
            <w:i w:val="0"/>
            <w:noProof/>
          </w:rPr>
          <w:t>2.4</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Sepsis Nedir? Tanımlamalar</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_Toc55727779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7</w:t>
        </w:r>
        <w:r w:rsidR="00794B7D" w:rsidRPr="002C3D0F">
          <w:rPr>
            <w:rFonts w:ascii="Times New Roman" w:hAnsi="Times New Roman" w:cs="Times New Roman"/>
            <w:i w:val="0"/>
            <w:noProof/>
            <w:webHidden/>
          </w:rPr>
          <w:fldChar w:fldCharType="end"/>
        </w:r>
      </w:hyperlink>
    </w:p>
    <w:p w14:paraId="57472031" w14:textId="77777777" w:rsidR="00794B7D" w:rsidRPr="002C3D0F" w:rsidRDefault="009F02C6">
      <w:pPr>
        <w:pStyle w:val="T2"/>
        <w:tabs>
          <w:tab w:val="left" w:pos="1440"/>
          <w:tab w:val="right" w:leader="dot" w:pos="8493"/>
        </w:tabs>
        <w:rPr>
          <w:rFonts w:ascii="Times New Roman" w:eastAsiaTheme="minorEastAsia" w:hAnsi="Times New Roman" w:cs="Times New Roman"/>
          <w:i w:val="0"/>
          <w:iCs w:val="0"/>
          <w:noProof/>
          <w:lang w:eastAsia="tr-TR"/>
        </w:rPr>
      </w:pPr>
      <w:hyperlink w:anchor="_Toc55727780" w:history="1">
        <w:r w:rsidR="00794B7D" w:rsidRPr="002C3D0F">
          <w:rPr>
            <w:rStyle w:val="Kpr"/>
            <w:rFonts w:ascii="Times New Roman" w:hAnsi="Times New Roman" w:cs="Times New Roman"/>
            <w:i w:val="0"/>
            <w:noProof/>
          </w:rPr>
          <w:t>2.5</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Sepsis Epidemiyolojisi ve Etiyolojisi</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_Toc55727780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7</w:t>
        </w:r>
        <w:r w:rsidR="00794B7D" w:rsidRPr="002C3D0F">
          <w:rPr>
            <w:rFonts w:ascii="Times New Roman" w:hAnsi="Times New Roman" w:cs="Times New Roman"/>
            <w:i w:val="0"/>
            <w:noProof/>
            <w:webHidden/>
          </w:rPr>
          <w:fldChar w:fldCharType="end"/>
        </w:r>
      </w:hyperlink>
    </w:p>
    <w:p w14:paraId="5EAAEC2A" w14:textId="77777777" w:rsidR="00794B7D" w:rsidRPr="002C3D0F" w:rsidRDefault="009F02C6">
      <w:pPr>
        <w:pStyle w:val="T2"/>
        <w:tabs>
          <w:tab w:val="left" w:pos="1440"/>
          <w:tab w:val="right" w:leader="dot" w:pos="8493"/>
        </w:tabs>
        <w:rPr>
          <w:rFonts w:ascii="Times New Roman" w:eastAsiaTheme="minorEastAsia" w:hAnsi="Times New Roman" w:cs="Times New Roman"/>
          <w:i w:val="0"/>
          <w:iCs w:val="0"/>
          <w:noProof/>
          <w:lang w:eastAsia="tr-TR"/>
        </w:rPr>
      </w:pPr>
      <w:hyperlink w:anchor="_Toc55727781" w:history="1">
        <w:r w:rsidR="00794B7D" w:rsidRPr="002C3D0F">
          <w:rPr>
            <w:rStyle w:val="Kpr"/>
            <w:rFonts w:ascii="Times New Roman" w:hAnsi="Times New Roman" w:cs="Times New Roman"/>
            <w:i w:val="0"/>
            <w:noProof/>
          </w:rPr>
          <w:t>2.6</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Sepsis Fizyopatolojisi</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_Toc55727781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8</w:t>
        </w:r>
        <w:r w:rsidR="00794B7D" w:rsidRPr="002C3D0F">
          <w:rPr>
            <w:rFonts w:ascii="Times New Roman" w:hAnsi="Times New Roman" w:cs="Times New Roman"/>
            <w:i w:val="0"/>
            <w:noProof/>
            <w:webHidden/>
          </w:rPr>
          <w:fldChar w:fldCharType="end"/>
        </w:r>
      </w:hyperlink>
    </w:p>
    <w:p w14:paraId="5E32E478" w14:textId="77777777" w:rsidR="00794B7D" w:rsidRPr="002C3D0F" w:rsidRDefault="009F02C6">
      <w:pPr>
        <w:pStyle w:val="T2"/>
        <w:tabs>
          <w:tab w:val="left" w:pos="1440"/>
          <w:tab w:val="right" w:leader="dot" w:pos="8493"/>
        </w:tabs>
        <w:rPr>
          <w:rFonts w:ascii="Times New Roman" w:eastAsiaTheme="minorEastAsia" w:hAnsi="Times New Roman" w:cs="Times New Roman"/>
          <w:i w:val="0"/>
          <w:iCs w:val="0"/>
          <w:noProof/>
          <w:lang w:eastAsia="tr-TR"/>
        </w:rPr>
      </w:pPr>
      <w:hyperlink w:anchor="_Toc55727782" w:history="1">
        <w:r w:rsidR="00794B7D" w:rsidRPr="002C3D0F">
          <w:rPr>
            <w:rStyle w:val="Kpr"/>
            <w:rFonts w:ascii="Times New Roman" w:hAnsi="Times New Roman" w:cs="Times New Roman"/>
            <w:i w:val="0"/>
            <w:noProof/>
          </w:rPr>
          <w:t>2.7</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Sepsiste Belirti ve Bulgular</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_Toc55727782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11</w:t>
        </w:r>
        <w:r w:rsidR="00794B7D" w:rsidRPr="002C3D0F">
          <w:rPr>
            <w:rFonts w:ascii="Times New Roman" w:hAnsi="Times New Roman" w:cs="Times New Roman"/>
            <w:i w:val="0"/>
            <w:noProof/>
            <w:webHidden/>
          </w:rPr>
          <w:fldChar w:fldCharType="end"/>
        </w:r>
      </w:hyperlink>
    </w:p>
    <w:p w14:paraId="6173A7EF" w14:textId="77777777" w:rsidR="00794B7D" w:rsidRPr="002C3D0F" w:rsidRDefault="009F02C6">
      <w:pPr>
        <w:pStyle w:val="T2"/>
        <w:tabs>
          <w:tab w:val="left" w:pos="1440"/>
          <w:tab w:val="right" w:leader="dot" w:pos="8493"/>
        </w:tabs>
        <w:rPr>
          <w:rFonts w:ascii="Times New Roman" w:eastAsiaTheme="minorEastAsia" w:hAnsi="Times New Roman" w:cs="Times New Roman"/>
          <w:i w:val="0"/>
          <w:iCs w:val="0"/>
          <w:noProof/>
          <w:lang w:eastAsia="tr-TR"/>
        </w:rPr>
      </w:pPr>
      <w:hyperlink w:anchor="_Toc55727786" w:history="1">
        <w:r w:rsidR="00794B7D" w:rsidRPr="002C3D0F">
          <w:rPr>
            <w:rStyle w:val="Kpr"/>
            <w:rFonts w:ascii="Times New Roman" w:hAnsi="Times New Roman" w:cs="Times New Roman"/>
            <w:i w:val="0"/>
            <w:noProof/>
          </w:rPr>
          <w:t>2.8</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Sepsis Tanı Kriterleri</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_Toc55727786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13</w:t>
        </w:r>
        <w:r w:rsidR="00794B7D" w:rsidRPr="002C3D0F">
          <w:rPr>
            <w:rFonts w:ascii="Times New Roman" w:hAnsi="Times New Roman" w:cs="Times New Roman"/>
            <w:i w:val="0"/>
            <w:noProof/>
            <w:webHidden/>
          </w:rPr>
          <w:fldChar w:fldCharType="end"/>
        </w:r>
      </w:hyperlink>
    </w:p>
    <w:p w14:paraId="2CFE5B96" w14:textId="77777777" w:rsidR="00794B7D" w:rsidRPr="002C3D0F" w:rsidRDefault="009F02C6">
      <w:pPr>
        <w:pStyle w:val="T3"/>
        <w:tabs>
          <w:tab w:val="left" w:pos="1920"/>
          <w:tab w:val="right" w:leader="dot" w:pos="8493"/>
        </w:tabs>
        <w:rPr>
          <w:rFonts w:ascii="Times New Roman" w:eastAsiaTheme="minorEastAsia" w:hAnsi="Times New Roman" w:cs="Times New Roman"/>
          <w:noProof/>
          <w:lang w:eastAsia="tr-TR"/>
        </w:rPr>
      </w:pPr>
      <w:hyperlink w:anchor="_Toc55727788" w:history="1">
        <w:r w:rsidR="00794B7D" w:rsidRPr="002C3D0F">
          <w:rPr>
            <w:rStyle w:val="Kpr"/>
            <w:rFonts w:ascii="Times New Roman" w:hAnsi="Times New Roman" w:cs="Times New Roman"/>
            <w:noProof/>
          </w:rPr>
          <w:t>2.8.1</w:t>
        </w:r>
        <w:r w:rsidR="00794B7D" w:rsidRPr="002C3D0F">
          <w:rPr>
            <w:rFonts w:ascii="Times New Roman" w:eastAsiaTheme="minorEastAsia" w:hAnsi="Times New Roman" w:cs="Times New Roman"/>
            <w:noProof/>
            <w:lang w:eastAsia="tr-TR"/>
          </w:rPr>
          <w:tab/>
        </w:r>
        <w:r w:rsidR="00794B7D" w:rsidRPr="002C3D0F">
          <w:rPr>
            <w:rStyle w:val="Kpr"/>
            <w:rFonts w:ascii="Times New Roman" w:hAnsi="Times New Roman" w:cs="Times New Roman"/>
            <w:noProof/>
          </w:rPr>
          <w:t>SOFA</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_Toc55727788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13</w:t>
        </w:r>
        <w:r w:rsidR="00794B7D" w:rsidRPr="002C3D0F">
          <w:rPr>
            <w:rFonts w:ascii="Times New Roman" w:hAnsi="Times New Roman" w:cs="Times New Roman"/>
            <w:noProof/>
            <w:webHidden/>
          </w:rPr>
          <w:fldChar w:fldCharType="end"/>
        </w:r>
      </w:hyperlink>
    </w:p>
    <w:p w14:paraId="350C4237" w14:textId="77777777" w:rsidR="00794B7D" w:rsidRPr="002C3D0F" w:rsidRDefault="009F02C6">
      <w:pPr>
        <w:pStyle w:val="T3"/>
        <w:tabs>
          <w:tab w:val="left" w:pos="1920"/>
          <w:tab w:val="right" w:leader="dot" w:pos="8493"/>
        </w:tabs>
        <w:rPr>
          <w:rFonts w:ascii="Times New Roman" w:eastAsiaTheme="minorEastAsia" w:hAnsi="Times New Roman" w:cs="Times New Roman"/>
          <w:noProof/>
          <w:lang w:eastAsia="tr-TR"/>
        </w:rPr>
      </w:pPr>
      <w:hyperlink w:anchor="_Toc55727789" w:history="1">
        <w:r w:rsidR="00794B7D" w:rsidRPr="002C3D0F">
          <w:rPr>
            <w:rStyle w:val="Kpr"/>
            <w:rFonts w:ascii="Times New Roman" w:hAnsi="Times New Roman" w:cs="Times New Roman"/>
            <w:noProof/>
          </w:rPr>
          <w:t>2.8.2</w:t>
        </w:r>
        <w:r w:rsidR="00794B7D" w:rsidRPr="002C3D0F">
          <w:rPr>
            <w:rFonts w:ascii="Times New Roman" w:eastAsiaTheme="minorEastAsia" w:hAnsi="Times New Roman" w:cs="Times New Roman"/>
            <w:noProof/>
            <w:lang w:eastAsia="tr-TR"/>
          </w:rPr>
          <w:tab/>
        </w:r>
        <w:r w:rsidR="00794B7D" w:rsidRPr="002C3D0F">
          <w:rPr>
            <w:rStyle w:val="Kpr"/>
            <w:rFonts w:ascii="Times New Roman" w:hAnsi="Times New Roman" w:cs="Times New Roman"/>
            <w:noProof/>
          </w:rPr>
          <w:t>qSOFA</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_Toc55727789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14</w:t>
        </w:r>
        <w:r w:rsidR="00794B7D" w:rsidRPr="002C3D0F">
          <w:rPr>
            <w:rFonts w:ascii="Times New Roman" w:hAnsi="Times New Roman" w:cs="Times New Roman"/>
            <w:noProof/>
            <w:webHidden/>
          </w:rPr>
          <w:fldChar w:fldCharType="end"/>
        </w:r>
      </w:hyperlink>
    </w:p>
    <w:p w14:paraId="3254FEB7" w14:textId="77777777" w:rsidR="00794B7D" w:rsidRPr="002C3D0F" w:rsidRDefault="009F02C6">
      <w:pPr>
        <w:pStyle w:val="T2"/>
        <w:tabs>
          <w:tab w:val="left" w:pos="1440"/>
          <w:tab w:val="right" w:leader="dot" w:pos="8493"/>
        </w:tabs>
        <w:rPr>
          <w:rFonts w:ascii="Times New Roman" w:eastAsiaTheme="minorEastAsia" w:hAnsi="Times New Roman" w:cs="Times New Roman"/>
          <w:i w:val="0"/>
          <w:iCs w:val="0"/>
          <w:noProof/>
          <w:lang w:eastAsia="tr-TR"/>
        </w:rPr>
      </w:pPr>
      <w:hyperlink w:anchor="_Toc55727790" w:history="1">
        <w:r w:rsidR="00794B7D" w:rsidRPr="002C3D0F">
          <w:rPr>
            <w:rStyle w:val="Kpr"/>
            <w:rFonts w:ascii="Times New Roman" w:hAnsi="Times New Roman" w:cs="Times New Roman"/>
            <w:i w:val="0"/>
            <w:noProof/>
          </w:rPr>
          <w:t>2.9</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Sepsis Risk Faktörleri</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_Toc55727790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15</w:t>
        </w:r>
        <w:r w:rsidR="00794B7D" w:rsidRPr="002C3D0F">
          <w:rPr>
            <w:rFonts w:ascii="Times New Roman" w:hAnsi="Times New Roman" w:cs="Times New Roman"/>
            <w:i w:val="0"/>
            <w:noProof/>
            <w:webHidden/>
          </w:rPr>
          <w:fldChar w:fldCharType="end"/>
        </w:r>
      </w:hyperlink>
    </w:p>
    <w:p w14:paraId="36521AA3" w14:textId="77777777" w:rsidR="00794B7D" w:rsidRPr="002C3D0F" w:rsidRDefault="009F02C6">
      <w:pPr>
        <w:pStyle w:val="T3"/>
        <w:tabs>
          <w:tab w:val="left" w:pos="1920"/>
          <w:tab w:val="right" w:leader="dot" w:pos="8493"/>
        </w:tabs>
        <w:rPr>
          <w:rFonts w:ascii="Times New Roman" w:eastAsiaTheme="minorEastAsia" w:hAnsi="Times New Roman" w:cs="Times New Roman"/>
          <w:noProof/>
          <w:lang w:eastAsia="tr-TR"/>
        </w:rPr>
      </w:pPr>
      <w:hyperlink w:anchor="_Toc55727805" w:history="1">
        <w:r w:rsidR="00794B7D" w:rsidRPr="002C3D0F">
          <w:rPr>
            <w:rStyle w:val="Kpr"/>
            <w:rFonts w:ascii="Times New Roman" w:hAnsi="Times New Roman" w:cs="Times New Roman"/>
            <w:noProof/>
          </w:rPr>
          <w:t>2.9.1</w:t>
        </w:r>
        <w:r w:rsidR="00794B7D" w:rsidRPr="002C3D0F">
          <w:rPr>
            <w:rFonts w:ascii="Times New Roman" w:eastAsiaTheme="minorEastAsia" w:hAnsi="Times New Roman" w:cs="Times New Roman"/>
            <w:noProof/>
            <w:lang w:eastAsia="tr-TR"/>
          </w:rPr>
          <w:tab/>
        </w:r>
        <w:r w:rsidR="00794B7D" w:rsidRPr="002C3D0F">
          <w:rPr>
            <w:rStyle w:val="Kpr"/>
            <w:rFonts w:ascii="Times New Roman" w:hAnsi="Times New Roman" w:cs="Times New Roman"/>
            <w:noProof/>
          </w:rPr>
          <w:t>Normal Popülasyon İçin Risk Faktörleri</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_Toc55727805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15</w:t>
        </w:r>
        <w:r w:rsidR="00794B7D" w:rsidRPr="002C3D0F">
          <w:rPr>
            <w:rFonts w:ascii="Times New Roman" w:hAnsi="Times New Roman" w:cs="Times New Roman"/>
            <w:noProof/>
            <w:webHidden/>
          </w:rPr>
          <w:fldChar w:fldCharType="end"/>
        </w:r>
      </w:hyperlink>
    </w:p>
    <w:p w14:paraId="06D4C101" w14:textId="77777777" w:rsidR="00794B7D" w:rsidRPr="002C3D0F" w:rsidRDefault="009F02C6">
      <w:pPr>
        <w:pStyle w:val="T3"/>
        <w:tabs>
          <w:tab w:val="left" w:pos="1920"/>
          <w:tab w:val="right" w:leader="dot" w:pos="8493"/>
        </w:tabs>
        <w:rPr>
          <w:rFonts w:ascii="Times New Roman" w:eastAsiaTheme="minorEastAsia" w:hAnsi="Times New Roman" w:cs="Times New Roman"/>
          <w:noProof/>
          <w:lang w:eastAsia="tr-TR"/>
        </w:rPr>
      </w:pPr>
      <w:hyperlink w:anchor="_Toc55727806" w:history="1">
        <w:r w:rsidR="00794B7D" w:rsidRPr="002C3D0F">
          <w:rPr>
            <w:rStyle w:val="Kpr"/>
            <w:rFonts w:ascii="Times New Roman" w:hAnsi="Times New Roman" w:cs="Times New Roman"/>
            <w:noProof/>
          </w:rPr>
          <w:t>2.9.2</w:t>
        </w:r>
        <w:r w:rsidR="00794B7D" w:rsidRPr="002C3D0F">
          <w:rPr>
            <w:rFonts w:ascii="Times New Roman" w:eastAsiaTheme="minorEastAsia" w:hAnsi="Times New Roman" w:cs="Times New Roman"/>
            <w:noProof/>
            <w:lang w:eastAsia="tr-TR"/>
          </w:rPr>
          <w:tab/>
        </w:r>
        <w:r w:rsidR="00794B7D" w:rsidRPr="002C3D0F">
          <w:rPr>
            <w:rStyle w:val="Kpr"/>
            <w:rFonts w:ascii="Times New Roman" w:hAnsi="Times New Roman" w:cs="Times New Roman"/>
            <w:noProof/>
          </w:rPr>
          <w:t>Karaciğer Nakli Alıcısında Enfeksiyon Risk Faktörleri</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_Toc55727806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15</w:t>
        </w:r>
        <w:r w:rsidR="00794B7D" w:rsidRPr="002C3D0F">
          <w:rPr>
            <w:rFonts w:ascii="Times New Roman" w:hAnsi="Times New Roman" w:cs="Times New Roman"/>
            <w:noProof/>
            <w:webHidden/>
          </w:rPr>
          <w:fldChar w:fldCharType="end"/>
        </w:r>
      </w:hyperlink>
    </w:p>
    <w:p w14:paraId="2AFCE90E" w14:textId="77777777" w:rsidR="00794B7D" w:rsidRPr="002C3D0F" w:rsidRDefault="009F02C6">
      <w:pPr>
        <w:pStyle w:val="T2"/>
        <w:tabs>
          <w:tab w:val="left" w:pos="1680"/>
          <w:tab w:val="right" w:leader="dot" w:pos="8493"/>
        </w:tabs>
        <w:rPr>
          <w:rFonts w:ascii="Times New Roman" w:eastAsiaTheme="minorEastAsia" w:hAnsi="Times New Roman" w:cs="Times New Roman"/>
          <w:i w:val="0"/>
          <w:iCs w:val="0"/>
          <w:noProof/>
          <w:lang w:eastAsia="tr-TR"/>
        </w:rPr>
      </w:pPr>
      <w:hyperlink w:anchor="_Toc55727819" w:history="1">
        <w:r w:rsidR="00794B7D" w:rsidRPr="002C3D0F">
          <w:rPr>
            <w:rStyle w:val="Kpr"/>
            <w:rFonts w:ascii="Times New Roman" w:hAnsi="Times New Roman" w:cs="Times New Roman"/>
            <w:i w:val="0"/>
            <w:noProof/>
          </w:rPr>
          <w:t>2.10</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Sepsis Tanı ve İzleminde Kullanılan Biyobelirteçler</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_Toc55727819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16</w:t>
        </w:r>
        <w:r w:rsidR="00794B7D" w:rsidRPr="002C3D0F">
          <w:rPr>
            <w:rFonts w:ascii="Times New Roman" w:hAnsi="Times New Roman" w:cs="Times New Roman"/>
            <w:i w:val="0"/>
            <w:noProof/>
            <w:webHidden/>
          </w:rPr>
          <w:fldChar w:fldCharType="end"/>
        </w:r>
      </w:hyperlink>
    </w:p>
    <w:p w14:paraId="43857F93"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20" w:history="1">
        <w:r w:rsidR="00794B7D" w:rsidRPr="002C3D0F">
          <w:rPr>
            <w:rStyle w:val="Kpr"/>
            <w:rFonts w:ascii="Times New Roman" w:hAnsi="Times New Roman" w:cs="Times New Roman"/>
            <w:noProof/>
          </w:rPr>
          <w:t>C-Reaktif Protein (CRP)</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_Toc55727820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17</w:t>
        </w:r>
        <w:r w:rsidR="00794B7D" w:rsidRPr="002C3D0F">
          <w:rPr>
            <w:rFonts w:ascii="Times New Roman" w:hAnsi="Times New Roman" w:cs="Times New Roman"/>
            <w:noProof/>
            <w:webHidden/>
          </w:rPr>
          <w:fldChar w:fldCharType="end"/>
        </w:r>
      </w:hyperlink>
    </w:p>
    <w:p w14:paraId="737BFACC"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21" w:history="1">
        <w:r w:rsidR="00794B7D" w:rsidRPr="002C3D0F">
          <w:rPr>
            <w:rStyle w:val="Kpr"/>
            <w:rFonts w:ascii="Times New Roman" w:hAnsi="Times New Roman" w:cs="Times New Roman"/>
            <w:noProof/>
          </w:rPr>
          <w:t>Prokalsitonin (PCT)</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_Toc55727821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18</w:t>
        </w:r>
        <w:r w:rsidR="00794B7D" w:rsidRPr="002C3D0F">
          <w:rPr>
            <w:rFonts w:ascii="Times New Roman" w:hAnsi="Times New Roman" w:cs="Times New Roman"/>
            <w:noProof/>
            <w:webHidden/>
          </w:rPr>
          <w:fldChar w:fldCharType="end"/>
        </w:r>
      </w:hyperlink>
    </w:p>
    <w:p w14:paraId="7651607D" w14:textId="31C3D126"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22" w:history="1">
        <w:r w:rsidR="00794B7D" w:rsidRPr="002C3D0F">
          <w:rPr>
            <w:rStyle w:val="Kpr"/>
            <w:rFonts w:ascii="Times New Roman" w:hAnsi="Times New Roman" w:cs="Times New Roman"/>
            <w:noProof/>
          </w:rPr>
          <w:t xml:space="preserve">Kan </w:t>
        </w:r>
        <w:r w:rsidR="00166D5E">
          <w:rPr>
            <w:rStyle w:val="Kpr"/>
            <w:rFonts w:ascii="Times New Roman" w:hAnsi="Times New Roman" w:cs="Times New Roman"/>
            <w:noProof/>
          </w:rPr>
          <w:t>G</w:t>
        </w:r>
        <w:r w:rsidR="00794B7D" w:rsidRPr="002C3D0F">
          <w:rPr>
            <w:rStyle w:val="Kpr"/>
            <w:rFonts w:ascii="Times New Roman" w:hAnsi="Times New Roman" w:cs="Times New Roman"/>
            <w:noProof/>
          </w:rPr>
          <w:t xml:space="preserve">azı </w:t>
        </w:r>
        <w:r w:rsidR="00166D5E">
          <w:rPr>
            <w:rStyle w:val="Kpr"/>
            <w:rFonts w:ascii="Times New Roman" w:hAnsi="Times New Roman" w:cs="Times New Roman"/>
            <w:noProof/>
          </w:rPr>
          <w:t>A</w:t>
        </w:r>
        <w:r w:rsidR="00794B7D" w:rsidRPr="002C3D0F">
          <w:rPr>
            <w:rStyle w:val="Kpr"/>
            <w:rFonts w:ascii="Times New Roman" w:hAnsi="Times New Roman" w:cs="Times New Roman"/>
            <w:noProof/>
          </w:rPr>
          <w:t>nalizi</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_Toc55727822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18</w:t>
        </w:r>
        <w:r w:rsidR="00794B7D" w:rsidRPr="002C3D0F">
          <w:rPr>
            <w:rFonts w:ascii="Times New Roman" w:hAnsi="Times New Roman" w:cs="Times New Roman"/>
            <w:noProof/>
            <w:webHidden/>
          </w:rPr>
          <w:fldChar w:fldCharType="end"/>
        </w:r>
      </w:hyperlink>
    </w:p>
    <w:p w14:paraId="2AEF8955"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23" w:history="1">
        <w:r w:rsidR="00794B7D" w:rsidRPr="002C3D0F">
          <w:rPr>
            <w:rStyle w:val="Kpr"/>
            <w:rFonts w:ascii="Times New Roman" w:hAnsi="Times New Roman" w:cs="Times New Roman"/>
            <w:noProof/>
          </w:rPr>
          <w:t>Laktat</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_Toc55727823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18</w:t>
        </w:r>
        <w:r w:rsidR="00794B7D" w:rsidRPr="002C3D0F">
          <w:rPr>
            <w:rFonts w:ascii="Times New Roman" w:hAnsi="Times New Roman" w:cs="Times New Roman"/>
            <w:noProof/>
            <w:webHidden/>
          </w:rPr>
          <w:fldChar w:fldCharType="end"/>
        </w:r>
      </w:hyperlink>
    </w:p>
    <w:p w14:paraId="42744756" w14:textId="73CC3E15"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24" w:history="1">
        <w:r w:rsidR="00794B7D" w:rsidRPr="002C3D0F">
          <w:rPr>
            <w:rStyle w:val="Kpr"/>
            <w:rFonts w:ascii="Times New Roman" w:hAnsi="Times New Roman" w:cs="Times New Roman"/>
            <w:noProof/>
          </w:rPr>
          <w:t>TREM-1</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_Toc55727824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18</w:t>
        </w:r>
        <w:r w:rsidR="00794B7D" w:rsidRPr="002C3D0F">
          <w:rPr>
            <w:rFonts w:ascii="Times New Roman" w:hAnsi="Times New Roman" w:cs="Times New Roman"/>
            <w:noProof/>
            <w:webHidden/>
          </w:rPr>
          <w:fldChar w:fldCharType="end"/>
        </w:r>
      </w:hyperlink>
    </w:p>
    <w:p w14:paraId="01E196B2"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25" w:history="1">
        <w:r w:rsidR="00794B7D" w:rsidRPr="002C3D0F">
          <w:rPr>
            <w:rStyle w:val="Kpr"/>
            <w:rFonts w:ascii="Times New Roman" w:hAnsi="Times New Roman" w:cs="Times New Roman"/>
            <w:noProof/>
          </w:rPr>
          <w:t>sHLA-G (Soluble human leukocyte antigen-G)</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_Toc55727825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19</w:t>
        </w:r>
        <w:r w:rsidR="00794B7D" w:rsidRPr="002C3D0F">
          <w:rPr>
            <w:rFonts w:ascii="Times New Roman" w:hAnsi="Times New Roman" w:cs="Times New Roman"/>
            <w:noProof/>
            <w:webHidden/>
          </w:rPr>
          <w:fldChar w:fldCharType="end"/>
        </w:r>
      </w:hyperlink>
    </w:p>
    <w:p w14:paraId="465EE615"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26" w:history="1">
        <w:r w:rsidR="00794B7D" w:rsidRPr="002C3D0F">
          <w:rPr>
            <w:rStyle w:val="Kpr"/>
            <w:rFonts w:ascii="Times New Roman" w:hAnsi="Times New Roman" w:cs="Times New Roman"/>
            <w:noProof/>
          </w:rPr>
          <w:t>TNF-α (Tümör Nekrosis Faktör- alfa)</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_Toc55727826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19</w:t>
        </w:r>
        <w:r w:rsidR="00794B7D" w:rsidRPr="002C3D0F">
          <w:rPr>
            <w:rFonts w:ascii="Times New Roman" w:hAnsi="Times New Roman" w:cs="Times New Roman"/>
            <w:noProof/>
            <w:webHidden/>
          </w:rPr>
          <w:fldChar w:fldCharType="end"/>
        </w:r>
      </w:hyperlink>
    </w:p>
    <w:p w14:paraId="41AD8F0B"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27" w:history="1">
        <w:r w:rsidR="00794B7D" w:rsidRPr="002C3D0F">
          <w:rPr>
            <w:rStyle w:val="Kpr"/>
            <w:rFonts w:ascii="Times New Roman" w:hAnsi="Times New Roman" w:cs="Times New Roman"/>
            <w:noProof/>
          </w:rPr>
          <w:t>TGF-β (Transforming büyüme faktörü-beta)</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_Toc55727827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19</w:t>
        </w:r>
        <w:r w:rsidR="00794B7D" w:rsidRPr="002C3D0F">
          <w:rPr>
            <w:rFonts w:ascii="Times New Roman" w:hAnsi="Times New Roman" w:cs="Times New Roman"/>
            <w:noProof/>
            <w:webHidden/>
          </w:rPr>
          <w:fldChar w:fldCharType="end"/>
        </w:r>
      </w:hyperlink>
    </w:p>
    <w:p w14:paraId="3A557A8E"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28" w:history="1">
        <w:r w:rsidR="00794B7D" w:rsidRPr="002C3D0F">
          <w:rPr>
            <w:rStyle w:val="Kpr"/>
            <w:rFonts w:ascii="Times New Roman" w:hAnsi="Times New Roman" w:cs="Times New Roman"/>
            <w:noProof/>
          </w:rPr>
          <w:t>IFN-γ (İnterferon-gama)</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_Toc55727828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20</w:t>
        </w:r>
        <w:r w:rsidR="00794B7D" w:rsidRPr="002C3D0F">
          <w:rPr>
            <w:rFonts w:ascii="Times New Roman" w:hAnsi="Times New Roman" w:cs="Times New Roman"/>
            <w:noProof/>
            <w:webHidden/>
          </w:rPr>
          <w:fldChar w:fldCharType="end"/>
        </w:r>
      </w:hyperlink>
    </w:p>
    <w:p w14:paraId="7C4B6017"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29" w:history="1">
        <w:r w:rsidR="00794B7D" w:rsidRPr="002C3D0F">
          <w:rPr>
            <w:rStyle w:val="Kpr"/>
            <w:rFonts w:ascii="Times New Roman" w:hAnsi="Times New Roman" w:cs="Times New Roman"/>
            <w:noProof/>
          </w:rPr>
          <w:t>İnterlökin-4 (IL-4)</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_Toc55727829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20</w:t>
        </w:r>
        <w:r w:rsidR="00794B7D" w:rsidRPr="002C3D0F">
          <w:rPr>
            <w:rFonts w:ascii="Times New Roman" w:hAnsi="Times New Roman" w:cs="Times New Roman"/>
            <w:noProof/>
            <w:webHidden/>
          </w:rPr>
          <w:fldChar w:fldCharType="end"/>
        </w:r>
      </w:hyperlink>
    </w:p>
    <w:p w14:paraId="72B24FA2"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30" w:history="1">
        <w:r w:rsidR="00794B7D" w:rsidRPr="002C3D0F">
          <w:rPr>
            <w:rStyle w:val="Kpr"/>
            <w:rFonts w:ascii="Times New Roman" w:hAnsi="Times New Roman" w:cs="Times New Roman"/>
            <w:noProof/>
          </w:rPr>
          <w:t>İnterlökin-6 (IL-6)</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_Toc55727830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20</w:t>
        </w:r>
        <w:r w:rsidR="00794B7D" w:rsidRPr="002C3D0F">
          <w:rPr>
            <w:rFonts w:ascii="Times New Roman" w:hAnsi="Times New Roman" w:cs="Times New Roman"/>
            <w:noProof/>
            <w:webHidden/>
          </w:rPr>
          <w:fldChar w:fldCharType="end"/>
        </w:r>
      </w:hyperlink>
    </w:p>
    <w:p w14:paraId="3DA5EEAA"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31" w:history="1">
        <w:r w:rsidR="00794B7D" w:rsidRPr="002C3D0F">
          <w:rPr>
            <w:rStyle w:val="Kpr"/>
            <w:rFonts w:ascii="Times New Roman" w:hAnsi="Times New Roman" w:cs="Times New Roman"/>
            <w:noProof/>
          </w:rPr>
          <w:t>İnterlökin-10 (IL-10)</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_Toc55727831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20</w:t>
        </w:r>
        <w:r w:rsidR="00794B7D" w:rsidRPr="002C3D0F">
          <w:rPr>
            <w:rFonts w:ascii="Times New Roman" w:hAnsi="Times New Roman" w:cs="Times New Roman"/>
            <w:noProof/>
            <w:webHidden/>
          </w:rPr>
          <w:fldChar w:fldCharType="end"/>
        </w:r>
      </w:hyperlink>
    </w:p>
    <w:p w14:paraId="21C1D07E"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32" w:history="1">
        <w:r w:rsidR="00794B7D" w:rsidRPr="002C3D0F">
          <w:rPr>
            <w:rStyle w:val="Kpr"/>
            <w:rFonts w:ascii="Times New Roman" w:hAnsi="Times New Roman" w:cs="Times New Roman"/>
            <w:noProof/>
          </w:rPr>
          <w:t>İnterlökin-17 (IL-17)</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_Toc55727832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21</w:t>
        </w:r>
        <w:r w:rsidR="00794B7D" w:rsidRPr="002C3D0F">
          <w:rPr>
            <w:rFonts w:ascii="Times New Roman" w:hAnsi="Times New Roman" w:cs="Times New Roman"/>
            <w:noProof/>
            <w:webHidden/>
          </w:rPr>
          <w:fldChar w:fldCharType="end"/>
        </w:r>
      </w:hyperlink>
    </w:p>
    <w:p w14:paraId="2368385C" w14:textId="77777777" w:rsidR="00794B7D" w:rsidRPr="002C3D0F" w:rsidRDefault="009F02C6">
      <w:pPr>
        <w:pStyle w:val="T2"/>
        <w:tabs>
          <w:tab w:val="left" w:pos="1680"/>
          <w:tab w:val="right" w:leader="dot" w:pos="8493"/>
        </w:tabs>
        <w:rPr>
          <w:rFonts w:ascii="Times New Roman" w:eastAsiaTheme="minorEastAsia" w:hAnsi="Times New Roman" w:cs="Times New Roman"/>
          <w:i w:val="0"/>
          <w:iCs w:val="0"/>
          <w:noProof/>
          <w:lang w:eastAsia="tr-TR"/>
        </w:rPr>
      </w:pPr>
      <w:hyperlink w:anchor="_Toc55727833" w:history="1">
        <w:r w:rsidR="00794B7D" w:rsidRPr="002C3D0F">
          <w:rPr>
            <w:rStyle w:val="Kpr"/>
            <w:rFonts w:ascii="Times New Roman" w:hAnsi="Times New Roman" w:cs="Times New Roman"/>
            <w:i w:val="0"/>
            <w:noProof/>
          </w:rPr>
          <w:t>2.11</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Sepsiste Gastrointestinal Sistem</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_Toc55727833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21</w:t>
        </w:r>
        <w:r w:rsidR="00794B7D" w:rsidRPr="002C3D0F">
          <w:rPr>
            <w:rFonts w:ascii="Times New Roman" w:hAnsi="Times New Roman" w:cs="Times New Roman"/>
            <w:i w:val="0"/>
            <w:noProof/>
            <w:webHidden/>
          </w:rPr>
          <w:fldChar w:fldCharType="end"/>
        </w:r>
      </w:hyperlink>
    </w:p>
    <w:p w14:paraId="7046D8F1" w14:textId="77777777" w:rsidR="00794B7D" w:rsidRPr="002C3D0F" w:rsidRDefault="009F02C6">
      <w:pPr>
        <w:pStyle w:val="T2"/>
        <w:tabs>
          <w:tab w:val="left" w:pos="1680"/>
          <w:tab w:val="right" w:leader="dot" w:pos="8493"/>
        </w:tabs>
        <w:rPr>
          <w:rFonts w:ascii="Times New Roman" w:eastAsiaTheme="minorEastAsia" w:hAnsi="Times New Roman" w:cs="Times New Roman"/>
          <w:i w:val="0"/>
          <w:iCs w:val="0"/>
          <w:noProof/>
          <w:lang w:eastAsia="tr-TR"/>
        </w:rPr>
      </w:pPr>
      <w:hyperlink w:anchor="_Toc55727834" w:history="1">
        <w:r w:rsidR="00794B7D" w:rsidRPr="002C3D0F">
          <w:rPr>
            <w:rStyle w:val="Kpr"/>
            <w:rFonts w:ascii="Times New Roman" w:hAnsi="Times New Roman" w:cs="Times New Roman"/>
            <w:i w:val="0"/>
            <w:noProof/>
          </w:rPr>
          <w:t>2.12</w:t>
        </w:r>
        <w:r w:rsidR="00794B7D" w:rsidRPr="002C3D0F">
          <w:rPr>
            <w:rFonts w:ascii="Times New Roman" w:eastAsiaTheme="minorEastAsia" w:hAnsi="Times New Roman" w:cs="Times New Roman"/>
            <w:i w:val="0"/>
            <w:iCs w:val="0"/>
            <w:noProof/>
            <w:lang w:eastAsia="tr-TR"/>
          </w:rPr>
          <w:tab/>
        </w:r>
        <w:r w:rsidR="00794B7D" w:rsidRPr="002C3D0F">
          <w:rPr>
            <w:rStyle w:val="Kpr"/>
            <w:rFonts w:ascii="Times New Roman" w:hAnsi="Times New Roman" w:cs="Times New Roman"/>
            <w:i w:val="0"/>
            <w:noProof/>
          </w:rPr>
          <w:t>Sepsis ve Karaciğer</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_Toc55727834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21</w:t>
        </w:r>
        <w:r w:rsidR="00794B7D" w:rsidRPr="002C3D0F">
          <w:rPr>
            <w:rFonts w:ascii="Times New Roman" w:hAnsi="Times New Roman" w:cs="Times New Roman"/>
            <w:i w:val="0"/>
            <w:noProof/>
            <w:webHidden/>
          </w:rPr>
          <w:fldChar w:fldCharType="end"/>
        </w:r>
      </w:hyperlink>
    </w:p>
    <w:p w14:paraId="68FD863E" w14:textId="25916F66" w:rsidR="00794B7D" w:rsidRPr="002C3D0F" w:rsidRDefault="009F02C6">
      <w:pPr>
        <w:pStyle w:val="T2"/>
        <w:tabs>
          <w:tab w:val="left" w:pos="1680"/>
          <w:tab w:val="right" w:leader="dot" w:pos="8493"/>
        </w:tabs>
        <w:rPr>
          <w:rFonts w:ascii="Times New Roman" w:eastAsiaTheme="minorEastAsia" w:hAnsi="Times New Roman" w:cs="Times New Roman"/>
          <w:i w:val="0"/>
          <w:iCs w:val="0"/>
          <w:noProof/>
          <w:lang w:eastAsia="tr-TR"/>
        </w:rPr>
      </w:pPr>
      <w:hyperlink w:anchor="_Toc55727835" w:history="1">
        <w:r w:rsidR="00794B7D" w:rsidRPr="002C3D0F">
          <w:rPr>
            <w:rStyle w:val="Kpr"/>
            <w:rFonts w:ascii="Times New Roman" w:hAnsi="Times New Roman" w:cs="Times New Roman"/>
            <w:i w:val="0"/>
            <w:noProof/>
          </w:rPr>
          <w:t>2.13</w:t>
        </w:r>
        <w:r w:rsidR="00794B7D" w:rsidRPr="002C3D0F">
          <w:rPr>
            <w:rFonts w:ascii="Times New Roman" w:eastAsiaTheme="minorEastAsia" w:hAnsi="Times New Roman" w:cs="Times New Roman"/>
            <w:i w:val="0"/>
            <w:iCs w:val="0"/>
            <w:noProof/>
            <w:lang w:eastAsia="tr-TR"/>
          </w:rPr>
          <w:tab/>
        </w:r>
        <w:r w:rsidR="000A58F7">
          <w:rPr>
            <w:rStyle w:val="Kpr"/>
            <w:rFonts w:ascii="Times New Roman" w:hAnsi="Times New Roman" w:cs="Times New Roman"/>
            <w:i w:val="0"/>
            <w:noProof/>
          </w:rPr>
          <w:t>Karaciğer N</w:t>
        </w:r>
        <w:r w:rsidR="00794B7D" w:rsidRPr="002C3D0F">
          <w:rPr>
            <w:rStyle w:val="Kpr"/>
            <w:rFonts w:ascii="Times New Roman" w:hAnsi="Times New Roman" w:cs="Times New Roman"/>
            <w:i w:val="0"/>
            <w:noProof/>
          </w:rPr>
          <w:t xml:space="preserve">aklinde </w:t>
        </w:r>
        <w:r w:rsidR="000A58F7">
          <w:rPr>
            <w:rStyle w:val="Kpr"/>
            <w:rFonts w:ascii="Times New Roman" w:hAnsi="Times New Roman" w:cs="Times New Roman"/>
            <w:i w:val="0"/>
            <w:noProof/>
          </w:rPr>
          <w:t>B</w:t>
        </w:r>
        <w:r w:rsidR="00794B7D" w:rsidRPr="002C3D0F">
          <w:rPr>
            <w:rStyle w:val="Kpr"/>
            <w:rFonts w:ascii="Times New Roman" w:hAnsi="Times New Roman" w:cs="Times New Roman"/>
            <w:i w:val="0"/>
            <w:noProof/>
          </w:rPr>
          <w:t>iyopsi</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_Toc55727835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24</w:t>
        </w:r>
        <w:r w:rsidR="00794B7D" w:rsidRPr="002C3D0F">
          <w:rPr>
            <w:rFonts w:ascii="Times New Roman" w:hAnsi="Times New Roman" w:cs="Times New Roman"/>
            <w:i w:val="0"/>
            <w:noProof/>
            <w:webHidden/>
          </w:rPr>
          <w:fldChar w:fldCharType="end"/>
        </w:r>
      </w:hyperlink>
    </w:p>
    <w:p w14:paraId="6113D98E" w14:textId="77777777" w:rsidR="00794B7D" w:rsidRPr="002C3D0F" w:rsidRDefault="009F02C6">
      <w:pPr>
        <w:pStyle w:val="T1"/>
        <w:tabs>
          <w:tab w:val="left" w:pos="1200"/>
          <w:tab w:val="right" w:leader="dot" w:pos="8493"/>
        </w:tabs>
        <w:rPr>
          <w:rFonts w:eastAsiaTheme="minorEastAsia" w:cs="Times New Roman"/>
          <w:b w:val="0"/>
          <w:bCs w:val="0"/>
          <w:noProof/>
          <w:lang w:eastAsia="tr-TR"/>
        </w:rPr>
      </w:pPr>
      <w:hyperlink w:anchor="_Toc55727836" w:history="1">
        <w:r w:rsidR="00794B7D" w:rsidRPr="002C3D0F">
          <w:rPr>
            <w:rStyle w:val="Kpr"/>
            <w:rFonts w:cs="Times New Roman"/>
            <w:noProof/>
          </w:rPr>
          <w:t>3.</w:t>
        </w:r>
        <w:r w:rsidR="00794B7D" w:rsidRPr="002C3D0F">
          <w:rPr>
            <w:rFonts w:eastAsiaTheme="minorEastAsia" w:cs="Times New Roman"/>
            <w:b w:val="0"/>
            <w:bCs w:val="0"/>
            <w:noProof/>
            <w:lang w:eastAsia="tr-TR"/>
          </w:rPr>
          <w:tab/>
        </w:r>
        <w:r w:rsidR="00794B7D" w:rsidRPr="002C3D0F">
          <w:rPr>
            <w:rStyle w:val="Kpr"/>
            <w:rFonts w:cs="Times New Roman"/>
            <w:noProof/>
          </w:rPr>
          <w:t>GEREÇ VE YÖNTEM</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_Toc55727836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25</w:t>
        </w:r>
        <w:r w:rsidR="00794B7D" w:rsidRPr="002C3D0F">
          <w:rPr>
            <w:rFonts w:cs="Times New Roman"/>
            <w:noProof/>
            <w:webHidden/>
          </w:rPr>
          <w:fldChar w:fldCharType="end"/>
        </w:r>
      </w:hyperlink>
    </w:p>
    <w:p w14:paraId="518DFF0A" w14:textId="77777777" w:rsidR="00794B7D" w:rsidRPr="002C3D0F" w:rsidRDefault="009F02C6">
      <w:pPr>
        <w:pStyle w:val="T2"/>
        <w:tabs>
          <w:tab w:val="right" w:leader="dot" w:pos="8493"/>
        </w:tabs>
        <w:rPr>
          <w:rFonts w:ascii="Times New Roman" w:eastAsiaTheme="minorEastAsia" w:hAnsi="Times New Roman" w:cs="Times New Roman"/>
          <w:i w:val="0"/>
          <w:iCs w:val="0"/>
          <w:noProof/>
          <w:lang w:eastAsia="tr-TR"/>
        </w:rPr>
      </w:pPr>
      <w:hyperlink w:anchor="_Toc55727837" w:history="1">
        <w:r w:rsidR="00794B7D" w:rsidRPr="002C3D0F">
          <w:rPr>
            <w:rStyle w:val="Kpr"/>
            <w:rFonts w:ascii="Times New Roman" w:hAnsi="Times New Roman" w:cs="Times New Roman"/>
            <w:i w:val="0"/>
            <w:noProof/>
          </w:rPr>
          <w:t>Materyallerin Toplanması ve Değerlendirilmesi</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_Toc55727837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25</w:t>
        </w:r>
        <w:r w:rsidR="00794B7D" w:rsidRPr="002C3D0F">
          <w:rPr>
            <w:rFonts w:ascii="Times New Roman" w:hAnsi="Times New Roman" w:cs="Times New Roman"/>
            <w:i w:val="0"/>
            <w:noProof/>
            <w:webHidden/>
          </w:rPr>
          <w:fldChar w:fldCharType="end"/>
        </w:r>
      </w:hyperlink>
    </w:p>
    <w:p w14:paraId="4F7E1665" w14:textId="440349F3"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38" w:history="1">
        <w:r w:rsidR="00794B7D" w:rsidRPr="002C3D0F">
          <w:rPr>
            <w:rStyle w:val="Kpr"/>
            <w:rFonts w:ascii="Times New Roman" w:hAnsi="Times New Roman" w:cs="Times New Roman"/>
            <w:noProof/>
          </w:rPr>
          <w:t xml:space="preserve">Demografik </w:t>
        </w:r>
        <w:r w:rsidR="00166D5E">
          <w:rPr>
            <w:rStyle w:val="Kpr"/>
            <w:rFonts w:ascii="Times New Roman" w:hAnsi="Times New Roman" w:cs="Times New Roman"/>
            <w:noProof/>
          </w:rPr>
          <w:t>V</w:t>
        </w:r>
        <w:r w:rsidR="00794B7D" w:rsidRPr="002C3D0F">
          <w:rPr>
            <w:rStyle w:val="Kpr"/>
            <w:rFonts w:ascii="Times New Roman" w:hAnsi="Times New Roman" w:cs="Times New Roman"/>
            <w:noProof/>
          </w:rPr>
          <w:t>eriler</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_Toc55727838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25</w:t>
        </w:r>
        <w:r w:rsidR="00794B7D" w:rsidRPr="002C3D0F">
          <w:rPr>
            <w:rFonts w:ascii="Times New Roman" w:hAnsi="Times New Roman" w:cs="Times New Roman"/>
            <w:noProof/>
            <w:webHidden/>
          </w:rPr>
          <w:fldChar w:fldCharType="end"/>
        </w:r>
      </w:hyperlink>
    </w:p>
    <w:p w14:paraId="332E12E2" w14:textId="17FB24E4"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39" w:history="1">
        <w:r w:rsidR="00166D5E">
          <w:rPr>
            <w:rStyle w:val="Kpr"/>
            <w:rFonts w:ascii="Times New Roman" w:hAnsi="Times New Roman" w:cs="Times New Roman"/>
            <w:noProof/>
          </w:rPr>
          <w:t>Laboratuvar V</w:t>
        </w:r>
        <w:r w:rsidR="00794B7D" w:rsidRPr="002C3D0F">
          <w:rPr>
            <w:rStyle w:val="Kpr"/>
            <w:rFonts w:ascii="Times New Roman" w:hAnsi="Times New Roman" w:cs="Times New Roman"/>
            <w:noProof/>
          </w:rPr>
          <w:t>erileri</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_Toc55727839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25</w:t>
        </w:r>
        <w:r w:rsidR="00794B7D" w:rsidRPr="002C3D0F">
          <w:rPr>
            <w:rFonts w:ascii="Times New Roman" w:hAnsi="Times New Roman" w:cs="Times New Roman"/>
            <w:noProof/>
            <w:webHidden/>
          </w:rPr>
          <w:fldChar w:fldCharType="end"/>
        </w:r>
      </w:hyperlink>
    </w:p>
    <w:p w14:paraId="09973B0D" w14:textId="0A970359"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40" w:history="1">
        <w:r w:rsidR="00166D5E">
          <w:rPr>
            <w:rStyle w:val="Kpr"/>
            <w:rFonts w:ascii="Times New Roman" w:hAnsi="Times New Roman" w:cs="Times New Roman"/>
            <w:noProof/>
          </w:rPr>
          <w:t>Spesifik T</w:t>
        </w:r>
        <w:r w:rsidR="00794B7D" w:rsidRPr="002C3D0F">
          <w:rPr>
            <w:rStyle w:val="Kpr"/>
            <w:rFonts w:ascii="Times New Roman" w:hAnsi="Times New Roman" w:cs="Times New Roman"/>
            <w:noProof/>
          </w:rPr>
          <w:t>estler</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_Toc55727840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26</w:t>
        </w:r>
        <w:r w:rsidR="00794B7D" w:rsidRPr="002C3D0F">
          <w:rPr>
            <w:rFonts w:ascii="Times New Roman" w:hAnsi="Times New Roman" w:cs="Times New Roman"/>
            <w:noProof/>
            <w:webHidden/>
          </w:rPr>
          <w:fldChar w:fldCharType="end"/>
        </w:r>
      </w:hyperlink>
    </w:p>
    <w:p w14:paraId="09C11820" w14:textId="77777777"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41" w:history="1">
        <w:r w:rsidR="00794B7D" w:rsidRPr="002C3D0F">
          <w:rPr>
            <w:rStyle w:val="Kpr"/>
            <w:rFonts w:ascii="Times New Roman" w:hAnsi="Times New Roman" w:cs="Times New Roman"/>
            <w:noProof/>
          </w:rPr>
          <w:t>Histopatoloji</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_Toc55727841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27</w:t>
        </w:r>
        <w:r w:rsidR="00794B7D" w:rsidRPr="002C3D0F">
          <w:rPr>
            <w:rFonts w:ascii="Times New Roman" w:hAnsi="Times New Roman" w:cs="Times New Roman"/>
            <w:noProof/>
            <w:webHidden/>
          </w:rPr>
          <w:fldChar w:fldCharType="end"/>
        </w:r>
      </w:hyperlink>
    </w:p>
    <w:p w14:paraId="4FC73228" w14:textId="43D1E01A" w:rsidR="00794B7D" w:rsidRPr="002C3D0F" w:rsidRDefault="009F02C6">
      <w:pPr>
        <w:pStyle w:val="T3"/>
        <w:tabs>
          <w:tab w:val="right" w:leader="dot" w:pos="8493"/>
        </w:tabs>
        <w:rPr>
          <w:rFonts w:ascii="Times New Roman" w:eastAsiaTheme="minorEastAsia" w:hAnsi="Times New Roman" w:cs="Times New Roman"/>
          <w:noProof/>
          <w:lang w:eastAsia="tr-TR"/>
        </w:rPr>
      </w:pPr>
      <w:hyperlink w:anchor="_Toc55727842" w:history="1">
        <w:r w:rsidR="00794B7D" w:rsidRPr="002C3D0F">
          <w:rPr>
            <w:rStyle w:val="Kpr"/>
            <w:rFonts w:ascii="Times New Roman" w:hAnsi="Times New Roman" w:cs="Times New Roman"/>
            <w:noProof/>
          </w:rPr>
          <w:t xml:space="preserve">Elektron </w:t>
        </w:r>
        <w:r w:rsidR="00166D5E">
          <w:rPr>
            <w:rStyle w:val="Kpr"/>
            <w:rFonts w:ascii="Times New Roman" w:hAnsi="Times New Roman" w:cs="Times New Roman"/>
            <w:noProof/>
          </w:rPr>
          <w:t>M</w:t>
        </w:r>
        <w:r w:rsidR="00794B7D" w:rsidRPr="002C3D0F">
          <w:rPr>
            <w:rStyle w:val="Kpr"/>
            <w:rFonts w:ascii="Times New Roman" w:hAnsi="Times New Roman" w:cs="Times New Roman"/>
            <w:noProof/>
          </w:rPr>
          <w:t>ikroskopi</w:t>
        </w:r>
        <w:r w:rsidR="00166D5E">
          <w:rPr>
            <w:rStyle w:val="Kpr"/>
            <w:rFonts w:ascii="Times New Roman" w:hAnsi="Times New Roman" w:cs="Times New Roman"/>
            <w:noProof/>
          </w:rPr>
          <w:t>si</w:t>
        </w:r>
        <w:r w:rsidR="00794B7D" w:rsidRPr="002C3D0F">
          <w:rPr>
            <w:rFonts w:ascii="Times New Roman" w:hAnsi="Times New Roman" w:cs="Times New Roman"/>
            <w:noProof/>
            <w:webHidden/>
          </w:rPr>
          <w:tab/>
        </w:r>
        <w:r w:rsidR="00794B7D" w:rsidRPr="002C3D0F">
          <w:rPr>
            <w:rFonts w:ascii="Times New Roman" w:hAnsi="Times New Roman" w:cs="Times New Roman"/>
            <w:noProof/>
            <w:webHidden/>
          </w:rPr>
          <w:fldChar w:fldCharType="begin"/>
        </w:r>
        <w:r w:rsidR="00794B7D" w:rsidRPr="002C3D0F">
          <w:rPr>
            <w:rFonts w:ascii="Times New Roman" w:hAnsi="Times New Roman" w:cs="Times New Roman"/>
            <w:noProof/>
            <w:webHidden/>
          </w:rPr>
          <w:instrText xml:space="preserve"> PAGEREF _Toc55727842 \h </w:instrText>
        </w:r>
        <w:r w:rsidR="00794B7D" w:rsidRPr="002C3D0F">
          <w:rPr>
            <w:rFonts w:ascii="Times New Roman" w:hAnsi="Times New Roman" w:cs="Times New Roman"/>
            <w:noProof/>
            <w:webHidden/>
          </w:rPr>
        </w:r>
        <w:r w:rsidR="00794B7D" w:rsidRPr="002C3D0F">
          <w:rPr>
            <w:rFonts w:ascii="Times New Roman" w:hAnsi="Times New Roman" w:cs="Times New Roman"/>
            <w:noProof/>
            <w:webHidden/>
          </w:rPr>
          <w:fldChar w:fldCharType="separate"/>
        </w:r>
        <w:r w:rsidR="00794B7D" w:rsidRPr="002C3D0F">
          <w:rPr>
            <w:rFonts w:ascii="Times New Roman" w:hAnsi="Times New Roman" w:cs="Times New Roman"/>
            <w:noProof/>
            <w:webHidden/>
          </w:rPr>
          <w:t>28</w:t>
        </w:r>
        <w:r w:rsidR="00794B7D" w:rsidRPr="002C3D0F">
          <w:rPr>
            <w:rFonts w:ascii="Times New Roman" w:hAnsi="Times New Roman" w:cs="Times New Roman"/>
            <w:noProof/>
            <w:webHidden/>
          </w:rPr>
          <w:fldChar w:fldCharType="end"/>
        </w:r>
      </w:hyperlink>
    </w:p>
    <w:p w14:paraId="27DBFAA8" w14:textId="77777777" w:rsidR="00794B7D" w:rsidRPr="002C3D0F" w:rsidRDefault="009F02C6">
      <w:pPr>
        <w:pStyle w:val="T2"/>
        <w:tabs>
          <w:tab w:val="right" w:leader="dot" w:pos="8493"/>
        </w:tabs>
        <w:rPr>
          <w:rFonts w:ascii="Times New Roman" w:eastAsiaTheme="minorEastAsia" w:hAnsi="Times New Roman" w:cs="Times New Roman"/>
          <w:i w:val="0"/>
          <w:iCs w:val="0"/>
          <w:noProof/>
          <w:lang w:eastAsia="tr-TR"/>
        </w:rPr>
      </w:pPr>
      <w:hyperlink w:anchor="_Toc55727843" w:history="1">
        <w:r w:rsidR="00794B7D" w:rsidRPr="002C3D0F">
          <w:rPr>
            <w:rStyle w:val="Kpr"/>
            <w:rFonts w:ascii="Times New Roman" w:hAnsi="Times New Roman" w:cs="Times New Roman"/>
            <w:i w:val="0"/>
            <w:noProof/>
          </w:rPr>
          <w:t>İstatistiksel Analiz</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_Toc55727843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29</w:t>
        </w:r>
        <w:r w:rsidR="00794B7D" w:rsidRPr="002C3D0F">
          <w:rPr>
            <w:rFonts w:ascii="Times New Roman" w:hAnsi="Times New Roman" w:cs="Times New Roman"/>
            <w:i w:val="0"/>
            <w:noProof/>
            <w:webHidden/>
          </w:rPr>
          <w:fldChar w:fldCharType="end"/>
        </w:r>
      </w:hyperlink>
    </w:p>
    <w:p w14:paraId="3D2BB581" w14:textId="77777777" w:rsidR="00794B7D" w:rsidRPr="002C3D0F" w:rsidRDefault="009F02C6">
      <w:pPr>
        <w:pStyle w:val="T1"/>
        <w:tabs>
          <w:tab w:val="left" w:pos="1200"/>
          <w:tab w:val="right" w:leader="dot" w:pos="8493"/>
        </w:tabs>
        <w:rPr>
          <w:rFonts w:eastAsiaTheme="minorEastAsia" w:cs="Times New Roman"/>
          <w:b w:val="0"/>
          <w:bCs w:val="0"/>
          <w:noProof/>
          <w:lang w:eastAsia="tr-TR"/>
        </w:rPr>
      </w:pPr>
      <w:hyperlink w:anchor="_Toc55727844" w:history="1">
        <w:r w:rsidR="00794B7D" w:rsidRPr="002C3D0F">
          <w:rPr>
            <w:rStyle w:val="Kpr"/>
            <w:rFonts w:cs="Times New Roman"/>
            <w:noProof/>
          </w:rPr>
          <w:t>4.</w:t>
        </w:r>
        <w:r w:rsidR="00794B7D" w:rsidRPr="002C3D0F">
          <w:rPr>
            <w:rFonts w:eastAsiaTheme="minorEastAsia" w:cs="Times New Roman"/>
            <w:b w:val="0"/>
            <w:bCs w:val="0"/>
            <w:noProof/>
            <w:lang w:eastAsia="tr-TR"/>
          </w:rPr>
          <w:tab/>
        </w:r>
        <w:r w:rsidR="00794B7D" w:rsidRPr="002C3D0F">
          <w:rPr>
            <w:rStyle w:val="Kpr"/>
            <w:rFonts w:cs="Times New Roman"/>
            <w:noProof/>
          </w:rPr>
          <w:t>BULGULAR</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_Toc55727844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31</w:t>
        </w:r>
        <w:r w:rsidR="00794B7D" w:rsidRPr="002C3D0F">
          <w:rPr>
            <w:rFonts w:cs="Times New Roman"/>
            <w:noProof/>
            <w:webHidden/>
          </w:rPr>
          <w:fldChar w:fldCharType="end"/>
        </w:r>
      </w:hyperlink>
    </w:p>
    <w:p w14:paraId="50DEF1BA" w14:textId="77777777" w:rsidR="00794B7D" w:rsidRPr="002C3D0F" w:rsidRDefault="009F02C6">
      <w:pPr>
        <w:pStyle w:val="T2"/>
        <w:tabs>
          <w:tab w:val="right" w:leader="dot" w:pos="8493"/>
        </w:tabs>
        <w:rPr>
          <w:rFonts w:ascii="Times New Roman" w:eastAsiaTheme="minorEastAsia" w:hAnsi="Times New Roman" w:cs="Times New Roman"/>
          <w:i w:val="0"/>
          <w:iCs w:val="0"/>
          <w:noProof/>
          <w:lang w:eastAsia="tr-TR"/>
        </w:rPr>
      </w:pPr>
      <w:hyperlink w:anchor="_Toc55727845" w:history="1">
        <w:r w:rsidR="00794B7D" w:rsidRPr="002C3D0F">
          <w:rPr>
            <w:rStyle w:val="Kpr"/>
            <w:rFonts w:ascii="Times New Roman" w:hAnsi="Times New Roman" w:cs="Times New Roman"/>
            <w:i w:val="0"/>
            <w:noProof/>
          </w:rPr>
          <w:t>Elektron Mikroskopisi Bulguları</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_Toc55727845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31</w:t>
        </w:r>
        <w:r w:rsidR="00794B7D" w:rsidRPr="002C3D0F">
          <w:rPr>
            <w:rFonts w:ascii="Times New Roman" w:hAnsi="Times New Roman" w:cs="Times New Roman"/>
            <w:i w:val="0"/>
            <w:noProof/>
            <w:webHidden/>
          </w:rPr>
          <w:fldChar w:fldCharType="end"/>
        </w:r>
      </w:hyperlink>
    </w:p>
    <w:p w14:paraId="13EC3A93" w14:textId="5EEFE56B" w:rsidR="00794B7D" w:rsidRPr="002C3D0F" w:rsidRDefault="009F02C6">
      <w:pPr>
        <w:pStyle w:val="T2"/>
        <w:tabs>
          <w:tab w:val="right" w:leader="dot" w:pos="8493"/>
        </w:tabs>
        <w:rPr>
          <w:rFonts w:ascii="Times New Roman" w:eastAsiaTheme="minorEastAsia" w:hAnsi="Times New Roman" w:cs="Times New Roman"/>
          <w:i w:val="0"/>
          <w:iCs w:val="0"/>
          <w:noProof/>
          <w:lang w:eastAsia="tr-TR"/>
        </w:rPr>
      </w:pPr>
      <w:hyperlink w:anchor="_Toc55727846" w:history="1">
        <w:r w:rsidR="00794B7D" w:rsidRPr="002C3D0F">
          <w:rPr>
            <w:rStyle w:val="Kpr"/>
            <w:rFonts w:ascii="Times New Roman" w:hAnsi="Times New Roman" w:cs="Times New Roman"/>
            <w:i w:val="0"/>
            <w:noProof/>
          </w:rPr>
          <w:t xml:space="preserve">Çalışma </w:t>
        </w:r>
        <w:r w:rsidR="000A58F7" w:rsidRPr="002C3D0F">
          <w:rPr>
            <w:rStyle w:val="Kpr"/>
            <w:rFonts w:ascii="Times New Roman" w:hAnsi="Times New Roman" w:cs="Times New Roman"/>
            <w:i w:val="0"/>
            <w:noProof/>
          </w:rPr>
          <w:t>Hastalar</w:t>
        </w:r>
        <w:r w:rsidR="000A58F7">
          <w:rPr>
            <w:rStyle w:val="Kpr"/>
            <w:rFonts w:ascii="Times New Roman" w:hAnsi="Times New Roman" w:cs="Times New Roman"/>
            <w:i w:val="0"/>
            <w:noProof/>
          </w:rPr>
          <w:t>ının Genel Demografik v</w:t>
        </w:r>
        <w:r w:rsidR="000A58F7" w:rsidRPr="002C3D0F">
          <w:rPr>
            <w:rStyle w:val="Kpr"/>
            <w:rFonts w:ascii="Times New Roman" w:hAnsi="Times New Roman" w:cs="Times New Roman"/>
            <w:i w:val="0"/>
            <w:noProof/>
          </w:rPr>
          <w:t>e Klinik Özellikleri</w:t>
        </w:r>
        <w:r w:rsidR="000A58F7"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_Toc55727846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0A58F7" w:rsidRPr="002C3D0F">
          <w:rPr>
            <w:rFonts w:ascii="Times New Roman" w:hAnsi="Times New Roman" w:cs="Times New Roman"/>
            <w:i w:val="0"/>
            <w:noProof/>
            <w:webHidden/>
          </w:rPr>
          <w:t>34</w:t>
        </w:r>
        <w:r w:rsidR="00794B7D" w:rsidRPr="002C3D0F">
          <w:rPr>
            <w:rFonts w:ascii="Times New Roman" w:hAnsi="Times New Roman" w:cs="Times New Roman"/>
            <w:i w:val="0"/>
            <w:noProof/>
            <w:webHidden/>
          </w:rPr>
          <w:fldChar w:fldCharType="end"/>
        </w:r>
      </w:hyperlink>
    </w:p>
    <w:p w14:paraId="688FD03F" w14:textId="40FF9D45" w:rsidR="00794B7D" w:rsidRPr="002C3D0F" w:rsidRDefault="009F02C6">
      <w:pPr>
        <w:pStyle w:val="T2"/>
        <w:tabs>
          <w:tab w:val="right" w:leader="dot" w:pos="8493"/>
        </w:tabs>
        <w:rPr>
          <w:rFonts w:ascii="Times New Roman" w:eastAsiaTheme="minorEastAsia" w:hAnsi="Times New Roman" w:cs="Times New Roman"/>
          <w:i w:val="0"/>
          <w:iCs w:val="0"/>
          <w:noProof/>
          <w:lang w:eastAsia="tr-TR"/>
        </w:rPr>
      </w:pPr>
      <w:hyperlink w:anchor="_Toc55727847" w:history="1">
        <w:r w:rsidR="00794B7D" w:rsidRPr="002C3D0F">
          <w:rPr>
            <w:rStyle w:val="Kpr"/>
            <w:rFonts w:ascii="Times New Roman" w:hAnsi="Times New Roman" w:cs="Times New Roman"/>
            <w:i w:val="0"/>
            <w:noProof/>
          </w:rPr>
          <w:t xml:space="preserve">Çalışma </w:t>
        </w:r>
        <w:r w:rsidR="000A58F7" w:rsidRPr="002C3D0F">
          <w:rPr>
            <w:rStyle w:val="Kpr"/>
            <w:rFonts w:ascii="Times New Roman" w:hAnsi="Times New Roman" w:cs="Times New Roman"/>
            <w:i w:val="0"/>
            <w:noProof/>
          </w:rPr>
          <w:t xml:space="preserve">Gruplarının Laboratuvar, Klinik </w:t>
        </w:r>
        <w:r w:rsidR="000A58F7">
          <w:rPr>
            <w:rStyle w:val="Kpr"/>
            <w:rFonts w:ascii="Times New Roman" w:hAnsi="Times New Roman" w:cs="Times New Roman"/>
            <w:i w:val="0"/>
            <w:noProof/>
          </w:rPr>
          <w:t>v</w:t>
        </w:r>
        <w:r w:rsidR="000A58F7" w:rsidRPr="002C3D0F">
          <w:rPr>
            <w:rStyle w:val="Kpr"/>
            <w:rFonts w:ascii="Times New Roman" w:hAnsi="Times New Roman" w:cs="Times New Roman"/>
            <w:i w:val="0"/>
            <w:noProof/>
          </w:rPr>
          <w:t>e Demografik Verilerinin Değerlendirilmesi</w:t>
        </w:r>
        <w:r w:rsidR="000A58F7"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_Toc55727847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0A58F7" w:rsidRPr="002C3D0F">
          <w:rPr>
            <w:rFonts w:ascii="Times New Roman" w:hAnsi="Times New Roman" w:cs="Times New Roman"/>
            <w:i w:val="0"/>
            <w:noProof/>
            <w:webHidden/>
          </w:rPr>
          <w:t>36</w:t>
        </w:r>
        <w:r w:rsidR="00794B7D" w:rsidRPr="002C3D0F">
          <w:rPr>
            <w:rFonts w:ascii="Times New Roman" w:hAnsi="Times New Roman" w:cs="Times New Roman"/>
            <w:i w:val="0"/>
            <w:noProof/>
            <w:webHidden/>
          </w:rPr>
          <w:fldChar w:fldCharType="end"/>
        </w:r>
      </w:hyperlink>
    </w:p>
    <w:p w14:paraId="7034FF96" w14:textId="4454C21A" w:rsidR="00794B7D" w:rsidRPr="002C3D0F" w:rsidRDefault="009F02C6">
      <w:pPr>
        <w:pStyle w:val="T2"/>
        <w:tabs>
          <w:tab w:val="right" w:leader="dot" w:pos="8493"/>
        </w:tabs>
        <w:rPr>
          <w:rFonts w:ascii="Times New Roman" w:eastAsiaTheme="minorEastAsia" w:hAnsi="Times New Roman" w:cs="Times New Roman"/>
          <w:i w:val="0"/>
          <w:iCs w:val="0"/>
          <w:noProof/>
          <w:lang w:eastAsia="tr-TR"/>
        </w:rPr>
      </w:pPr>
      <w:hyperlink w:anchor="_Toc55727848" w:history="1">
        <w:r w:rsidR="00794B7D" w:rsidRPr="002C3D0F">
          <w:rPr>
            <w:rStyle w:val="Kpr"/>
            <w:rFonts w:ascii="Times New Roman" w:hAnsi="Times New Roman" w:cs="Times New Roman"/>
            <w:i w:val="0"/>
            <w:noProof/>
          </w:rPr>
          <w:t xml:space="preserve">Hastalardan Alınan Kültürler </w:t>
        </w:r>
        <w:r w:rsidR="000A58F7">
          <w:rPr>
            <w:rStyle w:val="Kpr"/>
            <w:rFonts w:ascii="Times New Roman" w:hAnsi="Times New Roman" w:cs="Times New Roman"/>
            <w:i w:val="0"/>
            <w:noProof/>
          </w:rPr>
          <w:t>v</w:t>
        </w:r>
        <w:r w:rsidR="000A58F7" w:rsidRPr="002C3D0F">
          <w:rPr>
            <w:rStyle w:val="Kpr"/>
            <w:rFonts w:ascii="Times New Roman" w:hAnsi="Times New Roman" w:cs="Times New Roman"/>
            <w:i w:val="0"/>
            <w:noProof/>
          </w:rPr>
          <w:t xml:space="preserve">e </w:t>
        </w:r>
        <w:r w:rsidR="00794B7D" w:rsidRPr="002C3D0F">
          <w:rPr>
            <w:rStyle w:val="Kpr"/>
            <w:rFonts w:ascii="Times New Roman" w:hAnsi="Times New Roman" w:cs="Times New Roman"/>
            <w:i w:val="0"/>
            <w:noProof/>
          </w:rPr>
          <w:t>Üreyen Mikroorganizmalar</w:t>
        </w:r>
        <w:r w:rsidR="000A58F7"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_Toc55727848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0A58F7" w:rsidRPr="002C3D0F">
          <w:rPr>
            <w:rFonts w:ascii="Times New Roman" w:hAnsi="Times New Roman" w:cs="Times New Roman"/>
            <w:i w:val="0"/>
            <w:noProof/>
            <w:webHidden/>
          </w:rPr>
          <w:t>39</w:t>
        </w:r>
        <w:r w:rsidR="00794B7D" w:rsidRPr="002C3D0F">
          <w:rPr>
            <w:rFonts w:ascii="Times New Roman" w:hAnsi="Times New Roman" w:cs="Times New Roman"/>
            <w:i w:val="0"/>
            <w:noProof/>
            <w:webHidden/>
          </w:rPr>
          <w:fldChar w:fldCharType="end"/>
        </w:r>
      </w:hyperlink>
    </w:p>
    <w:p w14:paraId="2814B4BD" w14:textId="4440F367" w:rsidR="00794B7D" w:rsidRPr="002C3D0F" w:rsidRDefault="009F02C6">
      <w:pPr>
        <w:pStyle w:val="T2"/>
        <w:tabs>
          <w:tab w:val="right" w:leader="dot" w:pos="8493"/>
        </w:tabs>
        <w:rPr>
          <w:rFonts w:ascii="Times New Roman" w:eastAsiaTheme="minorEastAsia" w:hAnsi="Times New Roman" w:cs="Times New Roman"/>
          <w:i w:val="0"/>
          <w:iCs w:val="0"/>
          <w:noProof/>
          <w:lang w:eastAsia="tr-TR"/>
        </w:rPr>
      </w:pPr>
      <w:hyperlink w:anchor="_Toc55727851" w:history="1">
        <w:r w:rsidR="00794B7D" w:rsidRPr="002C3D0F">
          <w:rPr>
            <w:rStyle w:val="Kpr"/>
            <w:rFonts w:ascii="Times New Roman" w:hAnsi="Times New Roman" w:cs="Times New Roman"/>
            <w:i w:val="0"/>
            <w:noProof/>
          </w:rPr>
          <w:t>Işık Mikroskopisi Bulguları</w:t>
        </w:r>
        <w:r w:rsidR="000A58F7"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_Toc55727851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0A58F7" w:rsidRPr="002C3D0F">
          <w:rPr>
            <w:rFonts w:ascii="Times New Roman" w:hAnsi="Times New Roman" w:cs="Times New Roman"/>
            <w:i w:val="0"/>
            <w:noProof/>
            <w:webHidden/>
          </w:rPr>
          <w:t>49</w:t>
        </w:r>
        <w:r w:rsidR="00794B7D" w:rsidRPr="002C3D0F">
          <w:rPr>
            <w:rFonts w:ascii="Times New Roman" w:hAnsi="Times New Roman" w:cs="Times New Roman"/>
            <w:i w:val="0"/>
            <w:noProof/>
            <w:webHidden/>
          </w:rPr>
          <w:fldChar w:fldCharType="end"/>
        </w:r>
      </w:hyperlink>
    </w:p>
    <w:p w14:paraId="1E784194" w14:textId="77777777" w:rsidR="00794B7D" w:rsidRPr="002C3D0F" w:rsidRDefault="009F02C6">
      <w:pPr>
        <w:pStyle w:val="T1"/>
        <w:tabs>
          <w:tab w:val="left" w:pos="1200"/>
          <w:tab w:val="right" w:leader="dot" w:pos="8493"/>
        </w:tabs>
        <w:rPr>
          <w:rFonts w:eastAsiaTheme="minorEastAsia" w:cs="Times New Roman"/>
          <w:b w:val="0"/>
          <w:bCs w:val="0"/>
          <w:noProof/>
          <w:lang w:eastAsia="tr-TR"/>
        </w:rPr>
      </w:pPr>
      <w:hyperlink w:anchor="_Toc55727853" w:history="1">
        <w:r w:rsidR="00794B7D" w:rsidRPr="002C3D0F">
          <w:rPr>
            <w:rStyle w:val="Kpr"/>
            <w:rFonts w:cs="Times New Roman"/>
            <w:noProof/>
          </w:rPr>
          <w:t>5.</w:t>
        </w:r>
        <w:r w:rsidR="00794B7D" w:rsidRPr="002C3D0F">
          <w:rPr>
            <w:rFonts w:eastAsiaTheme="minorEastAsia" w:cs="Times New Roman"/>
            <w:b w:val="0"/>
            <w:bCs w:val="0"/>
            <w:noProof/>
            <w:lang w:eastAsia="tr-TR"/>
          </w:rPr>
          <w:tab/>
        </w:r>
        <w:r w:rsidR="00794B7D" w:rsidRPr="002C3D0F">
          <w:rPr>
            <w:rStyle w:val="Kpr"/>
            <w:rFonts w:cs="Times New Roman"/>
            <w:noProof/>
          </w:rPr>
          <w:t>TARTIŞMA</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_Toc55727853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54</w:t>
        </w:r>
        <w:r w:rsidR="00794B7D" w:rsidRPr="002C3D0F">
          <w:rPr>
            <w:rFonts w:cs="Times New Roman"/>
            <w:noProof/>
            <w:webHidden/>
          </w:rPr>
          <w:fldChar w:fldCharType="end"/>
        </w:r>
      </w:hyperlink>
    </w:p>
    <w:p w14:paraId="06787F25" w14:textId="0BF6FB62" w:rsidR="00794B7D" w:rsidRPr="002C3D0F" w:rsidRDefault="009F02C6">
      <w:pPr>
        <w:pStyle w:val="T2"/>
        <w:tabs>
          <w:tab w:val="right" w:leader="dot" w:pos="8493"/>
        </w:tabs>
        <w:rPr>
          <w:rFonts w:ascii="Times New Roman" w:eastAsiaTheme="minorEastAsia" w:hAnsi="Times New Roman" w:cs="Times New Roman"/>
          <w:i w:val="0"/>
          <w:iCs w:val="0"/>
          <w:noProof/>
          <w:lang w:eastAsia="tr-TR"/>
        </w:rPr>
      </w:pPr>
      <w:hyperlink w:anchor="_Toc55727854" w:history="1">
        <w:r w:rsidR="00794B7D" w:rsidRPr="00166D5E">
          <w:rPr>
            <w:rStyle w:val="Kpr"/>
            <w:rFonts w:ascii="Times New Roman" w:hAnsi="Times New Roman" w:cs="Times New Roman"/>
            <w:i w:val="0"/>
            <w:noProof/>
          </w:rPr>
          <w:t>Enfeksiyon</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_Toc55727854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55</w:t>
        </w:r>
        <w:r w:rsidR="00794B7D" w:rsidRPr="002C3D0F">
          <w:rPr>
            <w:rFonts w:ascii="Times New Roman" w:hAnsi="Times New Roman" w:cs="Times New Roman"/>
            <w:i w:val="0"/>
            <w:noProof/>
            <w:webHidden/>
          </w:rPr>
          <w:fldChar w:fldCharType="end"/>
        </w:r>
      </w:hyperlink>
    </w:p>
    <w:p w14:paraId="2DDE9C32" w14:textId="77777777" w:rsidR="00794B7D" w:rsidRPr="002C3D0F" w:rsidRDefault="009F02C6">
      <w:pPr>
        <w:pStyle w:val="T2"/>
        <w:tabs>
          <w:tab w:val="right" w:leader="dot" w:pos="8493"/>
        </w:tabs>
        <w:rPr>
          <w:rFonts w:ascii="Times New Roman" w:eastAsiaTheme="minorEastAsia" w:hAnsi="Times New Roman" w:cs="Times New Roman"/>
          <w:i w:val="0"/>
          <w:iCs w:val="0"/>
          <w:noProof/>
          <w:lang w:eastAsia="tr-TR"/>
        </w:rPr>
      </w:pPr>
      <w:hyperlink w:anchor="_Toc55727865" w:history="1">
        <w:r w:rsidR="00794B7D" w:rsidRPr="002C3D0F">
          <w:rPr>
            <w:rStyle w:val="Kpr"/>
            <w:rFonts w:ascii="Times New Roman" w:hAnsi="Times New Roman" w:cs="Times New Roman"/>
            <w:i w:val="0"/>
            <w:noProof/>
          </w:rPr>
          <w:t>Patoloji</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_Toc55727865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65</w:t>
        </w:r>
        <w:r w:rsidR="00794B7D" w:rsidRPr="002C3D0F">
          <w:rPr>
            <w:rFonts w:ascii="Times New Roman" w:hAnsi="Times New Roman" w:cs="Times New Roman"/>
            <w:i w:val="0"/>
            <w:noProof/>
            <w:webHidden/>
          </w:rPr>
          <w:fldChar w:fldCharType="end"/>
        </w:r>
      </w:hyperlink>
    </w:p>
    <w:p w14:paraId="501AF4CB" w14:textId="77777777" w:rsidR="00794B7D" w:rsidRPr="002C3D0F" w:rsidRDefault="009F02C6">
      <w:pPr>
        <w:pStyle w:val="T2"/>
        <w:tabs>
          <w:tab w:val="right" w:leader="dot" w:pos="8493"/>
        </w:tabs>
        <w:rPr>
          <w:rFonts w:ascii="Times New Roman" w:eastAsiaTheme="minorEastAsia" w:hAnsi="Times New Roman" w:cs="Times New Roman"/>
          <w:i w:val="0"/>
          <w:iCs w:val="0"/>
          <w:noProof/>
          <w:lang w:eastAsia="tr-TR"/>
        </w:rPr>
      </w:pPr>
      <w:hyperlink w:anchor="_Toc55727866" w:history="1">
        <w:r w:rsidR="00794B7D" w:rsidRPr="002C3D0F">
          <w:rPr>
            <w:rStyle w:val="Kpr"/>
            <w:rFonts w:ascii="Times New Roman" w:hAnsi="Times New Roman" w:cs="Times New Roman"/>
            <w:i w:val="0"/>
            <w:noProof/>
          </w:rPr>
          <w:t>Histoloji</w:t>
        </w:r>
        <w:r w:rsidR="00794B7D" w:rsidRPr="002C3D0F">
          <w:rPr>
            <w:rFonts w:ascii="Times New Roman" w:hAnsi="Times New Roman" w:cs="Times New Roman"/>
            <w:i w:val="0"/>
            <w:noProof/>
            <w:webHidden/>
          </w:rPr>
          <w:tab/>
        </w:r>
        <w:r w:rsidR="00794B7D" w:rsidRPr="002C3D0F">
          <w:rPr>
            <w:rFonts w:ascii="Times New Roman" w:hAnsi="Times New Roman" w:cs="Times New Roman"/>
            <w:i w:val="0"/>
            <w:noProof/>
            <w:webHidden/>
          </w:rPr>
          <w:fldChar w:fldCharType="begin"/>
        </w:r>
        <w:r w:rsidR="00794B7D" w:rsidRPr="002C3D0F">
          <w:rPr>
            <w:rFonts w:ascii="Times New Roman" w:hAnsi="Times New Roman" w:cs="Times New Roman"/>
            <w:i w:val="0"/>
            <w:noProof/>
            <w:webHidden/>
          </w:rPr>
          <w:instrText xml:space="preserve"> PAGEREF _Toc55727866 \h </w:instrText>
        </w:r>
        <w:r w:rsidR="00794B7D" w:rsidRPr="002C3D0F">
          <w:rPr>
            <w:rFonts w:ascii="Times New Roman" w:hAnsi="Times New Roman" w:cs="Times New Roman"/>
            <w:i w:val="0"/>
            <w:noProof/>
            <w:webHidden/>
          </w:rPr>
        </w:r>
        <w:r w:rsidR="00794B7D" w:rsidRPr="002C3D0F">
          <w:rPr>
            <w:rFonts w:ascii="Times New Roman" w:hAnsi="Times New Roman" w:cs="Times New Roman"/>
            <w:i w:val="0"/>
            <w:noProof/>
            <w:webHidden/>
          </w:rPr>
          <w:fldChar w:fldCharType="separate"/>
        </w:r>
        <w:r w:rsidR="00794B7D" w:rsidRPr="002C3D0F">
          <w:rPr>
            <w:rFonts w:ascii="Times New Roman" w:hAnsi="Times New Roman" w:cs="Times New Roman"/>
            <w:i w:val="0"/>
            <w:noProof/>
            <w:webHidden/>
          </w:rPr>
          <w:t>68</w:t>
        </w:r>
        <w:r w:rsidR="00794B7D" w:rsidRPr="002C3D0F">
          <w:rPr>
            <w:rFonts w:ascii="Times New Roman" w:hAnsi="Times New Roman" w:cs="Times New Roman"/>
            <w:i w:val="0"/>
            <w:noProof/>
            <w:webHidden/>
          </w:rPr>
          <w:fldChar w:fldCharType="end"/>
        </w:r>
      </w:hyperlink>
    </w:p>
    <w:p w14:paraId="352DF1CA" w14:textId="77777777" w:rsidR="00794B7D" w:rsidRPr="002C3D0F" w:rsidRDefault="009F02C6">
      <w:pPr>
        <w:pStyle w:val="T1"/>
        <w:tabs>
          <w:tab w:val="right" w:leader="dot" w:pos="8493"/>
        </w:tabs>
        <w:rPr>
          <w:rFonts w:eastAsiaTheme="minorEastAsia" w:cs="Times New Roman"/>
          <w:b w:val="0"/>
          <w:bCs w:val="0"/>
          <w:noProof/>
          <w:lang w:eastAsia="tr-TR"/>
        </w:rPr>
      </w:pPr>
      <w:hyperlink w:anchor="_Toc55727867" w:history="1">
        <w:r w:rsidR="00794B7D" w:rsidRPr="002C3D0F">
          <w:rPr>
            <w:rStyle w:val="Kpr"/>
            <w:rFonts w:cs="Times New Roman"/>
            <w:noProof/>
          </w:rPr>
          <w:t>SONUÇLAR VE ÖNERİLER</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_Toc55727867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70</w:t>
        </w:r>
        <w:r w:rsidR="00794B7D" w:rsidRPr="002C3D0F">
          <w:rPr>
            <w:rFonts w:cs="Times New Roman"/>
            <w:noProof/>
            <w:webHidden/>
          </w:rPr>
          <w:fldChar w:fldCharType="end"/>
        </w:r>
      </w:hyperlink>
    </w:p>
    <w:p w14:paraId="3EA1B30A" w14:textId="77777777" w:rsidR="00794B7D" w:rsidRPr="002C3D0F" w:rsidRDefault="009F02C6">
      <w:pPr>
        <w:pStyle w:val="T1"/>
        <w:tabs>
          <w:tab w:val="right" w:leader="dot" w:pos="8493"/>
        </w:tabs>
        <w:rPr>
          <w:rFonts w:eastAsiaTheme="minorEastAsia" w:cs="Times New Roman"/>
          <w:b w:val="0"/>
          <w:bCs w:val="0"/>
          <w:noProof/>
          <w:lang w:eastAsia="tr-TR"/>
        </w:rPr>
      </w:pPr>
      <w:hyperlink w:anchor="_Toc55727868" w:history="1">
        <w:r w:rsidR="00794B7D" w:rsidRPr="002C3D0F">
          <w:rPr>
            <w:rStyle w:val="Kpr"/>
            <w:rFonts w:cs="Times New Roman"/>
            <w:noProof/>
          </w:rPr>
          <w:t>EKLER</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_Toc55727868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71</w:t>
        </w:r>
        <w:r w:rsidR="00794B7D" w:rsidRPr="002C3D0F">
          <w:rPr>
            <w:rFonts w:cs="Times New Roman"/>
            <w:noProof/>
            <w:webHidden/>
          </w:rPr>
          <w:fldChar w:fldCharType="end"/>
        </w:r>
      </w:hyperlink>
    </w:p>
    <w:p w14:paraId="2D797EAE" w14:textId="77777777" w:rsidR="00794B7D" w:rsidRPr="002C3D0F" w:rsidRDefault="009F02C6">
      <w:pPr>
        <w:pStyle w:val="T1"/>
        <w:tabs>
          <w:tab w:val="right" w:leader="dot" w:pos="8493"/>
        </w:tabs>
        <w:rPr>
          <w:rFonts w:eastAsiaTheme="minorEastAsia" w:cs="Times New Roman"/>
          <w:b w:val="0"/>
          <w:bCs w:val="0"/>
          <w:noProof/>
          <w:lang w:eastAsia="tr-TR"/>
        </w:rPr>
      </w:pPr>
      <w:hyperlink w:anchor="_Toc55727870" w:history="1">
        <w:r w:rsidR="00794B7D" w:rsidRPr="002C3D0F">
          <w:rPr>
            <w:rStyle w:val="Kpr"/>
            <w:rFonts w:cs="Times New Roman"/>
            <w:noProof/>
          </w:rPr>
          <w:t>KAYNAKLAR</w:t>
        </w:r>
        <w:r w:rsidR="00794B7D" w:rsidRPr="002C3D0F">
          <w:rPr>
            <w:rFonts w:cs="Times New Roman"/>
            <w:noProof/>
            <w:webHidden/>
          </w:rPr>
          <w:tab/>
        </w:r>
        <w:r w:rsidR="00794B7D" w:rsidRPr="002C3D0F">
          <w:rPr>
            <w:rFonts w:cs="Times New Roman"/>
            <w:noProof/>
            <w:webHidden/>
          </w:rPr>
          <w:fldChar w:fldCharType="begin"/>
        </w:r>
        <w:r w:rsidR="00794B7D" w:rsidRPr="002C3D0F">
          <w:rPr>
            <w:rFonts w:cs="Times New Roman"/>
            <w:noProof/>
            <w:webHidden/>
          </w:rPr>
          <w:instrText xml:space="preserve"> PAGEREF _Toc55727870 \h </w:instrText>
        </w:r>
        <w:r w:rsidR="00794B7D" w:rsidRPr="002C3D0F">
          <w:rPr>
            <w:rFonts w:cs="Times New Roman"/>
            <w:noProof/>
            <w:webHidden/>
          </w:rPr>
        </w:r>
        <w:r w:rsidR="00794B7D" w:rsidRPr="002C3D0F">
          <w:rPr>
            <w:rFonts w:cs="Times New Roman"/>
            <w:noProof/>
            <w:webHidden/>
          </w:rPr>
          <w:fldChar w:fldCharType="separate"/>
        </w:r>
        <w:r w:rsidR="00794B7D" w:rsidRPr="002C3D0F">
          <w:rPr>
            <w:rFonts w:cs="Times New Roman"/>
            <w:noProof/>
            <w:webHidden/>
          </w:rPr>
          <w:t>84</w:t>
        </w:r>
        <w:r w:rsidR="00794B7D" w:rsidRPr="002C3D0F">
          <w:rPr>
            <w:rFonts w:cs="Times New Roman"/>
            <w:noProof/>
            <w:webHidden/>
          </w:rPr>
          <w:fldChar w:fldCharType="end"/>
        </w:r>
      </w:hyperlink>
    </w:p>
    <w:p w14:paraId="31CB2442" w14:textId="019AB9B0" w:rsidR="009662A3" w:rsidRPr="008A5571" w:rsidRDefault="009662A3" w:rsidP="009662A3">
      <w:r w:rsidRPr="002C3D0F">
        <w:rPr>
          <w:sz w:val="20"/>
          <w:szCs w:val="20"/>
        </w:rPr>
        <w:fldChar w:fldCharType="end"/>
      </w:r>
      <w:r w:rsidRPr="008A5571">
        <w:br w:type="page"/>
      </w:r>
    </w:p>
    <w:p w14:paraId="31CB2443" w14:textId="77777777" w:rsidR="009662A3" w:rsidRDefault="009662A3" w:rsidP="009662A3">
      <w:pPr>
        <w:pStyle w:val="Balk1"/>
      </w:pPr>
      <w:bookmarkStart w:id="2" w:name="_Toc38715708"/>
      <w:bookmarkStart w:id="3" w:name="_Toc55727765"/>
      <w:r w:rsidRPr="003656DA">
        <w:lastRenderedPageBreak/>
        <w:t>TEŞEKKÜ</w:t>
      </w:r>
      <w:bookmarkEnd w:id="2"/>
      <w:r w:rsidR="0012303F">
        <w:t>R</w:t>
      </w:r>
      <w:bookmarkEnd w:id="3"/>
    </w:p>
    <w:p w14:paraId="31CB2444" w14:textId="77777777" w:rsidR="0012303F" w:rsidRPr="0012303F" w:rsidRDefault="0012303F" w:rsidP="0012303F"/>
    <w:p w14:paraId="31CB2445" w14:textId="1E3CBD1D" w:rsidR="00B2203F" w:rsidRDefault="0012303F" w:rsidP="003C2D3C">
      <w:r w:rsidRPr="009F5620">
        <w:t>Uzmanlık eğitimim boyunca her konuda bilgi ve desteğini hiçbir zaman</w:t>
      </w:r>
      <w:r w:rsidRPr="009F5620">
        <w:br/>
        <w:t xml:space="preserve">esirgemeyen, meslek aşkına sahip olmamda büyük pay sahibi olan, Genel Cerrahi Anabilim Dalı Başkanı, saygıdeğer </w:t>
      </w:r>
      <w:r w:rsidR="00A03610" w:rsidRPr="009F5620">
        <w:t>h</w:t>
      </w:r>
      <w:r w:rsidRPr="009F5620">
        <w:t>ocam</w:t>
      </w:r>
      <w:r w:rsidR="00A03610" w:rsidRPr="009F5620">
        <w:t xml:space="preserve"> Sayın</w:t>
      </w:r>
      <w:r w:rsidRPr="009F5620">
        <w:t xml:space="preserve"> Prof. Dr. Sezai Yılmaz’a,</w:t>
      </w:r>
      <w:r w:rsidR="007B01A1" w:rsidRPr="009F5620">
        <w:t xml:space="preserve"> sadece bilgi ve tecrübesini değil, zor günlerde manevi desteğini de esirgemeyen, değerli hocam, tez danı</w:t>
      </w:r>
      <w:r w:rsidR="00B2203F" w:rsidRPr="009F5620">
        <w:t>ş</w:t>
      </w:r>
      <w:r w:rsidR="007B01A1" w:rsidRPr="009F5620">
        <w:t xml:space="preserve">manım </w:t>
      </w:r>
      <w:r w:rsidR="00A03610" w:rsidRPr="009F5620">
        <w:t>Prof. Dr. Cemalettin Aydın h</w:t>
      </w:r>
      <w:r w:rsidR="00B2203F" w:rsidRPr="009F5620">
        <w:t>ocama</w:t>
      </w:r>
      <w:r w:rsidR="007B01A1" w:rsidRPr="009F5620">
        <w:t xml:space="preserve">, </w:t>
      </w:r>
      <w:r w:rsidRPr="009F5620">
        <w:t xml:space="preserve"> </w:t>
      </w:r>
      <w:r w:rsidR="00C50013" w:rsidRPr="009F5620">
        <w:t>tezin hazırl</w:t>
      </w:r>
      <w:r w:rsidRPr="009F5620">
        <w:t>a</w:t>
      </w:r>
      <w:r w:rsidR="00C50013" w:rsidRPr="009F5620">
        <w:t xml:space="preserve">nma aşamasında her </w:t>
      </w:r>
      <w:r w:rsidR="0085653B">
        <w:t>şekilde</w:t>
      </w:r>
      <w:r w:rsidR="00C50013" w:rsidRPr="009F5620">
        <w:t xml:space="preserve"> yol gösteren </w:t>
      </w:r>
      <w:r w:rsidR="006E7C3E" w:rsidRPr="009F5620">
        <w:t>Prof. Dr. T. Tolga Şahin hocama; a</w:t>
      </w:r>
      <w:r w:rsidRPr="009F5620">
        <w:t>yrıca</w:t>
      </w:r>
      <w:r w:rsidRPr="0012303F">
        <w:t xml:space="preserve"> eğitimimde büyük</w:t>
      </w:r>
      <w:r>
        <w:t xml:space="preserve"> </w:t>
      </w:r>
      <w:r w:rsidRPr="0012303F">
        <w:t>emekleri olan Prof. Dr. Cüneyt Kayaalp, Prof. Dr. Cengiz Ara, Prof. Dr. Burak Işık,</w:t>
      </w:r>
      <w:r>
        <w:t xml:space="preserve"> </w:t>
      </w:r>
      <w:r w:rsidRPr="0012303F">
        <w:t>Prof. Dr.</w:t>
      </w:r>
      <w:r>
        <w:t xml:space="preserve"> </w:t>
      </w:r>
      <w:r w:rsidRPr="0012303F">
        <w:t xml:space="preserve">Abuzer Dirican, </w:t>
      </w:r>
      <w:r>
        <w:t>Prof</w:t>
      </w:r>
      <w:r w:rsidRPr="0012303F">
        <w:t xml:space="preserve">. Dr. Turgut Pişkin, </w:t>
      </w:r>
      <w:r>
        <w:t>Prof</w:t>
      </w:r>
      <w:r w:rsidRPr="0012303F">
        <w:t xml:space="preserve">. Dr. Mustafa Ateş, </w:t>
      </w:r>
      <w:r>
        <w:t>Prof</w:t>
      </w:r>
      <w:r w:rsidRPr="0012303F">
        <w:t>. Dr. Dinçer Özgör,</w:t>
      </w:r>
      <w:r w:rsidR="000A58F7">
        <w:t xml:space="preserve"> </w:t>
      </w:r>
      <w:r w:rsidRPr="0012303F">
        <w:t xml:space="preserve">Doç. Dr. Ahmet Sami Akbulut, Doç. Dr. Emrah Otan, Doç. Dr. Sait Murat Doğan, </w:t>
      </w:r>
      <w:r w:rsidR="007B01A1" w:rsidRPr="0012303F">
        <w:t>Doç. Dr. Fatih Sümer</w:t>
      </w:r>
      <w:r w:rsidR="007B01A1">
        <w:t xml:space="preserve">, </w:t>
      </w:r>
      <w:r w:rsidRPr="0012303F">
        <w:t xml:space="preserve">Doç. Dr. Fatih Özdemir, </w:t>
      </w:r>
      <w:r w:rsidR="007B01A1" w:rsidRPr="0012303F">
        <w:t>Doç. Dr. Volkan İnce</w:t>
      </w:r>
      <w:r w:rsidR="007B01A1">
        <w:t xml:space="preserve">, </w:t>
      </w:r>
      <w:r w:rsidR="007B01A1" w:rsidRPr="0012303F">
        <w:t>Doç. Dr. Adil Başkıran</w:t>
      </w:r>
      <w:r w:rsidR="007B01A1">
        <w:t xml:space="preserve">, </w:t>
      </w:r>
      <w:r w:rsidR="007B01A1" w:rsidRPr="0012303F">
        <w:t xml:space="preserve">Doç. Dr. Bora Barut, </w:t>
      </w:r>
      <w:r w:rsidRPr="0012303F">
        <w:t>Dr.</w:t>
      </w:r>
      <w:r w:rsidR="007B01A1">
        <w:t xml:space="preserve"> </w:t>
      </w:r>
      <w:r w:rsidR="002C203B">
        <w:t>Öğr. Ü</w:t>
      </w:r>
      <w:r w:rsidR="007B01A1">
        <w:t>.</w:t>
      </w:r>
      <w:r w:rsidRPr="0012303F">
        <w:t xml:space="preserve"> Veysel Ersan, </w:t>
      </w:r>
      <w:r w:rsidR="007B01A1" w:rsidRPr="0012303F">
        <w:t>Dr.</w:t>
      </w:r>
      <w:r w:rsidR="007B01A1">
        <w:t xml:space="preserve"> </w:t>
      </w:r>
      <w:r w:rsidR="002C203B">
        <w:t>Öğr. Ü</w:t>
      </w:r>
      <w:r w:rsidR="007B01A1">
        <w:t>.</w:t>
      </w:r>
      <w:r w:rsidRPr="0012303F">
        <w:t xml:space="preserve"> Cemalettin Koç, </w:t>
      </w:r>
      <w:r w:rsidR="007B01A1" w:rsidRPr="0012303F">
        <w:t>Dr.</w:t>
      </w:r>
      <w:r w:rsidR="007B01A1">
        <w:t xml:space="preserve"> </w:t>
      </w:r>
      <w:r w:rsidR="002C203B">
        <w:t>Öğr. Ü</w:t>
      </w:r>
      <w:r w:rsidR="007B01A1">
        <w:t>.</w:t>
      </w:r>
      <w:r w:rsidR="007B01A1" w:rsidRPr="0012303F">
        <w:t xml:space="preserve"> </w:t>
      </w:r>
      <w:r w:rsidRPr="0012303F">
        <w:t xml:space="preserve">Koray Kutlutürk, </w:t>
      </w:r>
      <w:r w:rsidR="007B01A1" w:rsidRPr="0012303F">
        <w:t>Dr.</w:t>
      </w:r>
      <w:r w:rsidR="007B01A1">
        <w:t xml:space="preserve"> </w:t>
      </w:r>
      <w:r w:rsidR="002C203B">
        <w:t>Öğr. Ü</w:t>
      </w:r>
      <w:r w:rsidR="007B01A1">
        <w:t>.</w:t>
      </w:r>
      <w:r w:rsidRPr="0012303F">
        <w:t xml:space="preserve"> Fatih Gönültaş</w:t>
      </w:r>
      <w:r w:rsidR="007B01A1">
        <w:t xml:space="preserve">, </w:t>
      </w:r>
      <w:r w:rsidR="007B01A1" w:rsidRPr="0012303F">
        <w:t>Dr.</w:t>
      </w:r>
      <w:r w:rsidR="007B01A1">
        <w:t xml:space="preserve"> </w:t>
      </w:r>
      <w:r w:rsidR="002C203B">
        <w:t>Öğr. Ü</w:t>
      </w:r>
      <w:r w:rsidR="007B01A1">
        <w:t>. K. Barış Sarıcı,</w:t>
      </w:r>
      <w:r w:rsidR="007B01A1" w:rsidRPr="0012303F">
        <w:t xml:space="preserve"> Dr.</w:t>
      </w:r>
      <w:r w:rsidR="007B01A1">
        <w:t xml:space="preserve"> </w:t>
      </w:r>
      <w:r w:rsidR="002C203B">
        <w:t>Öğr. Ü</w:t>
      </w:r>
      <w:r w:rsidR="007B01A1">
        <w:t>.</w:t>
      </w:r>
      <w:r w:rsidR="007B01A1" w:rsidRPr="0012303F">
        <w:t xml:space="preserve"> </w:t>
      </w:r>
      <w:r w:rsidR="007B01A1">
        <w:t xml:space="preserve">Sertaç Usta, </w:t>
      </w:r>
      <w:r w:rsidR="007B01A1" w:rsidRPr="0012303F">
        <w:t>Dr.</w:t>
      </w:r>
      <w:r w:rsidR="007B01A1">
        <w:t xml:space="preserve"> </w:t>
      </w:r>
      <w:r w:rsidR="002C203B">
        <w:t>Öğr. Ü</w:t>
      </w:r>
      <w:r w:rsidR="007B01A1">
        <w:t xml:space="preserve">. Serdar Karakaş, </w:t>
      </w:r>
      <w:r w:rsidR="007B01A1" w:rsidRPr="0012303F">
        <w:t>Dr.</w:t>
      </w:r>
      <w:r w:rsidR="007B01A1">
        <w:t xml:space="preserve"> </w:t>
      </w:r>
      <w:r w:rsidR="002C203B">
        <w:t>Öğr. Ü</w:t>
      </w:r>
      <w:r w:rsidR="007B01A1">
        <w:t xml:space="preserve">. Arife Şimşek, </w:t>
      </w:r>
      <w:r w:rsidR="002C203B">
        <w:t>Op. Dr.</w:t>
      </w:r>
      <w:r w:rsidR="007B01A1">
        <w:t xml:space="preserve"> Kutay </w:t>
      </w:r>
      <w:r w:rsidR="002C203B">
        <w:t xml:space="preserve">Sağlam </w:t>
      </w:r>
      <w:r w:rsidR="002C203B" w:rsidRPr="0012303F">
        <w:t>hocalarıma</w:t>
      </w:r>
      <w:r w:rsidR="00B2203F">
        <w:t>;</w:t>
      </w:r>
    </w:p>
    <w:p w14:paraId="31CB2446" w14:textId="555E9819" w:rsidR="00B2203F" w:rsidRDefault="00B2203F" w:rsidP="003C2D3C">
      <w:r>
        <w:t xml:space="preserve">Patoloji Anabilim Dalından, Prof. Dr. Neşe Karadağ Soylu ve </w:t>
      </w:r>
      <w:r w:rsidRPr="0012303F">
        <w:t>Dr.</w:t>
      </w:r>
      <w:r>
        <w:t xml:space="preserve"> </w:t>
      </w:r>
      <w:r w:rsidR="002C203B">
        <w:t>Öğr. Ü</w:t>
      </w:r>
      <w:r>
        <w:t>. Serhat Toprak;</w:t>
      </w:r>
      <w:r w:rsidR="003C2D3C">
        <w:t xml:space="preserve"> </w:t>
      </w:r>
      <w:r>
        <w:t xml:space="preserve">Histoloji Anabilim Dalından, Prof. Dr. Mehmet </w:t>
      </w:r>
      <w:r w:rsidR="0031392F">
        <w:t>Gül</w:t>
      </w:r>
      <w:r>
        <w:t>;</w:t>
      </w:r>
      <w:r w:rsidR="003C2D3C">
        <w:t xml:space="preserve"> </w:t>
      </w:r>
      <w:r>
        <w:t>Tıbbi Biyoloji ve Genetik Anabilim Dalından Prof. Dr. Başak Kayhan;</w:t>
      </w:r>
      <w:r w:rsidR="00A03610">
        <w:t xml:space="preserve"> Sağlık Bilimleri Enstitüsünden </w:t>
      </w:r>
      <w:r w:rsidR="00A03610" w:rsidRPr="0012303F">
        <w:t>Dr.</w:t>
      </w:r>
      <w:r w:rsidR="00A03610">
        <w:t xml:space="preserve"> Öğr. Ü. Basri Satılmış hocalarıma</w:t>
      </w:r>
      <w:r w:rsidR="0085653B">
        <w:t>;</w:t>
      </w:r>
    </w:p>
    <w:p w14:paraId="306C4F8F" w14:textId="77777777" w:rsidR="0085653B" w:rsidRDefault="00B2203F" w:rsidP="003C2D3C">
      <w:r>
        <w:t>U</w:t>
      </w:r>
      <w:r w:rsidR="0012303F" w:rsidRPr="0012303F">
        <w:t>zun zamandır beraber çalıştığım asistan arkadaşlarım</w:t>
      </w:r>
      <w:r w:rsidR="0085653B">
        <w:t>a;</w:t>
      </w:r>
    </w:p>
    <w:p w14:paraId="31CB2447" w14:textId="45F862F2" w:rsidR="00B2203F" w:rsidRDefault="0085653B" w:rsidP="003C2D3C">
      <w:r>
        <w:t>A</w:t>
      </w:r>
      <w:r w:rsidR="0012303F" w:rsidRPr="0012303F">
        <w:t>meliyathane, servis ve yoğun bakımda birlikte</w:t>
      </w:r>
      <w:r w:rsidR="007B01A1">
        <w:t xml:space="preserve"> </w:t>
      </w:r>
      <w:r w:rsidR="0012303F" w:rsidRPr="0012303F">
        <w:t>çalıştığım hemşire, sağlık memuru ve personel arkadaşlarıma</w:t>
      </w:r>
      <w:r>
        <w:t>;</w:t>
      </w:r>
    </w:p>
    <w:p w14:paraId="31CB2448" w14:textId="00D33485" w:rsidR="009662A3" w:rsidRPr="003656DA" w:rsidRDefault="00C1710C" w:rsidP="00C1710C">
      <w:r>
        <w:t xml:space="preserve">Hayatımın her anında </w:t>
      </w:r>
      <w:r w:rsidR="0012303F" w:rsidRPr="0012303F">
        <w:t xml:space="preserve">sonsuz özveri ve </w:t>
      </w:r>
      <w:r>
        <w:t>deste</w:t>
      </w:r>
      <w:r w:rsidR="0085653B">
        <w:t>ği</w:t>
      </w:r>
      <w:r w:rsidR="0012303F" w:rsidRPr="0012303F">
        <w:t xml:space="preserve"> ile her zaman</w:t>
      </w:r>
      <w:r>
        <w:t xml:space="preserve"> </w:t>
      </w:r>
      <w:r w:rsidR="0012303F" w:rsidRPr="0012303F">
        <w:t xml:space="preserve">yanımda olan </w:t>
      </w:r>
      <w:r>
        <w:t xml:space="preserve">Sevgili </w:t>
      </w:r>
      <w:r w:rsidR="0012303F" w:rsidRPr="0012303F">
        <w:t xml:space="preserve">eşim </w:t>
      </w:r>
      <w:r w:rsidR="0085653B">
        <w:t>Uzm. Dr.</w:t>
      </w:r>
      <w:r w:rsidR="00A03610">
        <w:t xml:space="preserve"> </w:t>
      </w:r>
      <w:r w:rsidR="00B2203F">
        <w:t>Fatma</w:t>
      </w:r>
      <w:r>
        <w:t xml:space="preserve"> Terzioğlu Şahin</w:t>
      </w:r>
      <w:r w:rsidR="00B2203F">
        <w:t xml:space="preserve"> </w:t>
      </w:r>
      <w:r w:rsidR="0012303F" w:rsidRPr="0012303F">
        <w:t xml:space="preserve">ve </w:t>
      </w:r>
      <w:r w:rsidR="00A03610">
        <w:t xml:space="preserve">biricik </w:t>
      </w:r>
      <w:r w:rsidR="00B2203F">
        <w:t>kızlarım Meryem Betül ile Amine Hümeyra’</w:t>
      </w:r>
      <w:r w:rsidR="00A03610">
        <w:t>m</w:t>
      </w:r>
      <w:r w:rsidR="0085653B">
        <w:t>a</w:t>
      </w:r>
      <w:r w:rsidR="0012303F" w:rsidRPr="0012303F">
        <w:t xml:space="preserve"> teşekkür ederim. </w:t>
      </w:r>
      <w:r w:rsidR="009662A3" w:rsidRPr="003656DA">
        <w:br w:type="page"/>
      </w:r>
    </w:p>
    <w:p w14:paraId="31CB2449" w14:textId="352821ED" w:rsidR="009662A3" w:rsidRPr="00122373" w:rsidRDefault="009662A3" w:rsidP="009662A3">
      <w:pPr>
        <w:pStyle w:val="Balk1"/>
      </w:pPr>
      <w:bookmarkStart w:id="4" w:name="_Toc38715709"/>
      <w:bookmarkStart w:id="5" w:name="_Toc55727766"/>
      <w:r w:rsidRPr="004F42A1">
        <w:lastRenderedPageBreak/>
        <w:t>ÖZET</w:t>
      </w:r>
      <w:bookmarkEnd w:id="4"/>
      <w:bookmarkEnd w:id="5"/>
    </w:p>
    <w:p w14:paraId="31CB244A" w14:textId="2DCF30D1" w:rsidR="00567A78" w:rsidRPr="009F5620" w:rsidRDefault="007D7911" w:rsidP="00AB62AB">
      <w:r w:rsidRPr="009F5620">
        <w:rPr>
          <w:b/>
          <w:bCs/>
        </w:rPr>
        <w:t>Amaç</w:t>
      </w:r>
      <w:r w:rsidRPr="009F5620">
        <w:t xml:space="preserve">: </w:t>
      </w:r>
      <w:r w:rsidR="00AB62AB" w:rsidRPr="009F5620">
        <w:t>S</w:t>
      </w:r>
      <w:r w:rsidRPr="009F5620">
        <w:t>epsis</w:t>
      </w:r>
      <w:r w:rsidR="00567A78" w:rsidRPr="009F5620">
        <w:t>,</w:t>
      </w:r>
      <w:r w:rsidRPr="009F5620">
        <w:t xml:space="preserve"> karmaşık patofizyolojik olayların etkili olduğu, mortalitesi yüksek,</w:t>
      </w:r>
      <w:r w:rsidR="00567A78" w:rsidRPr="009F5620">
        <w:t xml:space="preserve"> </w:t>
      </w:r>
      <w:r w:rsidRPr="009F5620">
        <w:t xml:space="preserve">tedavisi zor bir tablodur. </w:t>
      </w:r>
      <w:r w:rsidR="00B809C6" w:rsidRPr="009F5620">
        <w:t xml:space="preserve">Karaciğer nakli olmuş </w:t>
      </w:r>
      <w:r w:rsidR="00567A78" w:rsidRPr="009F5620">
        <w:t xml:space="preserve">ve abdominal kaynaklı </w:t>
      </w:r>
      <w:r w:rsidR="00B809C6" w:rsidRPr="009F5620">
        <w:t>sep</w:t>
      </w:r>
      <w:r w:rsidR="00567A78" w:rsidRPr="009F5620">
        <w:t xml:space="preserve">sis gelişmiş </w:t>
      </w:r>
      <w:r w:rsidR="00B809C6" w:rsidRPr="009F5620">
        <w:t xml:space="preserve">hastalarda </w:t>
      </w:r>
      <w:r w:rsidR="00C52126">
        <w:t>proinflamatu</w:t>
      </w:r>
      <w:r w:rsidR="0031392F" w:rsidRPr="009F5620">
        <w:t>ar</w:t>
      </w:r>
      <w:r w:rsidR="00C52126">
        <w:t>,</w:t>
      </w:r>
      <w:r w:rsidRPr="009F5620">
        <w:t xml:space="preserve"> </w:t>
      </w:r>
      <w:r w:rsidR="000A36FC" w:rsidRPr="009F5620">
        <w:t>inflamatuar</w:t>
      </w:r>
      <w:r w:rsidR="004F42A1" w:rsidRPr="009F5620">
        <w:t xml:space="preserve"> </w:t>
      </w:r>
      <w:r w:rsidR="00C52126" w:rsidRPr="009F5620">
        <w:t xml:space="preserve">ve </w:t>
      </w:r>
      <w:r w:rsidR="00C52126">
        <w:t xml:space="preserve">antiinflamatuar </w:t>
      </w:r>
      <w:r w:rsidR="004F42A1" w:rsidRPr="009F5620">
        <w:t xml:space="preserve">sitokinler, </w:t>
      </w:r>
      <w:r w:rsidR="00C52126">
        <w:t>CRP</w:t>
      </w:r>
      <w:r w:rsidR="00B809C6" w:rsidRPr="009F5620">
        <w:t xml:space="preserve">, </w:t>
      </w:r>
      <w:r w:rsidRPr="009F5620">
        <w:t>prokalsitonin</w:t>
      </w:r>
      <w:r w:rsidR="00B809C6" w:rsidRPr="009F5620">
        <w:t xml:space="preserve">, </w:t>
      </w:r>
      <w:r w:rsidR="00567A78" w:rsidRPr="009F5620">
        <w:t xml:space="preserve">hematolojik ve </w:t>
      </w:r>
      <w:r w:rsidR="00B809C6" w:rsidRPr="009F5620">
        <w:t>biyokimyasal belirteçler</w:t>
      </w:r>
      <w:r w:rsidR="00AB62AB" w:rsidRPr="009F5620">
        <w:t xml:space="preserve"> ile </w:t>
      </w:r>
      <w:r w:rsidR="00567A78" w:rsidRPr="009F5620">
        <w:t xml:space="preserve">transplante greftten alınan </w:t>
      </w:r>
      <w:r w:rsidR="00B809C6" w:rsidRPr="009F5620">
        <w:t xml:space="preserve">biyopsi </w:t>
      </w:r>
      <w:r w:rsidR="00567A78" w:rsidRPr="009F5620">
        <w:t>örne</w:t>
      </w:r>
      <w:r w:rsidR="00AB62AB" w:rsidRPr="009F5620">
        <w:t>klerinin</w:t>
      </w:r>
      <w:r w:rsidR="00B809C6" w:rsidRPr="009F5620">
        <w:t xml:space="preserve"> histolojik olarak elektron mikroskopisi ve </w:t>
      </w:r>
      <w:r w:rsidR="0031392F" w:rsidRPr="009F5620">
        <w:t>patolojik olarak</w:t>
      </w:r>
      <w:r w:rsidR="00B809C6" w:rsidRPr="009F5620">
        <w:t xml:space="preserve"> ışık mikroskopisi altında</w:t>
      </w:r>
      <w:r w:rsidR="00567A78" w:rsidRPr="009F5620">
        <w:t xml:space="preserve"> yapılan </w:t>
      </w:r>
      <w:r w:rsidR="00B809C6" w:rsidRPr="009F5620">
        <w:t>doku incelemeleri</w:t>
      </w:r>
      <w:r w:rsidR="00352D1C" w:rsidRPr="009F5620">
        <w:t>nin sonucunda transplante greftin sepsise yanıtının değerlendirilmesi ama</w:t>
      </w:r>
      <w:r w:rsidR="00567A78" w:rsidRPr="009F5620">
        <w:t>çlanmıştır</w:t>
      </w:r>
      <w:r w:rsidR="00AB62AB" w:rsidRPr="009F5620">
        <w:t>.</w:t>
      </w:r>
    </w:p>
    <w:p w14:paraId="31CB244B" w14:textId="698DE971" w:rsidR="00AB62AB" w:rsidRPr="009F5620" w:rsidRDefault="007D7911" w:rsidP="00AB62AB">
      <w:r w:rsidRPr="009F5620">
        <w:rPr>
          <w:b/>
          <w:bCs/>
        </w:rPr>
        <w:t>Gereç ve Yöntem</w:t>
      </w:r>
      <w:r w:rsidRPr="009F5620">
        <w:t>: Bu çalışma</w:t>
      </w:r>
      <w:r w:rsidR="00352D1C" w:rsidRPr="009F5620">
        <w:t>,</w:t>
      </w:r>
      <w:r w:rsidRPr="009F5620">
        <w:t xml:space="preserve"> </w:t>
      </w:r>
      <w:r w:rsidR="00352D1C" w:rsidRPr="009F5620">
        <w:t xml:space="preserve">İnönü Üniversitesi Karaciğer Nakli Enstitüsü’nde </w:t>
      </w:r>
      <w:r w:rsidR="00D853C7" w:rsidRPr="009F5620">
        <w:t xml:space="preserve">karaciğer nakli yapılmış ve </w:t>
      </w:r>
      <w:r w:rsidR="00567A78" w:rsidRPr="009F5620">
        <w:t>abdominal kaynaklı s</w:t>
      </w:r>
      <w:r w:rsidRPr="009F5620">
        <w:t>epsis</w:t>
      </w:r>
      <w:r w:rsidR="00567A78" w:rsidRPr="009F5620">
        <w:t xml:space="preserve"> tanısı al</w:t>
      </w:r>
      <w:r w:rsidR="00D853C7" w:rsidRPr="009F5620">
        <w:t>mış ardışık</w:t>
      </w:r>
      <w:r w:rsidR="00567A78" w:rsidRPr="009F5620">
        <w:t xml:space="preserve"> 24</w:t>
      </w:r>
      <w:r w:rsidRPr="009F5620">
        <w:t xml:space="preserve"> hasta üzerinde prospektif olarak gerçekleştirildi. Hastaların yaş, cinsiyet, tanı, yatış süreleri, </w:t>
      </w:r>
      <w:r w:rsidR="00567A78" w:rsidRPr="009F5620">
        <w:t>SOFA</w:t>
      </w:r>
      <w:r w:rsidRPr="009F5620">
        <w:t xml:space="preserve"> skorları, </w:t>
      </w:r>
      <w:r w:rsidR="00567A78" w:rsidRPr="009F5620">
        <w:t xml:space="preserve">nakil endikasyonları, </w:t>
      </w:r>
      <w:r w:rsidR="00AB62AB" w:rsidRPr="009F5620">
        <w:t>re</w:t>
      </w:r>
      <w:r w:rsidR="008A1F60">
        <w:t>laparot</w:t>
      </w:r>
      <w:r w:rsidR="00AB62AB" w:rsidRPr="009F5620">
        <w:t xml:space="preserve">omi yapılmasına sebep olan </w:t>
      </w:r>
      <w:r w:rsidR="00567A78" w:rsidRPr="009F5620">
        <w:t>sepsis etiyolojileri gibi</w:t>
      </w:r>
      <w:r w:rsidRPr="009F5620">
        <w:t xml:space="preserve"> tanımlayıc</w:t>
      </w:r>
      <w:r w:rsidR="00D853C7" w:rsidRPr="009F5620">
        <w:t>ı verileri kaydedildi. Hastalarda</w:t>
      </w:r>
      <w:r w:rsidRPr="009F5620">
        <w:t xml:space="preserve">n </w:t>
      </w:r>
      <w:r w:rsidR="00567A78" w:rsidRPr="009F5620">
        <w:t>a</w:t>
      </w:r>
      <w:r w:rsidRPr="009F5620">
        <w:t>lınan kan</w:t>
      </w:r>
      <w:r w:rsidR="008C34A5" w:rsidRPr="009F5620">
        <w:t xml:space="preserve">, batın içi sıvı, idrar ve solunum yolu </w:t>
      </w:r>
      <w:r w:rsidRPr="009F5620">
        <w:t>örnekleri</w:t>
      </w:r>
      <w:r w:rsidR="008C34A5" w:rsidRPr="009F5620">
        <w:t>, laboratuvar değerleri kayıt altın</w:t>
      </w:r>
      <w:r w:rsidRPr="009F5620">
        <w:t xml:space="preserve">a alındı. </w:t>
      </w:r>
      <w:r w:rsidR="00D853C7" w:rsidRPr="009F5620">
        <w:t xml:space="preserve">Relaparotomi sonrasında transplante karaciğerden alınan biyopsi örnekleri uygun solüsyonlarda histoloji ve patoloji laboratuvarlarına gönderildi. </w:t>
      </w:r>
      <w:r w:rsidRPr="009F5620">
        <w:t xml:space="preserve">Ayrıca </w:t>
      </w:r>
      <w:r w:rsidR="000A36FC" w:rsidRPr="009F5620">
        <w:t>inflamatuar</w:t>
      </w:r>
      <w:r w:rsidRPr="009F5620">
        <w:t xml:space="preserve"> sitokin</w:t>
      </w:r>
      <w:r w:rsidR="004F42A1" w:rsidRPr="009F5620">
        <w:t xml:space="preserve">lerin düzeyleri </w:t>
      </w:r>
      <w:r w:rsidRPr="009F5620">
        <w:t xml:space="preserve">ölçülmek </w:t>
      </w:r>
      <w:r w:rsidR="00C52126" w:rsidRPr="009F5620">
        <w:t xml:space="preserve">üzere kan örnekleri </w:t>
      </w:r>
      <w:r w:rsidRPr="009F5620">
        <w:t xml:space="preserve">depolandı. Çalışma sonunda </w:t>
      </w:r>
      <w:r w:rsidR="00C52126">
        <w:t>depolanan</w:t>
      </w:r>
      <w:r w:rsidRPr="009F5620">
        <w:t xml:space="preserve"> serum örneklerinden </w:t>
      </w:r>
      <w:r w:rsidR="00C52126">
        <w:t>IL</w:t>
      </w:r>
      <w:r w:rsidR="008C34A5" w:rsidRPr="009F5620">
        <w:t xml:space="preserve">-4, </w:t>
      </w:r>
      <w:r w:rsidR="00C52126">
        <w:t>IL</w:t>
      </w:r>
      <w:r w:rsidR="008C34A5" w:rsidRPr="009F5620">
        <w:t xml:space="preserve">-6, </w:t>
      </w:r>
      <w:r w:rsidR="00C52126">
        <w:t>IL</w:t>
      </w:r>
      <w:r w:rsidR="008C34A5" w:rsidRPr="009F5620">
        <w:t xml:space="preserve">-10, </w:t>
      </w:r>
      <w:r w:rsidR="00C52126">
        <w:t>IL</w:t>
      </w:r>
      <w:r w:rsidR="008C34A5" w:rsidRPr="009F5620">
        <w:t>-17, TREM1, sHLA-G, TNF-α, TGF-β, IFN</w:t>
      </w:r>
      <w:r w:rsidR="008C34A5" w:rsidRPr="009F5620">
        <w:rPr>
          <w:rFonts w:ascii="Arial" w:hAnsi="Arial" w:cs="Arial"/>
          <w:color w:val="333333"/>
          <w:shd w:val="clear" w:color="auto" w:fill="FFFFFF"/>
        </w:rPr>
        <w:t>-</w:t>
      </w:r>
      <w:r w:rsidR="008C34A5" w:rsidRPr="009F5620">
        <w:t xml:space="preserve">γ </w:t>
      </w:r>
      <w:r w:rsidRPr="009F5620">
        <w:t>değerleri çalışıldı.</w:t>
      </w:r>
      <w:r w:rsidR="00AB62AB" w:rsidRPr="009F5620">
        <w:t xml:space="preserve"> </w:t>
      </w:r>
    </w:p>
    <w:p w14:paraId="273B7E6F" w14:textId="6C735634" w:rsidR="00191308" w:rsidRDefault="007D7911" w:rsidP="00454035">
      <w:r w:rsidRPr="009F5620">
        <w:rPr>
          <w:b/>
          <w:bCs/>
        </w:rPr>
        <w:t>Bulgular</w:t>
      </w:r>
      <w:r w:rsidRPr="009F5620">
        <w:t>: Çalışma sonucunda</w:t>
      </w:r>
      <w:r w:rsidR="000A309D" w:rsidRPr="009F5620">
        <w:t xml:space="preserve"> üç grup</w:t>
      </w:r>
      <w:r w:rsidR="00191308">
        <w:t xml:space="preserve"> </w:t>
      </w:r>
      <w:r w:rsidR="000A36FC">
        <w:t>oluşturuldu</w:t>
      </w:r>
      <w:r w:rsidR="00191308">
        <w:t xml:space="preserve"> ve</w:t>
      </w:r>
      <w:r w:rsidR="000A309D" w:rsidRPr="009F5620">
        <w:t xml:space="preserve"> kendi içinde değerlendirildi.</w:t>
      </w:r>
    </w:p>
    <w:p w14:paraId="750C4CD4" w14:textId="5AC6DE46" w:rsidR="00454035" w:rsidRPr="009F5620" w:rsidRDefault="009F5620" w:rsidP="00454035">
      <w:r>
        <w:t xml:space="preserve"> </w:t>
      </w:r>
      <w:r w:rsidR="000A309D" w:rsidRPr="009F5620">
        <w:t xml:space="preserve">Kültür pozitif ve negatif grupta retransplantasyon oranı anlamlı olarak farklıydı (%12.5 </w:t>
      </w:r>
      <w:r w:rsidR="00C52126">
        <w:t>vs</w:t>
      </w:r>
      <w:r w:rsidR="000A309D" w:rsidRPr="009F5620">
        <w:t xml:space="preserve"> %50; p=0.046). </w:t>
      </w:r>
      <w:r w:rsidR="00454035" w:rsidRPr="009F5620">
        <w:t xml:space="preserve">Kültürde üreme olan hastalarda istatistiksel olarak anlamlı olmasa da mortalite daha fazlaydı (p=0.54). </w:t>
      </w:r>
      <w:r w:rsidR="000A309D" w:rsidRPr="009F5620">
        <w:t xml:space="preserve">TREM-1 üreme olan grupta </w:t>
      </w:r>
      <w:r w:rsidR="00454035" w:rsidRPr="009F5620">
        <w:t xml:space="preserve">daha </w:t>
      </w:r>
      <w:r w:rsidR="000A309D" w:rsidRPr="009F5620">
        <w:t>fazlaydı (1682</w:t>
      </w:r>
      <w:r w:rsidR="00454035" w:rsidRPr="009F5620">
        <w:t xml:space="preserve"> vs 1085.3 pg/mL; p=0.027</w:t>
      </w:r>
      <w:r w:rsidR="000A309D" w:rsidRPr="009F5620">
        <w:t>)</w:t>
      </w:r>
      <w:r w:rsidR="00454035" w:rsidRPr="009F5620">
        <w:t>.</w:t>
      </w:r>
      <w:r w:rsidR="000A309D" w:rsidRPr="009F5620">
        <w:t xml:space="preserve"> </w:t>
      </w:r>
      <w:r w:rsidR="00454035" w:rsidRPr="009F5620">
        <w:t xml:space="preserve">Üreme olmayan hastalarda AST ve ALT </w:t>
      </w:r>
      <w:r w:rsidR="00705906" w:rsidRPr="009F5620">
        <w:t xml:space="preserve">anlamlı olarak </w:t>
      </w:r>
      <w:r w:rsidR="00454035" w:rsidRPr="009F5620">
        <w:t>daha yüksekti</w:t>
      </w:r>
      <w:r w:rsidR="00705906" w:rsidRPr="009F5620">
        <w:t xml:space="preserve"> (</w:t>
      </w:r>
      <w:r w:rsidR="000A36FC" w:rsidRPr="009F5620">
        <w:rPr>
          <w:rStyle w:val="Balk3Char"/>
          <w:b w:val="0"/>
        </w:rPr>
        <w:t>sırasıyla</w:t>
      </w:r>
      <w:r w:rsidR="00705906" w:rsidRPr="009F5620">
        <w:t>; p=0.03 ve p=0.004)</w:t>
      </w:r>
      <w:r w:rsidR="00454035" w:rsidRPr="009F5620">
        <w:t xml:space="preserve">. Kültürde üreme olan ve olmayan </w:t>
      </w:r>
      <w:r w:rsidR="000A36FC" w:rsidRPr="009F5620">
        <w:t>grupta</w:t>
      </w:r>
      <w:r w:rsidR="00454035" w:rsidRPr="009F5620">
        <w:t xml:space="preserve"> AST değerleri sırası ile 42.5 (13-14830) ve 111 (47-3070) IU/L idi. </w:t>
      </w:r>
      <w:r w:rsidR="00454035" w:rsidRPr="009F5620">
        <w:rPr>
          <w:b/>
          <w:bCs/>
          <w:color w:val="FF0000"/>
        </w:rPr>
        <w:t xml:space="preserve"> </w:t>
      </w:r>
      <w:r w:rsidR="00454035" w:rsidRPr="009F5620">
        <w:t xml:space="preserve">Kültürde üreme olan ve olmayan </w:t>
      </w:r>
      <w:r w:rsidR="000A36FC" w:rsidRPr="009F5620">
        <w:t>grupta</w:t>
      </w:r>
      <w:r w:rsidR="00454035" w:rsidRPr="009F5620">
        <w:t xml:space="preserve"> ALT değerleri ise sırası ile 48.5 (13-5921) ve 195.5 (112-3276) IU/L idi. </w:t>
      </w:r>
    </w:p>
    <w:p w14:paraId="4D89BC20" w14:textId="680EF474" w:rsidR="00454035" w:rsidRPr="009F5620" w:rsidRDefault="00454035" w:rsidP="004F42A1">
      <w:r w:rsidRPr="009F5620">
        <w:t xml:space="preserve">Survival grubunda erkek hastalarda mortalite oranı daha fazlaydı (%87,5 vs %12,5; p=0.02). Retransplantasyon yapılan hastalarda da mortalite oranı anlamlı olarak farklı bulundu (%50 vs %12; p=0.04). </w:t>
      </w:r>
      <w:r w:rsidR="009F5620">
        <w:t>Mortalite</w:t>
      </w:r>
      <w:r w:rsidR="002F1052" w:rsidRPr="009F5620">
        <w:t xml:space="preserve"> gelişen hast</w:t>
      </w:r>
      <w:r w:rsidRPr="009F5620">
        <w:t>a</w:t>
      </w:r>
      <w:r w:rsidR="002F1052" w:rsidRPr="009F5620">
        <w:t>la</w:t>
      </w:r>
      <w:r w:rsidRPr="009F5620">
        <w:t xml:space="preserve">rın yaşayanlarla karşılaştırılmasında fibrinojen </w:t>
      </w:r>
      <w:r w:rsidR="009F5620">
        <w:t xml:space="preserve">istatistiksel olarak düşük bulunurken </w:t>
      </w:r>
      <w:r w:rsidRPr="009F5620">
        <w:t xml:space="preserve">(97.6 </w:t>
      </w:r>
      <w:r w:rsidR="00C52126">
        <w:t>vs</w:t>
      </w:r>
      <w:r w:rsidRPr="009F5620">
        <w:t xml:space="preserve"> 220 </w:t>
      </w:r>
      <w:r w:rsidR="00742672">
        <w:t>mg/dl</w:t>
      </w:r>
      <w:r w:rsidRPr="009F5620">
        <w:t xml:space="preserve">; </w:t>
      </w:r>
      <w:r w:rsidRPr="009F5620">
        <w:lastRenderedPageBreak/>
        <w:t xml:space="preserve">p=0.001), total bilirübin (18.3 vs 5.1 </w:t>
      </w:r>
      <w:r w:rsidR="00742672">
        <w:t>mg/dl</w:t>
      </w:r>
      <w:r w:rsidRPr="009F5620">
        <w:t xml:space="preserve">; p=0.006 ) ve PTZ (20.5 vs 15.2 sn; p=0.009) anlamlı olarak yüksek bulundu.  </w:t>
      </w:r>
    </w:p>
    <w:p w14:paraId="39D2900B" w14:textId="27D5610C" w:rsidR="004F42A1" w:rsidRPr="009F5620" w:rsidRDefault="002F1052" w:rsidP="004F42A1">
      <w:pPr>
        <w:rPr>
          <w:rStyle w:val="Balk3Char"/>
          <w:b w:val="0"/>
        </w:rPr>
      </w:pPr>
      <w:r w:rsidRPr="009F5620">
        <w:t>Cinsiyet</w:t>
      </w:r>
      <w:r w:rsidR="00705906" w:rsidRPr="009F5620">
        <w:t xml:space="preserve">e göre </w:t>
      </w:r>
      <w:r w:rsidR="00B93C43">
        <w:t>değerlendirilen</w:t>
      </w:r>
      <w:r w:rsidR="00705906" w:rsidRPr="009F5620">
        <w:t xml:space="preserve"> grupta</w:t>
      </w:r>
      <w:r w:rsidRPr="009F5620">
        <w:t xml:space="preserve"> ise </w:t>
      </w:r>
      <w:r w:rsidRPr="009F5620">
        <w:rPr>
          <w:rStyle w:val="Balk3Char"/>
          <w:b w:val="0"/>
        </w:rPr>
        <w:t>AST, ALT, LDH, amonyak, laktat seviyeleri erkeklerde</w:t>
      </w:r>
      <w:r w:rsidR="00B93C43">
        <w:rPr>
          <w:rStyle w:val="Balk3Char"/>
          <w:b w:val="0"/>
        </w:rPr>
        <w:t>,</w:t>
      </w:r>
      <w:r w:rsidRPr="009F5620">
        <w:rPr>
          <w:rStyle w:val="Balk3Char"/>
          <w:b w:val="0"/>
        </w:rPr>
        <w:t xml:space="preserve"> kadınlara oranla anlamlı olarak yüksek görüldü</w:t>
      </w:r>
      <w:r w:rsidR="00984388" w:rsidRPr="009F5620">
        <w:rPr>
          <w:rStyle w:val="Balk3Char"/>
          <w:b w:val="0"/>
        </w:rPr>
        <w:t xml:space="preserve"> (</w:t>
      </w:r>
      <w:r w:rsidR="000A36FC" w:rsidRPr="009F5620">
        <w:rPr>
          <w:rStyle w:val="Balk3Char"/>
          <w:b w:val="0"/>
        </w:rPr>
        <w:t>sırasıyla</w:t>
      </w:r>
      <w:r w:rsidR="00984388" w:rsidRPr="009F5620">
        <w:rPr>
          <w:rStyle w:val="Balk3Char"/>
          <w:b w:val="0"/>
        </w:rPr>
        <w:t xml:space="preserve">; p=0.012, p=0.016, </w:t>
      </w:r>
      <w:r w:rsidR="004F42A1" w:rsidRPr="009F5620">
        <w:rPr>
          <w:rStyle w:val="Balk3Char"/>
          <w:b w:val="0"/>
        </w:rPr>
        <w:t>p=0.014, p=0.03, p=0.048</w:t>
      </w:r>
      <w:r w:rsidR="00984388" w:rsidRPr="009F5620">
        <w:rPr>
          <w:rStyle w:val="Balk3Char"/>
          <w:b w:val="0"/>
        </w:rPr>
        <w:t>)</w:t>
      </w:r>
      <w:r w:rsidRPr="009F5620">
        <w:rPr>
          <w:rStyle w:val="Balk3Char"/>
          <w:b w:val="0"/>
        </w:rPr>
        <w:t xml:space="preserve">. Sadece fibrinojen düzeyleri kadınlarda </w:t>
      </w:r>
      <w:r w:rsidR="00B93C43">
        <w:rPr>
          <w:rStyle w:val="Balk3Char"/>
          <w:b w:val="0"/>
        </w:rPr>
        <w:t xml:space="preserve">istatistiksel olarak </w:t>
      </w:r>
      <w:r w:rsidRPr="009F5620">
        <w:rPr>
          <w:rStyle w:val="Balk3Char"/>
          <w:b w:val="0"/>
        </w:rPr>
        <w:t xml:space="preserve">daha yüksek bulundu (p=0.04). </w:t>
      </w:r>
      <w:r w:rsidR="004F42A1" w:rsidRPr="009F5620">
        <w:rPr>
          <w:rStyle w:val="Balk3Char"/>
          <w:b w:val="0"/>
        </w:rPr>
        <w:t xml:space="preserve"> Her üç grupta da diğer parametrelerde anlamlı </w:t>
      </w:r>
      <w:r w:rsidR="00B93C43">
        <w:rPr>
          <w:rStyle w:val="Balk3Char"/>
          <w:b w:val="0"/>
        </w:rPr>
        <w:t xml:space="preserve">bir </w:t>
      </w:r>
      <w:r w:rsidR="004F42A1" w:rsidRPr="009F5620">
        <w:rPr>
          <w:rStyle w:val="Balk3Char"/>
          <w:b w:val="0"/>
        </w:rPr>
        <w:t>farklılık yoktu.</w:t>
      </w:r>
    </w:p>
    <w:p w14:paraId="38A435EB" w14:textId="458DC29C" w:rsidR="00723666" w:rsidRPr="009F5620" w:rsidRDefault="00723666" w:rsidP="00723666">
      <w:r w:rsidRPr="009F5620">
        <w:t xml:space="preserve">Elektron ve ışık </w:t>
      </w:r>
      <w:r w:rsidR="000A36FC" w:rsidRPr="009F5620">
        <w:t>mikroskobik</w:t>
      </w:r>
      <w:r w:rsidRPr="009F5620">
        <w:t xml:space="preserve"> incelemede; kolestaz, nekroz, hücre içi organel değişiklikleri, steatoz, doku rejeksiyonu gibi sepsisi destekleyen bulgulara rastlan</w:t>
      </w:r>
      <w:r w:rsidR="00B93C43">
        <w:t>ıl</w:t>
      </w:r>
      <w:r w:rsidRPr="009F5620">
        <w:t>dı.</w:t>
      </w:r>
    </w:p>
    <w:p w14:paraId="51530B27" w14:textId="4F45D38B" w:rsidR="00723666" w:rsidRPr="009F5620" w:rsidRDefault="007D7911" w:rsidP="00723666">
      <w:r w:rsidRPr="009F5620">
        <w:rPr>
          <w:b/>
        </w:rPr>
        <w:t>Sonuç:</w:t>
      </w:r>
      <w:r w:rsidRPr="009F5620">
        <w:t xml:space="preserve"> Bu çalışma</w:t>
      </w:r>
      <w:r w:rsidR="004F42A1" w:rsidRPr="009F5620">
        <w:t>,</w:t>
      </w:r>
      <w:r w:rsidRPr="009F5620">
        <w:t xml:space="preserve"> </w:t>
      </w:r>
      <w:r w:rsidR="008C34A5" w:rsidRPr="009F5620">
        <w:t xml:space="preserve">karaciğer nakli </w:t>
      </w:r>
      <w:r w:rsidR="004F42A1" w:rsidRPr="009F5620">
        <w:t>sonrasında sepsis gelişm</w:t>
      </w:r>
      <w:r w:rsidR="00723666" w:rsidRPr="009F5620">
        <w:t xml:space="preserve">iş hastalarda birçok laboratuvar parametresi düzeyinin </w:t>
      </w:r>
      <w:r w:rsidR="004F42A1" w:rsidRPr="009F5620">
        <w:t>ve hücresel düzeyde doku değişikliklerinin gerçekleştiğini göstermektedir.</w:t>
      </w:r>
      <w:r w:rsidR="00723666" w:rsidRPr="009F5620">
        <w:t xml:space="preserve"> </w:t>
      </w:r>
    </w:p>
    <w:p w14:paraId="31CB244C" w14:textId="20268137" w:rsidR="007D7911" w:rsidRPr="008C34A5" w:rsidRDefault="007D7911" w:rsidP="004F42A1">
      <w:r w:rsidRPr="009F5620">
        <w:rPr>
          <w:b/>
          <w:bCs/>
        </w:rPr>
        <w:t>Anahtar Kelimeler</w:t>
      </w:r>
      <w:r w:rsidRPr="009F5620">
        <w:t xml:space="preserve">: </w:t>
      </w:r>
      <w:r w:rsidR="004924B0">
        <w:t>K</w:t>
      </w:r>
      <w:r w:rsidR="008C34A5" w:rsidRPr="009F5620">
        <w:t>araciğer nakli, abdominal sepsis, karaciğer biyopsisi, ışık</w:t>
      </w:r>
      <w:r w:rsidR="004924B0">
        <w:t xml:space="preserve"> </w:t>
      </w:r>
      <w:r w:rsidR="004924B0" w:rsidRPr="009F5620">
        <w:t>mikroskopisi</w:t>
      </w:r>
      <w:r w:rsidR="004924B0">
        <w:t>,</w:t>
      </w:r>
      <w:r w:rsidR="008C34A5" w:rsidRPr="009F5620">
        <w:t xml:space="preserve"> elektron mikroskopisi</w:t>
      </w:r>
      <w:r w:rsidRPr="009F5620">
        <w:t>, sitokin,</w:t>
      </w:r>
      <w:r w:rsidR="004924B0">
        <w:t xml:space="preserve"> interlökin,</w:t>
      </w:r>
      <w:r w:rsidRPr="009F5620">
        <w:t xml:space="preserve"> </w:t>
      </w:r>
      <w:r w:rsidR="002F21C6">
        <w:t>CRP</w:t>
      </w:r>
      <w:r w:rsidR="008C34A5" w:rsidRPr="009F5620">
        <w:t xml:space="preserve">, </w:t>
      </w:r>
      <w:r w:rsidRPr="009F5620">
        <w:t>prokalsitonin</w:t>
      </w:r>
    </w:p>
    <w:p w14:paraId="31CB244D" w14:textId="77777777" w:rsidR="007D7911" w:rsidRDefault="007D7911">
      <w:pPr>
        <w:spacing w:after="160"/>
        <w:ind w:left="680" w:firstLine="0"/>
        <w:rPr>
          <w:rFonts w:eastAsia="Times New Roman"/>
          <w:szCs w:val="24"/>
        </w:rPr>
      </w:pPr>
      <w:r>
        <w:br w:type="page"/>
      </w:r>
    </w:p>
    <w:p w14:paraId="31CB244E" w14:textId="77777777" w:rsidR="009662A3" w:rsidRPr="00122373" w:rsidRDefault="009662A3" w:rsidP="009662A3">
      <w:pPr>
        <w:pStyle w:val="Balk1"/>
      </w:pPr>
      <w:bookmarkStart w:id="6" w:name="_Toc38715710"/>
      <w:bookmarkStart w:id="7" w:name="_Toc55727767"/>
      <w:r w:rsidRPr="00122373">
        <w:lastRenderedPageBreak/>
        <w:t>ABSTRACT</w:t>
      </w:r>
      <w:bookmarkEnd w:id="6"/>
      <w:bookmarkEnd w:id="7"/>
    </w:p>
    <w:p w14:paraId="412454E9" w14:textId="40880123" w:rsidR="004924B0" w:rsidRPr="008A1F60" w:rsidRDefault="004924B0" w:rsidP="008A1F60">
      <w:pPr>
        <w:ind w:firstLine="0"/>
      </w:pPr>
      <w:r w:rsidRPr="008A1F60">
        <w:rPr>
          <w:b/>
        </w:rPr>
        <w:t xml:space="preserve">Introduction and Objective: </w:t>
      </w:r>
      <w:r w:rsidR="008A1F60" w:rsidRPr="008A1F60">
        <w:t>Sepsis is a difficult condition to treat with high mortality and complex pathophysiological events. Blood samples were taken from the patients for the examination of cytokines, hematological, and biochemical markers. It was aimed to evaluate the sepsis response of patients who underwent liver transplantation and developed abdominal sepsis as a result of tissue examinations performed under histologically electron microscope and pathologically under the light microscope.</w:t>
      </w:r>
    </w:p>
    <w:p w14:paraId="5B7170B7" w14:textId="1B602AD0" w:rsidR="004924B0" w:rsidRPr="008A1F60" w:rsidRDefault="004924B0" w:rsidP="008A1F60">
      <w:pPr>
        <w:ind w:firstLine="0"/>
      </w:pPr>
      <w:r w:rsidRPr="008A1F60">
        <w:rPr>
          <w:b/>
        </w:rPr>
        <w:t>Materials and Methods</w:t>
      </w:r>
      <w:r w:rsidR="008A1F60" w:rsidRPr="008A1F60">
        <w:rPr>
          <w:b/>
        </w:rPr>
        <w:t>:</w:t>
      </w:r>
      <w:r w:rsidR="008A1F60">
        <w:rPr>
          <w:b/>
        </w:rPr>
        <w:t xml:space="preserve"> </w:t>
      </w:r>
      <w:r w:rsidR="008A1F60" w:rsidRPr="008A1F60">
        <w:t>This study was carried out prospectively on 24 consecutive patients who underwent liver transplantation at Inonu University Liver Transplantation Institute and were diagnosed with sepsis of abdominal origin. Descriptive data of the patients such as age, gender, diagnosis, length of stay, SOFA scores, transplant indications, sepsis etiology leading to relaparotomy were recorded. Blood, intraabdominal fluid, urine, respiratory samples and laboratory values taken from the patients were recorded. Biopsy samples taken from the transplanted liver after relaparotomy were sent to histology and pathology laboratories in appropriate solutions. In addition, blood samples were stored to measure the levels of inflammatory cytokines. IL-4, IL-6, IL-10, IL-17, TREM1, sHLA-G, TNF-α, TGF-β, IFN-γ values were studied from the serum samples stored at the end of the study.</w:t>
      </w:r>
    </w:p>
    <w:p w14:paraId="462F3A8B" w14:textId="77777777" w:rsidR="00F57F0E" w:rsidRDefault="004924B0" w:rsidP="00F57F0E">
      <w:pPr>
        <w:ind w:firstLine="0"/>
      </w:pPr>
      <w:r w:rsidRPr="00F57F0E">
        <w:rPr>
          <w:b/>
          <w:bCs/>
          <w:color w:val="000000"/>
          <w:szCs w:val="24"/>
        </w:rPr>
        <w:t>Results</w:t>
      </w:r>
      <w:r w:rsidRPr="00F57F0E">
        <w:rPr>
          <w:b/>
          <w:color w:val="000000"/>
          <w:szCs w:val="24"/>
        </w:rPr>
        <w:t>:</w:t>
      </w:r>
      <w:r w:rsidRPr="008A1F60">
        <w:t xml:space="preserve"> </w:t>
      </w:r>
      <w:r w:rsidR="00F57F0E" w:rsidRPr="00F57F0E">
        <w:t>As a result of the study, three groups were formed and evaluated within themselves.</w:t>
      </w:r>
      <w:r w:rsidR="00F57F0E">
        <w:t xml:space="preserve"> </w:t>
      </w:r>
    </w:p>
    <w:p w14:paraId="34E556DB" w14:textId="5AEC9E6B" w:rsidR="00F57F0E" w:rsidRPr="00742672" w:rsidRDefault="00F57F0E" w:rsidP="00F57F0E">
      <w:r w:rsidRPr="00742672">
        <w:t xml:space="preserve">The retransplantation rate was significantly different in the culture positive and negative groups (12.5% ​​vs 50%; </w:t>
      </w:r>
      <w:r w:rsidR="00742672" w:rsidRPr="00742672">
        <w:t>p=</w:t>
      </w:r>
      <w:r w:rsidRPr="00742672">
        <w:t xml:space="preserve"> 0.046). Although it was not statistically significant in culture positive patients, mortality was higher (</w:t>
      </w:r>
      <w:r w:rsidR="00742672" w:rsidRPr="00742672">
        <w:t>p=</w:t>
      </w:r>
      <w:r w:rsidRPr="00742672">
        <w:t xml:space="preserve">0.54). TREM-1 was higher in the culture positive group (1682 vs 1085.3 </w:t>
      </w:r>
      <w:r w:rsidR="00CE1309">
        <w:t>pg/ml</w:t>
      </w:r>
      <w:r w:rsidRPr="00742672">
        <w:t xml:space="preserve">; </w:t>
      </w:r>
      <w:r w:rsidR="00742672" w:rsidRPr="00742672">
        <w:t>p=</w:t>
      </w:r>
      <w:r w:rsidRPr="00742672">
        <w:t>0.027). AST and ALT were significantly higher in culture negative patients (</w:t>
      </w:r>
      <w:r w:rsidR="00742672" w:rsidRPr="00742672">
        <w:t>p=</w:t>
      </w:r>
      <w:r w:rsidRPr="00742672">
        <w:t xml:space="preserve"> 0.03 and </w:t>
      </w:r>
      <w:r w:rsidR="00742672" w:rsidRPr="00742672">
        <w:t>p=</w:t>
      </w:r>
      <w:r w:rsidRPr="00742672">
        <w:t xml:space="preserve">0.004, respectively). AST values ​​were 42.5 </w:t>
      </w:r>
      <w:r w:rsidR="00742672">
        <w:t>(13-14830) and 111 (47-3070) IU</w:t>
      </w:r>
      <w:r w:rsidRPr="00742672">
        <w:t xml:space="preserve">/L in culture positive and culture negative groups, respectively. In culture positive and culture negative groups, ALT values ​​were 48.5 (13-5921) and 195.5 (112-3276) IU/L, respectively. </w:t>
      </w:r>
    </w:p>
    <w:p w14:paraId="42567A3D" w14:textId="7B568891" w:rsidR="00F57F0E" w:rsidRPr="00742672" w:rsidRDefault="00F57F0E" w:rsidP="00F57F0E">
      <w:r w:rsidRPr="00742672">
        <w:t>In the survival group, the mortality rate was higher in mal</w:t>
      </w:r>
      <w:r w:rsidR="00742672" w:rsidRPr="00742672">
        <w:t>e patients (87.5% vs 12.5%; p=</w:t>
      </w:r>
      <w:r w:rsidRPr="00742672">
        <w:t>0.02). Mortality rate in patients with retransplantation was found to be significantly different than those without ret</w:t>
      </w:r>
      <w:r w:rsidR="00742672" w:rsidRPr="00742672">
        <w:t>ransplantation (50% vs 12%; p=</w:t>
      </w:r>
      <w:r w:rsidRPr="00742672">
        <w:t xml:space="preserve">0.04). Fibrinogen was found to be statistically lower in patients with mortality compared to </w:t>
      </w:r>
      <w:r w:rsidR="00742672" w:rsidRPr="00742672">
        <w:lastRenderedPageBreak/>
        <w:t xml:space="preserve">living patients (97.6 vs 220 </w:t>
      </w:r>
      <w:r w:rsidR="00742672">
        <w:t>mg/dl</w:t>
      </w:r>
      <w:r w:rsidRPr="00742672">
        <w:t xml:space="preserve">; </w:t>
      </w:r>
      <w:r w:rsidR="00742672" w:rsidRPr="00742672">
        <w:t>p=</w:t>
      </w:r>
      <w:r w:rsidRPr="00742672">
        <w:t>0.001); however, total bil</w:t>
      </w:r>
      <w:r w:rsidR="00742672" w:rsidRPr="00742672">
        <w:t xml:space="preserve">irubin (18.3 vs 5.1 </w:t>
      </w:r>
      <w:r w:rsidR="00742672">
        <w:t>mg/dl</w:t>
      </w:r>
      <w:r w:rsidRPr="00742672">
        <w:t xml:space="preserve">; </w:t>
      </w:r>
      <w:r w:rsidR="00742672" w:rsidRPr="00742672">
        <w:t>p=</w:t>
      </w:r>
      <w:r w:rsidRPr="00742672">
        <w:t xml:space="preserve">0.006) and PTZ (20.5 vs 15.2 sec; </w:t>
      </w:r>
      <w:r w:rsidR="00742672" w:rsidRPr="00742672">
        <w:t>p=</w:t>
      </w:r>
      <w:r w:rsidRPr="00742672">
        <w:t xml:space="preserve">0.009) were found to be significantly higher. </w:t>
      </w:r>
    </w:p>
    <w:p w14:paraId="29C44107" w14:textId="30BE0BF6" w:rsidR="00F57F0E" w:rsidRPr="00742672" w:rsidRDefault="00F57F0E" w:rsidP="00F57F0E">
      <w:r w:rsidRPr="00742672">
        <w:t xml:space="preserve">In the group evaluated according to gender, AST, ALT, LDH, ammonia and lactate levels were found to be significantly higher in men than in women (respectively; </w:t>
      </w:r>
      <w:r w:rsidR="00742672" w:rsidRPr="00742672">
        <w:t>p=</w:t>
      </w:r>
      <w:r w:rsidRPr="00742672">
        <w:t xml:space="preserve">0.012, </w:t>
      </w:r>
      <w:r w:rsidR="00742672" w:rsidRPr="00742672">
        <w:t>p=</w:t>
      </w:r>
      <w:r w:rsidRPr="00742672">
        <w:t xml:space="preserve">0.016, </w:t>
      </w:r>
      <w:r w:rsidR="00742672" w:rsidRPr="00742672">
        <w:t>p=</w:t>
      </w:r>
      <w:r w:rsidRPr="00742672">
        <w:t xml:space="preserve">0.014, </w:t>
      </w:r>
      <w:r w:rsidR="00742672" w:rsidRPr="00742672">
        <w:t>p=</w:t>
      </w:r>
      <w:r w:rsidRPr="00742672">
        <w:t xml:space="preserve">0.03, </w:t>
      </w:r>
      <w:r w:rsidR="00742672" w:rsidRPr="00742672">
        <w:t>p=</w:t>
      </w:r>
      <w:r w:rsidRPr="00742672">
        <w:t>0.048). Only fibrinogen levels were found to be statistically higher in women (</w:t>
      </w:r>
      <w:r w:rsidR="00742672" w:rsidRPr="00742672">
        <w:t>p=</w:t>
      </w:r>
      <w:r w:rsidRPr="00742672">
        <w:t xml:space="preserve">0.04). There was no significant difference in other parameters in all three groups. </w:t>
      </w:r>
    </w:p>
    <w:p w14:paraId="0C8E77AC" w14:textId="68FF6E53" w:rsidR="00F57F0E" w:rsidRPr="00742672" w:rsidRDefault="00F57F0E" w:rsidP="00F57F0E">
      <w:r w:rsidRPr="00742672">
        <w:t>In electron and light microscopic examination; symptoms supporting sepsis such as cholestasis, necrosis, intracellular organelle changes, steatosis, and tissue rejection were encountered.</w:t>
      </w:r>
    </w:p>
    <w:p w14:paraId="120FEB3C" w14:textId="4F3C630D" w:rsidR="004924B0" w:rsidRPr="00742672" w:rsidRDefault="004924B0" w:rsidP="008A1F60">
      <w:pPr>
        <w:ind w:firstLine="0"/>
        <w:rPr>
          <w:rFonts w:eastAsiaTheme="majorEastAsia" w:cstheme="majorBidi"/>
          <w:b/>
          <w:i/>
          <w:color w:val="000000" w:themeColor="text1"/>
          <w:szCs w:val="26"/>
        </w:rPr>
      </w:pPr>
      <w:r w:rsidRPr="00742672">
        <w:rPr>
          <w:b/>
          <w:bCs/>
          <w:color w:val="000000"/>
          <w:szCs w:val="24"/>
        </w:rPr>
        <w:t>Conclusion:</w:t>
      </w:r>
      <w:r w:rsidRPr="00742672">
        <w:rPr>
          <w:b/>
        </w:rPr>
        <w:t xml:space="preserve"> </w:t>
      </w:r>
      <w:r w:rsidR="00F57F0E" w:rsidRPr="00742672">
        <w:t>This study shows that many laboratory parameters and cellular tissue changes occur in patients with sepsis after liver transplantation.</w:t>
      </w:r>
    </w:p>
    <w:p w14:paraId="31CB244F" w14:textId="6AD2191B" w:rsidR="009662A3" w:rsidRPr="00747A96" w:rsidRDefault="004924B0" w:rsidP="008A1F60">
      <w:pPr>
        <w:ind w:firstLine="0"/>
        <w:rPr>
          <w:i/>
        </w:rPr>
      </w:pPr>
      <w:r w:rsidRPr="00742672">
        <w:rPr>
          <w:b/>
          <w:bCs/>
          <w:color w:val="000000"/>
          <w:szCs w:val="24"/>
        </w:rPr>
        <w:t>Key words:</w:t>
      </w:r>
      <w:r w:rsidRPr="00742672">
        <w:t xml:space="preserve"> </w:t>
      </w:r>
      <w:r w:rsidR="002F21C6" w:rsidRPr="00742672">
        <w:t>Liver transplantation, abdominal sepsis, liver biopsy, light microscopy, electron microscopy, cytokine, interleukin, CRP, procalcitonin</w:t>
      </w:r>
      <w:r w:rsidR="002F21C6" w:rsidRPr="002F21C6">
        <w:t xml:space="preserve"> </w:t>
      </w:r>
      <w:r w:rsidR="009662A3" w:rsidRPr="00747A96">
        <w:rPr>
          <w:i/>
        </w:rPr>
        <w:br w:type="page"/>
      </w:r>
    </w:p>
    <w:p w14:paraId="31CB2450" w14:textId="77777777" w:rsidR="009662A3" w:rsidRPr="003656DA" w:rsidRDefault="009662A3" w:rsidP="009662A3">
      <w:pPr>
        <w:pStyle w:val="Balk1"/>
      </w:pPr>
      <w:bookmarkStart w:id="8" w:name="_Toc38715711"/>
      <w:bookmarkStart w:id="9" w:name="_Toc55727768"/>
      <w:r w:rsidRPr="003656DA">
        <w:lastRenderedPageBreak/>
        <w:t>SİMGELER VE KISALTMALAR DİZİNİ</w:t>
      </w:r>
      <w:bookmarkEnd w:id="8"/>
      <w:bookmarkEnd w:id="9"/>
    </w:p>
    <w:tbl>
      <w:tblPr>
        <w:tblW w:w="8455" w:type="dxa"/>
        <w:tblCellMar>
          <w:left w:w="70" w:type="dxa"/>
          <w:right w:w="70" w:type="dxa"/>
        </w:tblCellMar>
        <w:tblLook w:val="04A0" w:firstRow="1" w:lastRow="0" w:firstColumn="1" w:lastColumn="0" w:noHBand="0" w:noVBand="1"/>
      </w:tblPr>
      <w:tblGrid>
        <w:gridCol w:w="8455"/>
      </w:tblGrid>
      <w:tr w:rsidR="00955801" w:rsidRPr="00955801" w14:paraId="31CB2452" w14:textId="77777777" w:rsidTr="009B1C38">
        <w:trPr>
          <w:trHeight w:val="318"/>
        </w:trPr>
        <w:tc>
          <w:tcPr>
            <w:tcW w:w="8455" w:type="dxa"/>
            <w:tcBorders>
              <w:top w:val="nil"/>
              <w:left w:val="nil"/>
              <w:bottom w:val="nil"/>
              <w:right w:val="nil"/>
            </w:tcBorders>
            <w:shd w:val="clear" w:color="auto" w:fill="auto"/>
            <w:noWrap/>
            <w:hideMark/>
          </w:tcPr>
          <w:p w14:paraId="31CB2451" w14:textId="77777777" w:rsidR="00955801" w:rsidRPr="007D7911" w:rsidRDefault="00955801" w:rsidP="007D7911">
            <w:pPr>
              <w:rPr>
                <w:szCs w:val="24"/>
                <w:lang w:eastAsia="tr-TR"/>
              </w:rPr>
            </w:pPr>
            <w:r w:rsidRPr="007D7911">
              <w:rPr>
                <w:szCs w:val="24"/>
                <w:lang w:eastAsia="tr-TR"/>
              </w:rPr>
              <w:t>ALP: Alkalen Fosfataz</w:t>
            </w:r>
          </w:p>
        </w:tc>
      </w:tr>
      <w:tr w:rsidR="00955801" w:rsidRPr="00955801" w14:paraId="31CB2454" w14:textId="77777777" w:rsidTr="009B1C38">
        <w:trPr>
          <w:trHeight w:val="318"/>
        </w:trPr>
        <w:tc>
          <w:tcPr>
            <w:tcW w:w="8455" w:type="dxa"/>
            <w:tcBorders>
              <w:top w:val="nil"/>
              <w:left w:val="nil"/>
              <w:bottom w:val="nil"/>
              <w:right w:val="nil"/>
            </w:tcBorders>
            <w:shd w:val="clear" w:color="auto" w:fill="auto"/>
            <w:noWrap/>
            <w:hideMark/>
          </w:tcPr>
          <w:p w14:paraId="31CB2453" w14:textId="77777777" w:rsidR="00955801" w:rsidRPr="007D7911" w:rsidRDefault="00955801" w:rsidP="007D7911">
            <w:pPr>
              <w:rPr>
                <w:rFonts w:eastAsia="TimesNewRomanPSMT"/>
                <w:szCs w:val="24"/>
                <w:lang w:eastAsia="tr-TR"/>
              </w:rPr>
            </w:pPr>
            <w:r w:rsidRPr="007D7911">
              <w:rPr>
                <w:szCs w:val="24"/>
                <w:lang w:eastAsia="tr-TR"/>
              </w:rPr>
              <w:t>ALT: Alanin Aminotransferaz</w:t>
            </w:r>
          </w:p>
        </w:tc>
      </w:tr>
      <w:tr w:rsidR="00CE1309" w:rsidRPr="00955801" w14:paraId="02079323" w14:textId="77777777" w:rsidTr="009B1C38">
        <w:trPr>
          <w:trHeight w:val="318"/>
        </w:trPr>
        <w:tc>
          <w:tcPr>
            <w:tcW w:w="8455" w:type="dxa"/>
            <w:tcBorders>
              <w:top w:val="nil"/>
              <w:left w:val="nil"/>
              <w:bottom w:val="nil"/>
              <w:right w:val="nil"/>
            </w:tcBorders>
            <w:shd w:val="clear" w:color="auto" w:fill="auto"/>
            <w:noWrap/>
          </w:tcPr>
          <w:p w14:paraId="4ECF4E9C" w14:textId="7CA17455" w:rsidR="00CE1309" w:rsidRPr="007D7911" w:rsidRDefault="00CE1309" w:rsidP="007D7911">
            <w:pPr>
              <w:rPr>
                <w:szCs w:val="24"/>
                <w:lang w:eastAsia="tr-TR"/>
              </w:rPr>
            </w:pPr>
            <w:r>
              <w:rPr>
                <w:szCs w:val="24"/>
                <w:lang w:eastAsia="tr-TR"/>
              </w:rPr>
              <w:t>aPTT</w:t>
            </w:r>
            <w:r w:rsidRPr="007D7911">
              <w:rPr>
                <w:szCs w:val="24"/>
                <w:lang w:eastAsia="tr-TR"/>
              </w:rPr>
              <w:t xml:space="preserve">: </w:t>
            </w:r>
            <w:r>
              <w:rPr>
                <w:szCs w:val="24"/>
                <w:lang w:eastAsia="tr-TR"/>
              </w:rPr>
              <w:t>A</w:t>
            </w:r>
            <w:r w:rsidRPr="00CE1309">
              <w:rPr>
                <w:szCs w:val="24"/>
                <w:shd w:val="clear" w:color="auto" w:fill="FFFFFF"/>
              </w:rPr>
              <w:t>ktive Parsiyel Tromboplastin Zamanı</w:t>
            </w:r>
          </w:p>
        </w:tc>
      </w:tr>
      <w:tr w:rsidR="00955801" w:rsidRPr="00955801" w14:paraId="31CB2456" w14:textId="77777777" w:rsidTr="009B1C38">
        <w:trPr>
          <w:trHeight w:val="318"/>
        </w:trPr>
        <w:tc>
          <w:tcPr>
            <w:tcW w:w="8455" w:type="dxa"/>
            <w:tcBorders>
              <w:top w:val="nil"/>
              <w:left w:val="nil"/>
              <w:bottom w:val="nil"/>
              <w:right w:val="nil"/>
            </w:tcBorders>
            <w:shd w:val="clear" w:color="auto" w:fill="auto"/>
            <w:noWrap/>
            <w:hideMark/>
          </w:tcPr>
          <w:p w14:paraId="31CB2455" w14:textId="77777777" w:rsidR="00955801" w:rsidRPr="007D7911" w:rsidRDefault="00955801" w:rsidP="007D7911">
            <w:pPr>
              <w:rPr>
                <w:szCs w:val="24"/>
                <w:lang w:eastAsia="tr-TR"/>
              </w:rPr>
            </w:pPr>
            <w:r w:rsidRPr="007D7911">
              <w:rPr>
                <w:szCs w:val="24"/>
                <w:lang w:eastAsia="tr-TR"/>
              </w:rPr>
              <w:t>ARDS: Akut Solunum Sıkıntısı Sendromu</w:t>
            </w:r>
          </w:p>
        </w:tc>
      </w:tr>
      <w:tr w:rsidR="00955801" w:rsidRPr="00955801" w14:paraId="31CB2458" w14:textId="77777777" w:rsidTr="009B1C38">
        <w:trPr>
          <w:trHeight w:val="318"/>
        </w:trPr>
        <w:tc>
          <w:tcPr>
            <w:tcW w:w="8455" w:type="dxa"/>
            <w:tcBorders>
              <w:top w:val="nil"/>
              <w:left w:val="nil"/>
              <w:bottom w:val="nil"/>
              <w:right w:val="nil"/>
            </w:tcBorders>
            <w:shd w:val="clear" w:color="auto" w:fill="auto"/>
            <w:noWrap/>
            <w:hideMark/>
          </w:tcPr>
          <w:p w14:paraId="31CB2457" w14:textId="77777777" w:rsidR="00955801" w:rsidRPr="007D7911" w:rsidRDefault="00955801" w:rsidP="007D7911">
            <w:pPr>
              <w:rPr>
                <w:rFonts w:eastAsia="TimesNewRomanPSMT"/>
                <w:szCs w:val="24"/>
                <w:lang w:eastAsia="tr-TR"/>
              </w:rPr>
            </w:pPr>
            <w:r w:rsidRPr="007D7911">
              <w:rPr>
                <w:szCs w:val="24"/>
                <w:lang w:eastAsia="tr-TR"/>
              </w:rPr>
              <w:t>AST: Aspartat Aminotransferaz</w:t>
            </w:r>
          </w:p>
        </w:tc>
      </w:tr>
      <w:tr w:rsidR="00955801" w:rsidRPr="00955801" w14:paraId="31CB245A" w14:textId="77777777" w:rsidTr="009B1C38">
        <w:trPr>
          <w:trHeight w:val="318"/>
        </w:trPr>
        <w:tc>
          <w:tcPr>
            <w:tcW w:w="8455" w:type="dxa"/>
            <w:tcBorders>
              <w:top w:val="nil"/>
              <w:left w:val="nil"/>
              <w:bottom w:val="nil"/>
              <w:right w:val="nil"/>
            </w:tcBorders>
            <w:shd w:val="clear" w:color="auto" w:fill="auto"/>
            <w:noWrap/>
            <w:hideMark/>
          </w:tcPr>
          <w:p w14:paraId="31CB2459" w14:textId="77777777" w:rsidR="00955801" w:rsidRPr="007D7911" w:rsidRDefault="00955801" w:rsidP="007D7911">
            <w:pPr>
              <w:rPr>
                <w:szCs w:val="24"/>
                <w:lang w:eastAsia="tr-TR"/>
              </w:rPr>
            </w:pPr>
            <w:r w:rsidRPr="007D7911">
              <w:rPr>
                <w:szCs w:val="24"/>
                <w:lang w:eastAsia="tr-TR"/>
              </w:rPr>
              <w:t>CRP: C-Reaktif Proteinin</w:t>
            </w:r>
          </w:p>
        </w:tc>
      </w:tr>
      <w:tr w:rsidR="00955801" w:rsidRPr="00955801" w14:paraId="31CB245C" w14:textId="77777777" w:rsidTr="009B1C38">
        <w:trPr>
          <w:trHeight w:val="318"/>
        </w:trPr>
        <w:tc>
          <w:tcPr>
            <w:tcW w:w="8455" w:type="dxa"/>
            <w:tcBorders>
              <w:top w:val="nil"/>
              <w:left w:val="nil"/>
              <w:bottom w:val="nil"/>
              <w:right w:val="nil"/>
            </w:tcBorders>
            <w:shd w:val="clear" w:color="auto" w:fill="auto"/>
            <w:noWrap/>
            <w:hideMark/>
          </w:tcPr>
          <w:p w14:paraId="31CB245B" w14:textId="77777777" w:rsidR="00955801" w:rsidRPr="007D7911" w:rsidRDefault="00955801" w:rsidP="007D7911">
            <w:pPr>
              <w:rPr>
                <w:szCs w:val="24"/>
                <w:lang w:eastAsia="tr-TR"/>
              </w:rPr>
            </w:pPr>
            <w:r w:rsidRPr="007D7911">
              <w:rPr>
                <w:szCs w:val="24"/>
                <w:lang w:eastAsia="tr-TR"/>
              </w:rPr>
              <w:t>DİK: Dissemine İntravasküler Koagülasyon </w:t>
            </w:r>
          </w:p>
        </w:tc>
      </w:tr>
      <w:tr w:rsidR="00955801" w:rsidRPr="00955801" w14:paraId="31CB245E" w14:textId="77777777" w:rsidTr="009B1C38">
        <w:trPr>
          <w:trHeight w:val="318"/>
        </w:trPr>
        <w:tc>
          <w:tcPr>
            <w:tcW w:w="8455" w:type="dxa"/>
            <w:tcBorders>
              <w:top w:val="nil"/>
              <w:left w:val="nil"/>
              <w:bottom w:val="nil"/>
              <w:right w:val="nil"/>
            </w:tcBorders>
            <w:shd w:val="clear" w:color="auto" w:fill="auto"/>
            <w:noWrap/>
            <w:hideMark/>
          </w:tcPr>
          <w:p w14:paraId="31CB245D" w14:textId="77777777" w:rsidR="00955801" w:rsidRPr="007D7911" w:rsidRDefault="00955801" w:rsidP="007D7911">
            <w:pPr>
              <w:rPr>
                <w:szCs w:val="24"/>
                <w:lang w:eastAsia="tr-TR"/>
              </w:rPr>
            </w:pPr>
            <w:r w:rsidRPr="007D7911">
              <w:rPr>
                <w:szCs w:val="24"/>
                <w:lang w:eastAsia="tr-TR"/>
              </w:rPr>
              <w:t>ELISA: Enzyme-Linked İmmunosorbant Assay</w:t>
            </w:r>
          </w:p>
        </w:tc>
      </w:tr>
      <w:tr w:rsidR="00955801" w:rsidRPr="00955801" w14:paraId="31CB2460" w14:textId="77777777" w:rsidTr="009B1C38">
        <w:trPr>
          <w:trHeight w:val="318"/>
        </w:trPr>
        <w:tc>
          <w:tcPr>
            <w:tcW w:w="8455" w:type="dxa"/>
            <w:tcBorders>
              <w:top w:val="nil"/>
              <w:left w:val="nil"/>
              <w:bottom w:val="nil"/>
              <w:right w:val="nil"/>
            </w:tcBorders>
            <w:shd w:val="clear" w:color="auto" w:fill="auto"/>
            <w:noWrap/>
            <w:hideMark/>
          </w:tcPr>
          <w:p w14:paraId="31CB245F" w14:textId="77777777" w:rsidR="00955801" w:rsidRPr="007D7911" w:rsidRDefault="00955801" w:rsidP="007D7911">
            <w:pPr>
              <w:rPr>
                <w:szCs w:val="24"/>
                <w:lang w:eastAsia="tr-TR"/>
              </w:rPr>
            </w:pPr>
            <w:r w:rsidRPr="007D7911">
              <w:rPr>
                <w:szCs w:val="24"/>
                <w:lang w:eastAsia="tr-TR"/>
              </w:rPr>
              <w:t>GGT: Gama Glutamil Transpeptidaz</w:t>
            </w:r>
          </w:p>
        </w:tc>
      </w:tr>
      <w:tr w:rsidR="00955801" w:rsidRPr="00955801" w14:paraId="31CB2462" w14:textId="77777777" w:rsidTr="009B1C38">
        <w:trPr>
          <w:trHeight w:val="318"/>
        </w:trPr>
        <w:tc>
          <w:tcPr>
            <w:tcW w:w="8455" w:type="dxa"/>
            <w:tcBorders>
              <w:top w:val="nil"/>
              <w:left w:val="nil"/>
              <w:bottom w:val="nil"/>
              <w:right w:val="nil"/>
            </w:tcBorders>
            <w:shd w:val="clear" w:color="auto" w:fill="auto"/>
            <w:noWrap/>
            <w:hideMark/>
          </w:tcPr>
          <w:p w14:paraId="31CB2461" w14:textId="77777777" w:rsidR="00955801" w:rsidRPr="007D7911" w:rsidRDefault="00955801" w:rsidP="007D7911">
            <w:pPr>
              <w:rPr>
                <w:szCs w:val="24"/>
                <w:lang w:eastAsia="tr-TR"/>
              </w:rPr>
            </w:pPr>
            <w:r w:rsidRPr="007D7911">
              <w:rPr>
                <w:szCs w:val="24"/>
                <w:lang w:eastAsia="tr-TR"/>
              </w:rPr>
              <w:t xml:space="preserve">HAT: Hepatik Arter Trombozu </w:t>
            </w:r>
          </w:p>
        </w:tc>
      </w:tr>
      <w:tr w:rsidR="00955801" w:rsidRPr="00955801" w14:paraId="31CB2464" w14:textId="77777777" w:rsidTr="009B1C38">
        <w:trPr>
          <w:trHeight w:val="318"/>
        </w:trPr>
        <w:tc>
          <w:tcPr>
            <w:tcW w:w="8455" w:type="dxa"/>
            <w:tcBorders>
              <w:top w:val="nil"/>
              <w:left w:val="nil"/>
              <w:bottom w:val="nil"/>
              <w:right w:val="nil"/>
            </w:tcBorders>
            <w:shd w:val="clear" w:color="auto" w:fill="auto"/>
            <w:noWrap/>
            <w:hideMark/>
          </w:tcPr>
          <w:p w14:paraId="31CB2463" w14:textId="77777777" w:rsidR="00955801" w:rsidRPr="007D7911" w:rsidRDefault="00955801" w:rsidP="007D7911">
            <w:pPr>
              <w:rPr>
                <w:szCs w:val="24"/>
                <w:lang w:eastAsia="tr-TR"/>
              </w:rPr>
            </w:pPr>
            <w:r w:rsidRPr="007D7911">
              <w:rPr>
                <w:szCs w:val="24"/>
                <w:lang w:eastAsia="tr-TR"/>
              </w:rPr>
              <w:t>IFN-γ :İnterferon-γ</w:t>
            </w:r>
          </w:p>
        </w:tc>
      </w:tr>
      <w:tr w:rsidR="00B83824" w:rsidRPr="00955801" w14:paraId="7008749C" w14:textId="77777777" w:rsidTr="009B1C38">
        <w:trPr>
          <w:trHeight w:val="318"/>
        </w:trPr>
        <w:tc>
          <w:tcPr>
            <w:tcW w:w="8455" w:type="dxa"/>
            <w:tcBorders>
              <w:top w:val="nil"/>
              <w:left w:val="nil"/>
              <w:bottom w:val="nil"/>
              <w:right w:val="nil"/>
            </w:tcBorders>
            <w:shd w:val="clear" w:color="auto" w:fill="auto"/>
            <w:noWrap/>
          </w:tcPr>
          <w:p w14:paraId="44B1B20D" w14:textId="08DA3951" w:rsidR="00B83824" w:rsidRPr="007D7911" w:rsidRDefault="00166D5E" w:rsidP="007D7911">
            <w:pPr>
              <w:rPr>
                <w:szCs w:val="24"/>
                <w:lang w:eastAsia="tr-TR"/>
              </w:rPr>
            </w:pPr>
            <w:r>
              <w:rPr>
                <w:szCs w:val="24"/>
                <w:lang w:eastAsia="tr-TR"/>
              </w:rPr>
              <w:t>IL: İnterlökin</w:t>
            </w:r>
          </w:p>
        </w:tc>
      </w:tr>
      <w:tr w:rsidR="00955801" w:rsidRPr="00955801" w14:paraId="31CB2466" w14:textId="77777777" w:rsidTr="009B1C38">
        <w:trPr>
          <w:trHeight w:val="318"/>
        </w:trPr>
        <w:tc>
          <w:tcPr>
            <w:tcW w:w="8455" w:type="dxa"/>
            <w:tcBorders>
              <w:top w:val="nil"/>
              <w:left w:val="nil"/>
              <w:bottom w:val="nil"/>
              <w:right w:val="nil"/>
            </w:tcBorders>
            <w:shd w:val="clear" w:color="auto" w:fill="auto"/>
            <w:noWrap/>
            <w:hideMark/>
          </w:tcPr>
          <w:p w14:paraId="31CB2465" w14:textId="77777777" w:rsidR="00955801" w:rsidRPr="007D7911" w:rsidRDefault="00955801" w:rsidP="007D7911">
            <w:pPr>
              <w:rPr>
                <w:szCs w:val="24"/>
                <w:lang w:eastAsia="tr-TR"/>
              </w:rPr>
            </w:pPr>
            <w:r w:rsidRPr="007D7911">
              <w:rPr>
                <w:szCs w:val="24"/>
                <w:lang w:eastAsia="tr-TR"/>
              </w:rPr>
              <w:t>INR: Ulusal Normalize Edilmiş Oran</w:t>
            </w:r>
          </w:p>
        </w:tc>
      </w:tr>
      <w:tr w:rsidR="00955801" w:rsidRPr="00955801" w14:paraId="31CB2468" w14:textId="77777777" w:rsidTr="009B1C38">
        <w:trPr>
          <w:trHeight w:val="318"/>
        </w:trPr>
        <w:tc>
          <w:tcPr>
            <w:tcW w:w="8455" w:type="dxa"/>
            <w:tcBorders>
              <w:top w:val="nil"/>
              <w:left w:val="nil"/>
              <w:bottom w:val="nil"/>
              <w:right w:val="nil"/>
            </w:tcBorders>
            <w:shd w:val="clear" w:color="auto" w:fill="auto"/>
            <w:noWrap/>
            <w:hideMark/>
          </w:tcPr>
          <w:p w14:paraId="31CB2467" w14:textId="77777777" w:rsidR="00955801" w:rsidRPr="007D7911" w:rsidRDefault="00955801" w:rsidP="007D7911">
            <w:pPr>
              <w:rPr>
                <w:szCs w:val="24"/>
                <w:lang w:eastAsia="tr-TR"/>
              </w:rPr>
            </w:pPr>
            <w:r w:rsidRPr="007D7911">
              <w:rPr>
                <w:szCs w:val="24"/>
                <w:lang w:eastAsia="tr-TR"/>
              </w:rPr>
              <w:t xml:space="preserve">İHK: İmmunhistokimyasal </w:t>
            </w:r>
          </w:p>
        </w:tc>
      </w:tr>
      <w:tr w:rsidR="00955801" w:rsidRPr="00955801" w14:paraId="31CB246C" w14:textId="77777777" w:rsidTr="009B1C38">
        <w:trPr>
          <w:trHeight w:val="318"/>
        </w:trPr>
        <w:tc>
          <w:tcPr>
            <w:tcW w:w="8455" w:type="dxa"/>
            <w:tcBorders>
              <w:top w:val="nil"/>
              <w:left w:val="nil"/>
              <w:bottom w:val="nil"/>
              <w:right w:val="nil"/>
            </w:tcBorders>
            <w:shd w:val="clear" w:color="auto" w:fill="auto"/>
            <w:noWrap/>
            <w:hideMark/>
          </w:tcPr>
          <w:p w14:paraId="06CD14E7" w14:textId="77777777" w:rsidR="00955801" w:rsidRDefault="00955801" w:rsidP="007D7911">
            <w:pPr>
              <w:rPr>
                <w:szCs w:val="24"/>
                <w:lang w:eastAsia="tr-TR"/>
              </w:rPr>
            </w:pPr>
            <w:r w:rsidRPr="007D7911">
              <w:rPr>
                <w:szCs w:val="24"/>
                <w:lang w:eastAsia="tr-TR"/>
              </w:rPr>
              <w:t>KCFT: Karaciğer Fonksiyon Testleri</w:t>
            </w:r>
          </w:p>
          <w:p w14:paraId="31CB246B" w14:textId="5AFDF24A" w:rsidR="00A609A6" w:rsidRPr="007D7911" w:rsidRDefault="00A609A6" w:rsidP="00A609A6">
            <w:pPr>
              <w:rPr>
                <w:szCs w:val="24"/>
                <w:lang w:eastAsia="tr-TR"/>
              </w:rPr>
            </w:pPr>
            <w:r>
              <w:rPr>
                <w:szCs w:val="24"/>
                <w:lang w:eastAsia="tr-TR"/>
              </w:rPr>
              <w:t>KC Tx: Karaciğer Nakli</w:t>
            </w:r>
          </w:p>
        </w:tc>
      </w:tr>
      <w:tr w:rsidR="00955801" w:rsidRPr="00955801" w14:paraId="31CB246E" w14:textId="77777777" w:rsidTr="009B1C38">
        <w:trPr>
          <w:trHeight w:val="318"/>
        </w:trPr>
        <w:tc>
          <w:tcPr>
            <w:tcW w:w="8455" w:type="dxa"/>
            <w:tcBorders>
              <w:top w:val="nil"/>
              <w:left w:val="nil"/>
              <w:bottom w:val="nil"/>
              <w:right w:val="nil"/>
            </w:tcBorders>
            <w:shd w:val="clear" w:color="auto" w:fill="auto"/>
            <w:noWrap/>
            <w:hideMark/>
          </w:tcPr>
          <w:p w14:paraId="31CB246D" w14:textId="77777777" w:rsidR="00955801" w:rsidRPr="007D7911" w:rsidRDefault="00955801" w:rsidP="007D7911">
            <w:pPr>
              <w:rPr>
                <w:szCs w:val="24"/>
                <w:lang w:eastAsia="tr-TR"/>
              </w:rPr>
            </w:pPr>
            <w:r w:rsidRPr="007D7911">
              <w:rPr>
                <w:szCs w:val="24"/>
                <w:lang w:eastAsia="tr-TR"/>
              </w:rPr>
              <w:t>LDH: Laktat Dehidrogenaz</w:t>
            </w:r>
          </w:p>
        </w:tc>
      </w:tr>
      <w:tr w:rsidR="00955801" w:rsidRPr="00955801" w14:paraId="31CB2470" w14:textId="77777777" w:rsidTr="009B1C38">
        <w:trPr>
          <w:trHeight w:val="318"/>
        </w:trPr>
        <w:tc>
          <w:tcPr>
            <w:tcW w:w="8455" w:type="dxa"/>
            <w:tcBorders>
              <w:top w:val="nil"/>
              <w:left w:val="nil"/>
              <w:bottom w:val="nil"/>
              <w:right w:val="nil"/>
            </w:tcBorders>
            <w:shd w:val="clear" w:color="auto" w:fill="auto"/>
            <w:noWrap/>
            <w:hideMark/>
          </w:tcPr>
          <w:p w14:paraId="31CB246F" w14:textId="77777777" w:rsidR="00955801" w:rsidRPr="007D7911" w:rsidRDefault="00955801" w:rsidP="007D7911">
            <w:pPr>
              <w:rPr>
                <w:szCs w:val="24"/>
                <w:lang w:eastAsia="tr-TR"/>
              </w:rPr>
            </w:pPr>
            <w:r w:rsidRPr="007D7911">
              <w:rPr>
                <w:szCs w:val="24"/>
                <w:lang w:eastAsia="tr-TR"/>
              </w:rPr>
              <w:t>LPS: Lipopolisakkarid</w:t>
            </w:r>
          </w:p>
        </w:tc>
      </w:tr>
      <w:tr w:rsidR="00955801" w:rsidRPr="00955801" w14:paraId="31CB2474" w14:textId="77777777" w:rsidTr="009B1C38">
        <w:trPr>
          <w:trHeight w:val="318"/>
        </w:trPr>
        <w:tc>
          <w:tcPr>
            <w:tcW w:w="8455" w:type="dxa"/>
            <w:tcBorders>
              <w:top w:val="nil"/>
              <w:left w:val="nil"/>
              <w:bottom w:val="nil"/>
              <w:right w:val="nil"/>
            </w:tcBorders>
            <w:shd w:val="clear" w:color="auto" w:fill="auto"/>
            <w:noWrap/>
            <w:hideMark/>
          </w:tcPr>
          <w:p w14:paraId="31CB2473" w14:textId="39BB2AB6" w:rsidR="00955801" w:rsidRPr="007D7911" w:rsidRDefault="00955801" w:rsidP="00166D5E">
            <w:pPr>
              <w:rPr>
                <w:szCs w:val="24"/>
                <w:lang w:eastAsia="tr-TR"/>
              </w:rPr>
            </w:pPr>
            <w:r w:rsidRPr="007D7911">
              <w:rPr>
                <w:szCs w:val="24"/>
                <w:lang w:eastAsia="tr-TR"/>
              </w:rPr>
              <w:t>MARS: Molekül Ab</w:t>
            </w:r>
            <w:r w:rsidR="00166D5E">
              <w:rPr>
                <w:szCs w:val="24"/>
                <w:lang w:eastAsia="tr-TR"/>
              </w:rPr>
              <w:t>s</w:t>
            </w:r>
            <w:r w:rsidRPr="007D7911">
              <w:rPr>
                <w:szCs w:val="24"/>
                <w:lang w:eastAsia="tr-TR"/>
              </w:rPr>
              <w:t>orbe Edici Resirkülasyon Sistemi</w:t>
            </w:r>
          </w:p>
        </w:tc>
      </w:tr>
      <w:tr w:rsidR="00955801" w:rsidRPr="00955801" w14:paraId="31CB2476" w14:textId="77777777" w:rsidTr="009B1C38">
        <w:trPr>
          <w:trHeight w:val="318"/>
        </w:trPr>
        <w:tc>
          <w:tcPr>
            <w:tcW w:w="8455" w:type="dxa"/>
            <w:tcBorders>
              <w:top w:val="nil"/>
              <w:left w:val="nil"/>
              <w:bottom w:val="nil"/>
              <w:right w:val="nil"/>
            </w:tcBorders>
            <w:shd w:val="clear" w:color="auto" w:fill="auto"/>
            <w:noWrap/>
            <w:hideMark/>
          </w:tcPr>
          <w:p w14:paraId="31CB2475" w14:textId="77777777" w:rsidR="00955801" w:rsidRPr="007D7911" w:rsidRDefault="00955801" w:rsidP="007D7911">
            <w:pPr>
              <w:rPr>
                <w:szCs w:val="24"/>
                <w:lang w:eastAsia="tr-TR"/>
              </w:rPr>
            </w:pPr>
            <w:r w:rsidRPr="007D7911">
              <w:rPr>
                <w:szCs w:val="24"/>
                <w:lang w:eastAsia="tr-TR"/>
              </w:rPr>
              <w:t>MOY: Multiple Organ Yetmezliği</w:t>
            </w:r>
          </w:p>
        </w:tc>
      </w:tr>
      <w:tr w:rsidR="00955801" w:rsidRPr="00955801" w14:paraId="31CB2478" w14:textId="77777777" w:rsidTr="009B1C38">
        <w:trPr>
          <w:trHeight w:val="318"/>
        </w:trPr>
        <w:tc>
          <w:tcPr>
            <w:tcW w:w="8455" w:type="dxa"/>
            <w:tcBorders>
              <w:top w:val="nil"/>
              <w:left w:val="nil"/>
              <w:bottom w:val="nil"/>
              <w:right w:val="nil"/>
            </w:tcBorders>
            <w:shd w:val="clear" w:color="auto" w:fill="auto"/>
            <w:noWrap/>
            <w:hideMark/>
          </w:tcPr>
          <w:p w14:paraId="31CB2477" w14:textId="43FBD532" w:rsidR="00955801" w:rsidRPr="007D7911" w:rsidRDefault="00955801" w:rsidP="007D7911">
            <w:pPr>
              <w:rPr>
                <w:szCs w:val="24"/>
                <w:lang w:eastAsia="tr-TR"/>
              </w:rPr>
            </w:pPr>
            <w:r w:rsidRPr="007D7911">
              <w:rPr>
                <w:szCs w:val="24"/>
                <w:lang w:eastAsia="tr-TR"/>
              </w:rPr>
              <w:t xml:space="preserve">OAB: Ortalama </w:t>
            </w:r>
            <w:r w:rsidR="00166D5E" w:rsidRPr="007D7911">
              <w:rPr>
                <w:szCs w:val="24"/>
                <w:lang w:eastAsia="tr-TR"/>
              </w:rPr>
              <w:t>Arteriel</w:t>
            </w:r>
            <w:r w:rsidRPr="007D7911">
              <w:rPr>
                <w:szCs w:val="24"/>
                <w:lang w:eastAsia="tr-TR"/>
              </w:rPr>
              <w:t xml:space="preserve"> Basınç</w:t>
            </w:r>
          </w:p>
        </w:tc>
      </w:tr>
      <w:tr w:rsidR="00955801" w:rsidRPr="00955801" w14:paraId="31CB247A" w14:textId="77777777" w:rsidTr="009B1C38">
        <w:trPr>
          <w:trHeight w:val="318"/>
        </w:trPr>
        <w:tc>
          <w:tcPr>
            <w:tcW w:w="8455" w:type="dxa"/>
            <w:tcBorders>
              <w:top w:val="nil"/>
              <w:left w:val="nil"/>
              <w:bottom w:val="nil"/>
              <w:right w:val="nil"/>
            </w:tcBorders>
            <w:shd w:val="clear" w:color="auto" w:fill="auto"/>
            <w:noWrap/>
            <w:hideMark/>
          </w:tcPr>
          <w:p w14:paraId="31CB2479" w14:textId="77777777" w:rsidR="00955801" w:rsidRPr="007D7911" w:rsidRDefault="00955801" w:rsidP="007D7911">
            <w:pPr>
              <w:rPr>
                <w:szCs w:val="24"/>
                <w:lang w:eastAsia="tr-TR"/>
              </w:rPr>
            </w:pPr>
            <w:r w:rsidRPr="007D7911">
              <w:rPr>
                <w:szCs w:val="24"/>
                <w:lang w:eastAsia="tr-TR"/>
              </w:rPr>
              <w:t xml:space="preserve">PCR: Polymerase Chain Reaction </w:t>
            </w:r>
          </w:p>
        </w:tc>
      </w:tr>
      <w:tr w:rsidR="00955801" w:rsidRPr="00955801" w14:paraId="31CB247C" w14:textId="77777777" w:rsidTr="009B1C38">
        <w:trPr>
          <w:trHeight w:val="318"/>
        </w:trPr>
        <w:tc>
          <w:tcPr>
            <w:tcW w:w="8455" w:type="dxa"/>
            <w:tcBorders>
              <w:top w:val="nil"/>
              <w:left w:val="nil"/>
              <w:bottom w:val="nil"/>
              <w:right w:val="nil"/>
            </w:tcBorders>
            <w:shd w:val="clear" w:color="auto" w:fill="auto"/>
            <w:noWrap/>
            <w:hideMark/>
          </w:tcPr>
          <w:p w14:paraId="31CB247B" w14:textId="77777777" w:rsidR="00955801" w:rsidRPr="007D7911" w:rsidRDefault="00955801" w:rsidP="007D7911">
            <w:pPr>
              <w:rPr>
                <w:szCs w:val="24"/>
                <w:lang w:eastAsia="tr-TR"/>
              </w:rPr>
            </w:pPr>
            <w:r w:rsidRPr="007D7911">
              <w:rPr>
                <w:szCs w:val="24"/>
                <w:lang w:eastAsia="tr-TR"/>
              </w:rPr>
              <w:t xml:space="preserve">PCT: Prokalsitonin </w:t>
            </w:r>
          </w:p>
        </w:tc>
      </w:tr>
      <w:tr w:rsidR="00955801" w:rsidRPr="00955801" w14:paraId="31CB247E" w14:textId="77777777" w:rsidTr="009B1C38">
        <w:trPr>
          <w:trHeight w:val="318"/>
        </w:trPr>
        <w:tc>
          <w:tcPr>
            <w:tcW w:w="8455" w:type="dxa"/>
            <w:tcBorders>
              <w:top w:val="nil"/>
              <w:left w:val="nil"/>
              <w:bottom w:val="nil"/>
              <w:right w:val="nil"/>
            </w:tcBorders>
            <w:shd w:val="clear" w:color="auto" w:fill="auto"/>
            <w:noWrap/>
            <w:hideMark/>
          </w:tcPr>
          <w:p w14:paraId="31CB247D" w14:textId="77777777" w:rsidR="00955801" w:rsidRPr="007D7911" w:rsidRDefault="00955801" w:rsidP="007D7911">
            <w:pPr>
              <w:rPr>
                <w:szCs w:val="24"/>
                <w:lang w:eastAsia="tr-TR"/>
              </w:rPr>
            </w:pPr>
            <w:r w:rsidRPr="007D7911">
              <w:rPr>
                <w:szCs w:val="24"/>
                <w:lang w:eastAsia="tr-TR"/>
              </w:rPr>
              <w:t xml:space="preserve">PVT: Portal Ven Trombozu </w:t>
            </w:r>
          </w:p>
        </w:tc>
      </w:tr>
      <w:tr w:rsidR="00955801" w:rsidRPr="00955801" w14:paraId="31CB2480" w14:textId="77777777" w:rsidTr="009B1C38">
        <w:trPr>
          <w:trHeight w:val="318"/>
        </w:trPr>
        <w:tc>
          <w:tcPr>
            <w:tcW w:w="8455" w:type="dxa"/>
            <w:tcBorders>
              <w:top w:val="nil"/>
              <w:left w:val="nil"/>
              <w:bottom w:val="nil"/>
              <w:right w:val="nil"/>
            </w:tcBorders>
            <w:shd w:val="clear" w:color="auto" w:fill="auto"/>
            <w:noWrap/>
            <w:hideMark/>
          </w:tcPr>
          <w:p w14:paraId="31CB247F" w14:textId="3B5E78C5" w:rsidR="00955801" w:rsidRPr="007D7911" w:rsidRDefault="00EE69CB" w:rsidP="007D7911">
            <w:pPr>
              <w:rPr>
                <w:szCs w:val="24"/>
                <w:lang w:eastAsia="tr-TR"/>
              </w:rPr>
            </w:pPr>
            <w:r>
              <w:rPr>
                <w:szCs w:val="24"/>
                <w:lang w:eastAsia="tr-TR"/>
              </w:rPr>
              <w:t>PTZ</w:t>
            </w:r>
            <w:r w:rsidR="00955801" w:rsidRPr="007D7911">
              <w:rPr>
                <w:szCs w:val="24"/>
                <w:lang w:eastAsia="tr-TR"/>
              </w:rPr>
              <w:t>: Protrombin Zamanı</w:t>
            </w:r>
          </w:p>
        </w:tc>
      </w:tr>
      <w:tr w:rsidR="00955801" w:rsidRPr="00955801" w14:paraId="31CB2482" w14:textId="77777777" w:rsidTr="009B1C38">
        <w:trPr>
          <w:trHeight w:val="318"/>
        </w:trPr>
        <w:tc>
          <w:tcPr>
            <w:tcW w:w="8455" w:type="dxa"/>
            <w:tcBorders>
              <w:top w:val="nil"/>
              <w:left w:val="nil"/>
              <w:bottom w:val="nil"/>
              <w:right w:val="nil"/>
            </w:tcBorders>
            <w:shd w:val="clear" w:color="auto" w:fill="auto"/>
            <w:noWrap/>
            <w:hideMark/>
          </w:tcPr>
          <w:p w14:paraId="31CB2481" w14:textId="4AC8613E" w:rsidR="00955801" w:rsidRPr="007D7911" w:rsidRDefault="00955801" w:rsidP="007D7911">
            <w:pPr>
              <w:rPr>
                <w:szCs w:val="24"/>
                <w:lang w:eastAsia="tr-TR"/>
              </w:rPr>
            </w:pPr>
            <w:r w:rsidRPr="007D7911">
              <w:rPr>
                <w:szCs w:val="24"/>
                <w:lang w:eastAsia="tr-TR"/>
              </w:rPr>
              <w:t xml:space="preserve">SIRS: Sistemik </w:t>
            </w:r>
            <w:r w:rsidR="002D45E6" w:rsidRPr="007D7911">
              <w:rPr>
                <w:szCs w:val="24"/>
                <w:lang w:eastAsia="tr-TR"/>
              </w:rPr>
              <w:t>İnflamatuar</w:t>
            </w:r>
            <w:r w:rsidRPr="007D7911">
              <w:rPr>
                <w:szCs w:val="24"/>
                <w:lang w:eastAsia="tr-TR"/>
              </w:rPr>
              <w:t xml:space="preserve"> Yanıt Sendromu</w:t>
            </w:r>
          </w:p>
        </w:tc>
      </w:tr>
      <w:tr w:rsidR="00955801" w:rsidRPr="00955801" w14:paraId="31CB2484" w14:textId="77777777" w:rsidTr="009B1C38">
        <w:trPr>
          <w:trHeight w:val="318"/>
        </w:trPr>
        <w:tc>
          <w:tcPr>
            <w:tcW w:w="8455" w:type="dxa"/>
            <w:tcBorders>
              <w:top w:val="nil"/>
              <w:left w:val="nil"/>
              <w:bottom w:val="nil"/>
              <w:right w:val="nil"/>
            </w:tcBorders>
            <w:shd w:val="clear" w:color="auto" w:fill="auto"/>
            <w:noWrap/>
            <w:hideMark/>
          </w:tcPr>
          <w:p w14:paraId="31CB2483" w14:textId="77777777" w:rsidR="00955801" w:rsidRPr="007D7911" w:rsidRDefault="00955801" w:rsidP="007D7911">
            <w:pPr>
              <w:rPr>
                <w:szCs w:val="24"/>
                <w:lang w:eastAsia="tr-TR"/>
              </w:rPr>
            </w:pPr>
            <w:r w:rsidRPr="007D7911">
              <w:rPr>
                <w:szCs w:val="24"/>
                <w:lang w:eastAsia="tr-TR"/>
              </w:rPr>
              <w:t>TCMR: T-Cell Mediated Rejection</w:t>
            </w:r>
          </w:p>
        </w:tc>
      </w:tr>
      <w:tr w:rsidR="00955801" w:rsidRPr="00955801" w14:paraId="31CB2486" w14:textId="77777777" w:rsidTr="009B1C38">
        <w:trPr>
          <w:trHeight w:val="318"/>
        </w:trPr>
        <w:tc>
          <w:tcPr>
            <w:tcW w:w="8455" w:type="dxa"/>
            <w:tcBorders>
              <w:top w:val="nil"/>
              <w:left w:val="nil"/>
              <w:bottom w:val="nil"/>
              <w:right w:val="nil"/>
            </w:tcBorders>
            <w:shd w:val="clear" w:color="auto" w:fill="auto"/>
            <w:noWrap/>
            <w:hideMark/>
          </w:tcPr>
          <w:p w14:paraId="31CB2485" w14:textId="77777777" w:rsidR="00955801" w:rsidRPr="007D7911" w:rsidRDefault="00955801" w:rsidP="007D7911">
            <w:pPr>
              <w:rPr>
                <w:szCs w:val="24"/>
                <w:lang w:eastAsia="tr-TR"/>
              </w:rPr>
            </w:pPr>
            <w:r w:rsidRPr="007D7911">
              <w:rPr>
                <w:iCs/>
                <w:szCs w:val="24"/>
                <w:lang w:eastAsia="tr-TR"/>
              </w:rPr>
              <w:t>TEM: Transmission Elektron Mikroskop</w:t>
            </w:r>
          </w:p>
        </w:tc>
      </w:tr>
      <w:tr w:rsidR="00955801" w:rsidRPr="00955801" w14:paraId="31CB2488" w14:textId="77777777" w:rsidTr="009B1C38">
        <w:trPr>
          <w:trHeight w:val="318"/>
        </w:trPr>
        <w:tc>
          <w:tcPr>
            <w:tcW w:w="8455" w:type="dxa"/>
            <w:tcBorders>
              <w:top w:val="nil"/>
              <w:left w:val="nil"/>
              <w:bottom w:val="nil"/>
              <w:right w:val="nil"/>
            </w:tcBorders>
            <w:shd w:val="clear" w:color="auto" w:fill="auto"/>
            <w:noWrap/>
            <w:hideMark/>
          </w:tcPr>
          <w:p w14:paraId="31CB2487" w14:textId="77777777" w:rsidR="00955801" w:rsidRPr="007D7911" w:rsidRDefault="00955801" w:rsidP="007D7911">
            <w:pPr>
              <w:rPr>
                <w:szCs w:val="24"/>
                <w:lang w:eastAsia="tr-TR"/>
              </w:rPr>
            </w:pPr>
            <w:r w:rsidRPr="007D7911">
              <w:rPr>
                <w:szCs w:val="24"/>
                <w:lang w:eastAsia="tr-TR"/>
              </w:rPr>
              <w:t>TNF-α : Tümör Nekrosis Faktör-α</w:t>
            </w:r>
          </w:p>
        </w:tc>
      </w:tr>
      <w:tr w:rsidR="00955801" w:rsidRPr="00955801" w14:paraId="31CB248A" w14:textId="77777777" w:rsidTr="009B1C38">
        <w:trPr>
          <w:trHeight w:val="318"/>
        </w:trPr>
        <w:tc>
          <w:tcPr>
            <w:tcW w:w="8455" w:type="dxa"/>
            <w:tcBorders>
              <w:top w:val="nil"/>
              <w:left w:val="nil"/>
              <w:bottom w:val="nil"/>
              <w:right w:val="nil"/>
            </w:tcBorders>
            <w:shd w:val="clear" w:color="auto" w:fill="auto"/>
            <w:noWrap/>
            <w:hideMark/>
          </w:tcPr>
          <w:p w14:paraId="31CB2489" w14:textId="77777777" w:rsidR="00955801" w:rsidRPr="007D7911" w:rsidRDefault="00955801" w:rsidP="007D7911">
            <w:pPr>
              <w:rPr>
                <w:szCs w:val="24"/>
                <w:lang w:eastAsia="tr-TR"/>
              </w:rPr>
            </w:pPr>
            <w:r w:rsidRPr="007D7911">
              <w:rPr>
                <w:szCs w:val="24"/>
                <w:lang w:eastAsia="tr-TR"/>
              </w:rPr>
              <w:t>TREM-1: Myeloid Hücrelerde Eksprese Edilen Tetikleyici Reseptör</w:t>
            </w:r>
          </w:p>
        </w:tc>
      </w:tr>
      <w:tr w:rsidR="00955801" w:rsidRPr="00955801" w14:paraId="31CB248C" w14:textId="77777777" w:rsidTr="009B1C38">
        <w:trPr>
          <w:trHeight w:val="318"/>
        </w:trPr>
        <w:tc>
          <w:tcPr>
            <w:tcW w:w="8455" w:type="dxa"/>
            <w:tcBorders>
              <w:top w:val="nil"/>
              <w:left w:val="nil"/>
              <w:bottom w:val="nil"/>
              <w:right w:val="nil"/>
            </w:tcBorders>
            <w:shd w:val="clear" w:color="auto" w:fill="auto"/>
            <w:noWrap/>
            <w:hideMark/>
          </w:tcPr>
          <w:p w14:paraId="31CB248B" w14:textId="77777777" w:rsidR="00955801" w:rsidRPr="007D7911" w:rsidRDefault="00955801" w:rsidP="007D7911">
            <w:pPr>
              <w:rPr>
                <w:szCs w:val="24"/>
                <w:lang w:eastAsia="tr-TR"/>
              </w:rPr>
            </w:pPr>
            <w:r w:rsidRPr="007D7911">
              <w:rPr>
                <w:szCs w:val="24"/>
                <w:lang w:eastAsia="tr-TR"/>
              </w:rPr>
              <w:t>WBC: White Blood Cell</w:t>
            </w:r>
          </w:p>
        </w:tc>
      </w:tr>
    </w:tbl>
    <w:p w14:paraId="31CB248D" w14:textId="77777777" w:rsidR="009662A3" w:rsidRDefault="009662A3" w:rsidP="009662A3">
      <w:pPr>
        <w:ind w:firstLine="0"/>
      </w:pPr>
    </w:p>
    <w:p w14:paraId="31CB248F" w14:textId="77777777" w:rsidR="009662A3" w:rsidRDefault="009662A3" w:rsidP="009662A3">
      <w:pPr>
        <w:pStyle w:val="Balk1"/>
      </w:pPr>
      <w:bookmarkStart w:id="10" w:name="_Toc38715712"/>
      <w:bookmarkStart w:id="11" w:name="_Toc55727769"/>
      <w:r w:rsidRPr="003656DA">
        <w:lastRenderedPageBreak/>
        <w:t>ŞEKİLLER DİZİNİ</w:t>
      </w:r>
      <w:bookmarkEnd w:id="10"/>
      <w:bookmarkEnd w:id="11"/>
    </w:p>
    <w:p w14:paraId="31CB2490" w14:textId="77777777" w:rsidR="009662A3" w:rsidRPr="002B1BBD" w:rsidRDefault="009662A3" w:rsidP="009662A3"/>
    <w:p w14:paraId="3A3610B2" w14:textId="38C6F152" w:rsidR="00BC4914" w:rsidRDefault="009662A3">
      <w:pPr>
        <w:pStyle w:val="ekillerTablosu"/>
        <w:tabs>
          <w:tab w:val="right" w:leader="dot" w:pos="8493"/>
        </w:tabs>
        <w:rPr>
          <w:rFonts w:asciiTheme="minorHAnsi" w:eastAsiaTheme="minorEastAsia" w:hAnsiTheme="minorHAnsi" w:cstheme="minorBidi"/>
          <w:noProof/>
          <w:sz w:val="22"/>
          <w:lang w:eastAsia="tr-TR"/>
        </w:rPr>
      </w:pPr>
      <w:r>
        <w:fldChar w:fldCharType="begin"/>
      </w:r>
      <w:r>
        <w:instrText xml:space="preserve"> TOC \h \z \c "Şekil" </w:instrText>
      </w:r>
      <w:r>
        <w:fldChar w:fldCharType="separate"/>
      </w:r>
      <w:hyperlink w:anchor="_Toc49817967" w:history="1">
        <w:r w:rsidR="00BC4914" w:rsidRPr="00273D3B">
          <w:rPr>
            <w:rStyle w:val="Kpr"/>
            <w:noProof/>
          </w:rPr>
          <w:t xml:space="preserve">Şekil 2.1 Hepatosit ve </w:t>
        </w:r>
        <w:r w:rsidR="00166574">
          <w:rPr>
            <w:rStyle w:val="Kpr"/>
            <w:noProof/>
          </w:rPr>
          <w:t>İ</w:t>
        </w:r>
        <w:r w:rsidR="00BC4914" w:rsidRPr="00273D3B">
          <w:rPr>
            <w:rStyle w:val="Kpr"/>
            <w:noProof/>
          </w:rPr>
          <w:t xml:space="preserve">çindeki </w:t>
        </w:r>
        <w:r w:rsidR="00166574">
          <w:rPr>
            <w:rStyle w:val="Kpr"/>
            <w:noProof/>
          </w:rPr>
          <w:t>O</w:t>
        </w:r>
        <w:r w:rsidR="00BC4914" w:rsidRPr="00273D3B">
          <w:rPr>
            <w:rStyle w:val="Kpr"/>
            <w:noProof/>
          </w:rPr>
          <w:t>rganeller</w:t>
        </w:r>
        <w:r w:rsidR="00BC4914">
          <w:rPr>
            <w:noProof/>
            <w:webHidden/>
          </w:rPr>
          <w:tab/>
        </w:r>
        <w:r w:rsidR="00BC4914">
          <w:rPr>
            <w:noProof/>
            <w:webHidden/>
          </w:rPr>
          <w:fldChar w:fldCharType="begin"/>
        </w:r>
        <w:r w:rsidR="00BC4914">
          <w:rPr>
            <w:noProof/>
            <w:webHidden/>
          </w:rPr>
          <w:instrText xml:space="preserve"> PAGEREF _Toc49817967 \h </w:instrText>
        </w:r>
        <w:r w:rsidR="00BC4914">
          <w:rPr>
            <w:noProof/>
            <w:webHidden/>
          </w:rPr>
        </w:r>
        <w:r w:rsidR="00BC4914">
          <w:rPr>
            <w:noProof/>
            <w:webHidden/>
          </w:rPr>
          <w:fldChar w:fldCharType="separate"/>
        </w:r>
        <w:r w:rsidR="00063441">
          <w:rPr>
            <w:noProof/>
            <w:webHidden/>
          </w:rPr>
          <w:t>2</w:t>
        </w:r>
        <w:r w:rsidR="00BC4914">
          <w:rPr>
            <w:noProof/>
            <w:webHidden/>
          </w:rPr>
          <w:fldChar w:fldCharType="end"/>
        </w:r>
      </w:hyperlink>
    </w:p>
    <w:p w14:paraId="472B3F33" w14:textId="3915A999"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7968" w:history="1">
        <w:r w:rsidR="00BC4914" w:rsidRPr="00273D3B">
          <w:rPr>
            <w:rStyle w:val="Kpr"/>
            <w:noProof/>
          </w:rPr>
          <w:t xml:space="preserve">Şekil 2.2 Karaciğer </w:t>
        </w:r>
        <w:r w:rsidR="00166574" w:rsidRPr="00273D3B">
          <w:rPr>
            <w:rStyle w:val="Kpr"/>
            <w:noProof/>
          </w:rPr>
          <w:t xml:space="preserve">Lobülü </w:t>
        </w:r>
        <w:r w:rsidR="00166574">
          <w:rPr>
            <w:rStyle w:val="Kpr"/>
            <w:noProof/>
          </w:rPr>
          <w:t>v</w:t>
        </w:r>
        <w:r w:rsidR="00166574" w:rsidRPr="00273D3B">
          <w:rPr>
            <w:rStyle w:val="Kpr"/>
            <w:noProof/>
          </w:rPr>
          <w:t>e Portal Alan</w:t>
        </w:r>
        <w:r w:rsidR="00BC4914">
          <w:rPr>
            <w:noProof/>
            <w:webHidden/>
          </w:rPr>
          <w:tab/>
        </w:r>
        <w:r w:rsidR="00BC4914">
          <w:rPr>
            <w:noProof/>
            <w:webHidden/>
          </w:rPr>
          <w:fldChar w:fldCharType="begin"/>
        </w:r>
        <w:r w:rsidR="00BC4914">
          <w:rPr>
            <w:noProof/>
            <w:webHidden/>
          </w:rPr>
          <w:instrText xml:space="preserve"> PAGEREF _Toc49817968 \h </w:instrText>
        </w:r>
        <w:r w:rsidR="00BC4914">
          <w:rPr>
            <w:noProof/>
            <w:webHidden/>
          </w:rPr>
        </w:r>
        <w:r w:rsidR="00BC4914">
          <w:rPr>
            <w:noProof/>
            <w:webHidden/>
          </w:rPr>
          <w:fldChar w:fldCharType="separate"/>
        </w:r>
        <w:r w:rsidR="00063441">
          <w:rPr>
            <w:noProof/>
            <w:webHidden/>
          </w:rPr>
          <w:t>3</w:t>
        </w:r>
        <w:r w:rsidR="00BC4914">
          <w:rPr>
            <w:noProof/>
            <w:webHidden/>
          </w:rPr>
          <w:fldChar w:fldCharType="end"/>
        </w:r>
      </w:hyperlink>
    </w:p>
    <w:p w14:paraId="61246CC1" w14:textId="05C59E3F"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7969" w:history="1">
        <w:r w:rsidR="00BC4914" w:rsidRPr="00273D3B">
          <w:rPr>
            <w:rStyle w:val="Kpr"/>
            <w:noProof/>
          </w:rPr>
          <w:t xml:space="preserve">Şekil </w:t>
        </w:r>
        <w:r w:rsidR="00166574" w:rsidRPr="00273D3B">
          <w:rPr>
            <w:rStyle w:val="Kpr"/>
            <w:noProof/>
          </w:rPr>
          <w:t xml:space="preserve">2.3 </w:t>
        </w:r>
        <w:r w:rsidR="00BC4914" w:rsidRPr="00273D3B">
          <w:rPr>
            <w:rStyle w:val="Kpr"/>
            <w:noProof/>
          </w:rPr>
          <w:t xml:space="preserve">Sepsisli </w:t>
        </w:r>
        <w:r w:rsidR="00166574" w:rsidRPr="00273D3B">
          <w:rPr>
            <w:rStyle w:val="Kpr"/>
            <w:noProof/>
          </w:rPr>
          <w:t xml:space="preserve">Hastada Karaciğer Fonksiyonu </w:t>
        </w:r>
        <w:r w:rsidR="00166574">
          <w:rPr>
            <w:rStyle w:val="Kpr"/>
            <w:noProof/>
          </w:rPr>
          <w:t xml:space="preserve">ve </w:t>
        </w:r>
        <w:r w:rsidR="0048467D">
          <w:rPr>
            <w:rStyle w:val="Kpr"/>
            <w:noProof/>
          </w:rPr>
          <w:t>Sepsise Yanıtı</w:t>
        </w:r>
        <w:r w:rsidR="00166574">
          <w:rPr>
            <w:noProof/>
            <w:webHidden/>
          </w:rPr>
          <w:tab/>
        </w:r>
        <w:r w:rsidR="00BC4914">
          <w:rPr>
            <w:noProof/>
            <w:webHidden/>
          </w:rPr>
          <w:fldChar w:fldCharType="begin"/>
        </w:r>
        <w:r w:rsidR="00BC4914">
          <w:rPr>
            <w:noProof/>
            <w:webHidden/>
          </w:rPr>
          <w:instrText xml:space="preserve"> PAGEREF _Toc49817969 \h </w:instrText>
        </w:r>
        <w:r w:rsidR="00BC4914">
          <w:rPr>
            <w:noProof/>
            <w:webHidden/>
          </w:rPr>
        </w:r>
        <w:r w:rsidR="00BC4914">
          <w:rPr>
            <w:noProof/>
            <w:webHidden/>
          </w:rPr>
          <w:fldChar w:fldCharType="separate"/>
        </w:r>
        <w:r w:rsidR="00166574">
          <w:rPr>
            <w:noProof/>
            <w:webHidden/>
          </w:rPr>
          <w:t>22</w:t>
        </w:r>
        <w:r w:rsidR="00BC4914">
          <w:rPr>
            <w:noProof/>
            <w:webHidden/>
          </w:rPr>
          <w:fldChar w:fldCharType="end"/>
        </w:r>
      </w:hyperlink>
    </w:p>
    <w:p w14:paraId="4D6D112A" w14:textId="0CC85264"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7970" w:history="1">
        <w:r w:rsidR="00BC4914" w:rsidRPr="00273D3B">
          <w:rPr>
            <w:rStyle w:val="Kpr"/>
            <w:noProof/>
          </w:rPr>
          <w:t xml:space="preserve">Şekil </w:t>
        </w:r>
        <w:r w:rsidR="00166574" w:rsidRPr="00273D3B">
          <w:rPr>
            <w:rStyle w:val="Kpr"/>
            <w:noProof/>
          </w:rPr>
          <w:t xml:space="preserve">2.4 </w:t>
        </w:r>
        <w:r w:rsidR="00BC4914" w:rsidRPr="00273D3B">
          <w:rPr>
            <w:rStyle w:val="Kpr"/>
            <w:noProof/>
          </w:rPr>
          <w:t xml:space="preserve">Sepsisteki </w:t>
        </w:r>
        <w:r w:rsidR="00166574" w:rsidRPr="00273D3B">
          <w:rPr>
            <w:rStyle w:val="Kpr"/>
            <w:noProof/>
          </w:rPr>
          <w:t>Karaciğerde Patolojik Değ</w:t>
        </w:r>
        <w:r w:rsidR="0048467D">
          <w:rPr>
            <w:rStyle w:val="Kpr"/>
            <w:noProof/>
          </w:rPr>
          <w:t>işiklikler</w:t>
        </w:r>
        <w:r w:rsidR="00166574">
          <w:rPr>
            <w:noProof/>
            <w:webHidden/>
          </w:rPr>
          <w:tab/>
        </w:r>
        <w:r w:rsidR="00BC4914">
          <w:rPr>
            <w:noProof/>
            <w:webHidden/>
          </w:rPr>
          <w:fldChar w:fldCharType="begin"/>
        </w:r>
        <w:r w:rsidR="00BC4914">
          <w:rPr>
            <w:noProof/>
            <w:webHidden/>
          </w:rPr>
          <w:instrText xml:space="preserve"> PAGEREF _Toc49817970 \h </w:instrText>
        </w:r>
        <w:r w:rsidR="00BC4914">
          <w:rPr>
            <w:noProof/>
            <w:webHidden/>
          </w:rPr>
        </w:r>
        <w:r w:rsidR="00BC4914">
          <w:rPr>
            <w:noProof/>
            <w:webHidden/>
          </w:rPr>
          <w:fldChar w:fldCharType="separate"/>
        </w:r>
        <w:r w:rsidR="00166574">
          <w:rPr>
            <w:noProof/>
            <w:webHidden/>
          </w:rPr>
          <w:t>24</w:t>
        </w:r>
        <w:r w:rsidR="00BC4914">
          <w:rPr>
            <w:noProof/>
            <w:webHidden/>
          </w:rPr>
          <w:fldChar w:fldCharType="end"/>
        </w:r>
      </w:hyperlink>
    </w:p>
    <w:p w14:paraId="6C38450F" w14:textId="49CB4B1D"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7971" w:history="1">
        <w:r w:rsidR="00BC4914" w:rsidRPr="00166574">
          <w:rPr>
            <w:rStyle w:val="Kpr"/>
            <w:noProof/>
            <w:color w:val="auto"/>
          </w:rPr>
          <w:t xml:space="preserve">Şekil </w:t>
        </w:r>
        <w:r w:rsidR="00166574" w:rsidRPr="00166574">
          <w:rPr>
            <w:rStyle w:val="Kpr"/>
            <w:noProof/>
            <w:color w:val="auto"/>
          </w:rPr>
          <w:t xml:space="preserve">4.1 </w:t>
        </w:r>
        <w:r w:rsidR="00BC4914" w:rsidRPr="00166574">
          <w:rPr>
            <w:rStyle w:val="Kpr"/>
            <w:noProof/>
            <w:color w:val="auto"/>
          </w:rPr>
          <w:t xml:space="preserve">Kültür </w:t>
        </w:r>
        <w:r w:rsidR="00166574" w:rsidRPr="00166574">
          <w:rPr>
            <w:rStyle w:val="Kpr"/>
            <w:noProof/>
            <w:color w:val="auto"/>
          </w:rPr>
          <w:t xml:space="preserve">Sonucuna Göre </w:t>
        </w:r>
        <w:r w:rsidR="00BC4914" w:rsidRPr="00166574">
          <w:rPr>
            <w:rStyle w:val="Kpr"/>
            <w:noProof/>
            <w:color w:val="auto"/>
          </w:rPr>
          <w:t xml:space="preserve">Kaplan Meier </w:t>
        </w:r>
        <w:r w:rsidR="00166574" w:rsidRPr="00166574">
          <w:rPr>
            <w:rStyle w:val="Kpr"/>
            <w:noProof/>
            <w:color w:val="auto"/>
          </w:rPr>
          <w:t>Hayatta Kalım Analizi</w:t>
        </w:r>
        <w:r w:rsidR="00BC4914">
          <w:rPr>
            <w:noProof/>
            <w:webHidden/>
          </w:rPr>
          <w:tab/>
        </w:r>
        <w:r w:rsidR="00BC4914">
          <w:rPr>
            <w:noProof/>
            <w:webHidden/>
          </w:rPr>
          <w:fldChar w:fldCharType="begin"/>
        </w:r>
        <w:r w:rsidR="00BC4914">
          <w:rPr>
            <w:noProof/>
            <w:webHidden/>
          </w:rPr>
          <w:instrText xml:space="preserve"> PAGEREF _Toc49817971 \h </w:instrText>
        </w:r>
        <w:r w:rsidR="00BC4914">
          <w:rPr>
            <w:noProof/>
            <w:webHidden/>
          </w:rPr>
        </w:r>
        <w:r w:rsidR="00BC4914">
          <w:rPr>
            <w:noProof/>
            <w:webHidden/>
          </w:rPr>
          <w:fldChar w:fldCharType="separate"/>
        </w:r>
        <w:r w:rsidR="00063441">
          <w:rPr>
            <w:noProof/>
            <w:webHidden/>
          </w:rPr>
          <w:t>40</w:t>
        </w:r>
        <w:r w:rsidR="00BC4914">
          <w:rPr>
            <w:noProof/>
            <w:webHidden/>
          </w:rPr>
          <w:fldChar w:fldCharType="end"/>
        </w:r>
      </w:hyperlink>
    </w:p>
    <w:p w14:paraId="45BE3142" w14:textId="1C57E710"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7972" w:history="1">
        <w:r w:rsidR="00BC4914" w:rsidRPr="00273D3B">
          <w:rPr>
            <w:rStyle w:val="Kpr"/>
            <w:noProof/>
          </w:rPr>
          <w:t xml:space="preserve">Şekil 4.2 Kolestaz </w:t>
        </w:r>
        <w:r w:rsidR="00166574" w:rsidRPr="00273D3B">
          <w:rPr>
            <w:rStyle w:val="Kpr"/>
            <w:noProof/>
          </w:rPr>
          <w:t xml:space="preserve">Durumuna Göre </w:t>
        </w:r>
        <w:r w:rsidR="00BC4914" w:rsidRPr="00273D3B">
          <w:rPr>
            <w:rStyle w:val="Kpr"/>
            <w:noProof/>
          </w:rPr>
          <w:t xml:space="preserve">Kaplan Meier </w:t>
        </w:r>
        <w:r w:rsidR="00166574" w:rsidRPr="00273D3B">
          <w:rPr>
            <w:rStyle w:val="Kpr"/>
            <w:noProof/>
          </w:rPr>
          <w:t>Hayatta Kalım Analizi</w:t>
        </w:r>
        <w:r w:rsidR="00BC4914">
          <w:rPr>
            <w:noProof/>
            <w:webHidden/>
          </w:rPr>
          <w:tab/>
        </w:r>
        <w:r w:rsidR="00BC4914">
          <w:rPr>
            <w:noProof/>
            <w:webHidden/>
          </w:rPr>
          <w:fldChar w:fldCharType="begin"/>
        </w:r>
        <w:r w:rsidR="00BC4914">
          <w:rPr>
            <w:noProof/>
            <w:webHidden/>
          </w:rPr>
          <w:instrText xml:space="preserve"> PAGEREF _Toc49817972 \h </w:instrText>
        </w:r>
        <w:r w:rsidR="00BC4914">
          <w:rPr>
            <w:noProof/>
            <w:webHidden/>
          </w:rPr>
        </w:r>
        <w:r w:rsidR="00BC4914">
          <w:rPr>
            <w:noProof/>
            <w:webHidden/>
          </w:rPr>
          <w:fldChar w:fldCharType="separate"/>
        </w:r>
        <w:r w:rsidR="00063441">
          <w:rPr>
            <w:noProof/>
            <w:webHidden/>
          </w:rPr>
          <w:t>53</w:t>
        </w:r>
        <w:r w:rsidR="00BC4914">
          <w:rPr>
            <w:noProof/>
            <w:webHidden/>
          </w:rPr>
          <w:fldChar w:fldCharType="end"/>
        </w:r>
      </w:hyperlink>
    </w:p>
    <w:p w14:paraId="31CB2497" w14:textId="77777777" w:rsidR="009662A3" w:rsidRPr="003656DA" w:rsidRDefault="009662A3" w:rsidP="009662A3">
      <w:r>
        <w:fldChar w:fldCharType="end"/>
      </w:r>
      <w:r w:rsidRPr="003656DA">
        <w:br w:type="page"/>
      </w:r>
    </w:p>
    <w:p w14:paraId="31CB2498" w14:textId="77777777" w:rsidR="009662A3" w:rsidRDefault="009662A3" w:rsidP="009662A3">
      <w:pPr>
        <w:pStyle w:val="Balk1"/>
      </w:pPr>
      <w:bookmarkStart w:id="12" w:name="_Toc38715713"/>
      <w:bookmarkStart w:id="13" w:name="_Toc55727770"/>
      <w:r w:rsidRPr="003656DA">
        <w:lastRenderedPageBreak/>
        <w:t>TABLOLAR DİZİNİ</w:t>
      </w:r>
      <w:bookmarkEnd w:id="12"/>
      <w:bookmarkEnd w:id="13"/>
    </w:p>
    <w:p w14:paraId="31CB2499" w14:textId="77777777" w:rsidR="009662A3" w:rsidRDefault="009662A3" w:rsidP="009662A3">
      <w:pPr>
        <w:ind w:firstLine="0"/>
      </w:pPr>
    </w:p>
    <w:p w14:paraId="7CFECD4F" w14:textId="77777777" w:rsidR="00BC4914" w:rsidRPr="00166574" w:rsidRDefault="009662A3">
      <w:pPr>
        <w:pStyle w:val="ekillerTablosu"/>
        <w:tabs>
          <w:tab w:val="right" w:leader="dot" w:pos="8493"/>
        </w:tabs>
        <w:rPr>
          <w:rFonts w:asciiTheme="minorHAnsi" w:eastAsiaTheme="minorEastAsia" w:hAnsiTheme="minorHAnsi" w:cstheme="minorBidi"/>
          <w:noProof/>
          <w:sz w:val="22"/>
          <w:lang w:eastAsia="tr-TR"/>
        </w:rPr>
      </w:pPr>
      <w:r>
        <w:fldChar w:fldCharType="begin"/>
      </w:r>
      <w:r>
        <w:instrText xml:space="preserve"> TOC \h \z \c "Tablo" </w:instrText>
      </w:r>
      <w:r>
        <w:fldChar w:fldCharType="separate"/>
      </w:r>
      <w:hyperlink w:anchor="_Toc49818007" w:history="1">
        <w:r w:rsidR="00BC4914" w:rsidRPr="00166574">
          <w:rPr>
            <w:rStyle w:val="Kpr"/>
            <w:noProof/>
          </w:rPr>
          <w:t>Tablo 2.1  2016 yılı Sepsis Uzlaşı Toplantısındaki Tanımlamalar</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_Toc49818007 \h </w:instrText>
        </w:r>
        <w:r w:rsidR="00BC4914" w:rsidRPr="00166574">
          <w:rPr>
            <w:noProof/>
            <w:webHidden/>
          </w:rPr>
        </w:r>
        <w:r w:rsidR="00BC4914" w:rsidRPr="00166574">
          <w:rPr>
            <w:noProof/>
            <w:webHidden/>
          </w:rPr>
          <w:fldChar w:fldCharType="separate"/>
        </w:r>
        <w:r w:rsidR="00063441" w:rsidRPr="00166574">
          <w:rPr>
            <w:noProof/>
            <w:webHidden/>
          </w:rPr>
          <w:t>7</w:t>
        </w:r>
        <w:r w:rsidR="00BC4914" w:rsidRPr="00166574">
          <w:rPr>
            <w:noProof/>
            <w:webHidden/>
          </w:rPr>
          <w:fldChar w:fldCharType="end"/>
        </w:r>
      </w:hyperlink>
    </w:p>
    <w:p w14:paraId="561757C5" w14:textId="3E0C8B89"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08" w:history="1">
        <w:r w:rsidR="00BC4914" w:rsidRPr="00166574">
          <w:rPr>
            <w:rStyle w:val="Kpr"/>
            <w:noProof/>
          </w:rPr>
          <w:t xml:space="preserve">Tablo 2.2 Septik </w:t>
        </w:r>
        <w:r w:rsidR="0048467D" w:rsidRPr="00166574">
          <w:rPr>
            <w:rStyle w:val="Kpr"/>
            <w:noProof/>
          </w:rPr>
          <w:t>Şokta Rol Alan Antijenik Yapılar</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_Toc49818008 \h </w:instrText>
        </w:r>
        <w:r w:rsidR="00BC4914" w:rsidRPr="00166574">
          <w:rPr>
            <w:noProof/>
            <w:webHidden/>
          </w:rPr>
        </w:r>
        <w:r w:rsidR="00BC4914" w:rsidRPr="00166574">
          <w:rPr>
            <w:noProof/>
            <w:webHidden/>
          </w:rPr>
          <w:fldChar w:fldCharType="separate"/>
        </w:r>
        <w:r w:rsidR="00063441" w:rsidRPr="00166574">
          <w:rPr>
            <w:noProof/>
            <w:webHidden/>
          </w:rPr>
          <w:t>8</w:t>
        </w:r>
        <w:r w:rsidR="00BC4914" w:rsidRPr="00166574">
          <w:rPr>
            <w:noProof/>
            <w:webHidden/>
          </w:rPr>
          <w:fldChar w:fldCharType="end"/>
        </w:r>
      </w:hyperlink>
    </w:p>
    <w:p w14:paraId="588EF502" w14:textId="77777777"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09" w:history="1">
        <w:r w:rsidR="00BC4914" w:rsidRPr="00166574">
          <w:rPr>
            <w:rStyle w:val="Kpr"/>
            <w:noProof/>
          </w:rPr>
          <w:t>Tablo 2.3 Septik Triad</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_Toc49818009 \h </w:instrText>
        </w:r>
        <w:r w:rsidR="00BC4914" w:rsidRPr="00166574">
          <w:rPr>
            <w:noProof/>
            <w:webHidden/>
          </w:rPr>
        </w:r>
        <w:r w:rsidR="00BC4914" w:rsidRPr="00166574">
          <w:rPr>
            <w:noProof/>
            <w:webHidden/>
          </w:rPr>
          <w:fldChar w:fldCharType="separate"/>
        </w:r>
        <w:r w:rsidR="00063441" w:rsidRPr="00166574">
          <w:rPr>
            <w:noProof/>
            <w:webHidden/>
          </w:rPr>
          <w:t>9</w:t>
        </w:r>
        <w:r w:rsidR="00BC4914" w:rsidRPr="00166574">
          <w:rPr>
            <w:noProof/>
            <w:webHidden/>
          </w:rPr>
          <w:fldChar w:fldCharType="end"/>
        </w:r>
      </w:hyperlink>
    </w:p>
    <w:p w14:paraId="7F5A42C3" w14:textId="0D65E58A"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10" w:history="1">
        <w:r w:rsidR="00BC4914" w:rsidRPr="00166574">
          <w:rPr>
            <w:rStyle w:val="Kpr"/>
            <w:noProof/>
          </w:rPr>
          <w:t xml:space="preserve">Tablo 2.4. Sepsiste </w:t>
        </w:r>
        <w:r w:rsidR="0048467D" w:rsidRPr="00166574">
          <w:rPr>
            <w:rStyle w:val="Kpr"/>
            <w:noProof/>
          </w:rPr>
          <w:t>İnflamatuvar Mediyatörler</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_Toc49818010 \h </w:instrText>
        </w:r>
        <w:r w:rsidR="00BC4914" w:rsidRPr="00166574">
          <w:rPr>
            <w:noProof/>
            <w:webHidden/>
          </w:rPr>
        </w:r>
        <w:r w:rsidR="00BC4914" w:rsidRPr="00166574">
          <w:rPr>
            <w:noProof/>
            <w:webHidden/>
          </w:rPr>
          <w:fldChar w:fldCharType="separate"/>
        </w:r>
        <w:r w:rsidR="00063441" w:rsidRPr="00166574">
          <w:rPr>
            <w:noProof/>
            <w:webHidden/>
          </w:rPr>
          <w:t>10</w:t>
        </w:r>
        <w:r w:rsidR="00BC4914" w:rsidRPr="00166574">
          <w:rPr>
            <w:noProof/>
            <w:webHidden/>
          </w:rPr>
          <w:fldChar w:fldCharType="end"/>
        </w:r>
      </w:hyperlink>
    </w:p>
    <w:p w14:paraId="44C02867" w14:textId="0627CC23"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11" w:history="1">
        <w:r w:rsidR="00BC4914" w:rsidRPr="00166574">
          <w:rPr>
            <w:rStyle w:val="Kpr"/>
            <w:noProof/>
          </w:rPr>
          <w:t xml:space="preserve">Tablo 2.5 Sepsiste </w:t>
        </w:r>
        <w:r w:rsidR="0048467D" w:rsidRPr="00166574">
          <w:rPr>
            <w:rStyle w:val="Kpr"/>
            <w:noProof/>
          </w:rPr>
          <w:t>Muayene Bulguları</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_Toc49818011 \h </w:instrText>
        </w:r>
        <w:r w:rsidR="00BC4914" w:rsidRPr="00166574">
          <w:rPr>
            <w:noProof/>
            <w:webHidden/>
          </w:rPr>
        </w:r>
        <w:r w:rsidR="00BC4914" w:rsidRPr="00166574">
          <w:rPr>
            <w:noProof/>
            <w:webHidden/>
          </w:rPr>
          <w:fldChar w:fldCharType="separate"/>
        </w:r>
        <w:r w:rsidR="00063441" w:rsidRPr="00166574">
          <w:rPr>
            <w:noProof/>
            <w:webHidden/>
          </w:rPr>
          <w:t>11</w:t>
        </w:r>
        <w:r w:rsidR="00BC4914" w:rsidRPr="00166574">
          <w:rPr>
            <w:noProof/>
            <w:webHidden/>
          </w:rPr>
          <w:fldChar w:fldCharType="end"/>
        </w:r>
      </w:hyperlink>
    </w:p>
    <w:p w14:paraId="1ADAD11C" w14:textId="77777777"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12" w:history="1">
        <w:r w:rsidR="00BC4914" w:rsidRPr="00166574">
          <w:rPr>
            <w:rStyle w:val="Kpr"/>
            <w:noProof/>
          </w:rPr>
          <w:t>Tablo 2.6 Sepsiste Görülen Primer ve Sekonder Belirti ve Bulgular</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_Toc49818012 \h </w:instrText>
        </w:r>
        <w:r w:rsidR="00BC4914" w:rsidRPr="00166574">
          <w:rPr>
            <w:noProof/>
            <w:webHidden/>
          </w:rPr>
        </w:r>
        <w:r w:rsidR="00BC4914" w:rsidRPr="00166574">
          <w:rPr>
            <w:noProof/>
            <w:webHidden/>
          </w:rPr>
          <w:fldChar w:fldCharType="separate"/>
        </w:r>
        <w:r w:rsidR="00063441" w:rsidRPr="00166574">
          <w:rPr>
            <w:noProof/>
            <w:webHidden/>
          </w:rPr>
          <w:t>12</w:t>
        </w:r>
        <w:r w:rsidR="00BC4914" w:rsidRPr="00166574">
          <w:rPr>
            <w:noProof/>
            <w:webHidden/>
          </w:rPr>
          <w:fldChar w:fldCharType="end"/>
        </w:r>
      </w:hyperlink>
    </w:p>
    <w:p w14:paraId="5794E2E8" w14:textId="77777777"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13" w:history="1">
        <w:r w:rsidR="00BC4914" w:rsidRPr="00166574">
          <w:rPr>
            <w:rStyle w:val="Kpr"/>
            <w:noProof/>
          </w:rPr>
          <w:t xml:space="preserve">Tablo 2.7 </w:t>
        </w:r>
        <w:r w:rsidR="00BC4914" w:rsidRPr="00166574">
          <w:rPr>
            <w:rStyle w:val="Kpr"/>
            <w:rFonts w:eastAsia="Times New Roman"/>
            <w:bCs/>
            <w:noProof/>
            <w:lang w:eastAsia="tr-TR"/>
          </w:rPr>
          <w:t xml:space="preserve"> </w:t>
        </w:r>
        <w:r w:rsidR="00BC4914" w:rsidRPr="00166574">
          <w:rPr>
            <w:rStyle w:val="Kpr"/>
            <w:noProof/>
          </w:rPr>
          <w:t>Sequential Organ Failure Assessment Score</w:t>
        </w:r>
        <w:r w:rsidR="00BC4914" w:rsidRPr="00166574">
          <w:rPr>
            <w:rStyle w:val="Kpr"/>
            <w:rFonts w:eastAsia="Times New Roman"/>
            <w:bCs/>
            <w:noProof/>
            <w:lang w:eastAsia="tr-TR"/>
          </w:rPr>
          <w:t xml:space="preserve"> (</w:t>
        </w:r>
        <w:r w:rsidR="00BC4914" w:rsidRPr="00166574">
          <w:rPr>
            <w:rStyle w:val="Kpr"/>
            <w:noProof/>
          </w:rPr>
          <w:t>SOFA)</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_Toc49818013 \h </w:instrText>
        </w:r>
        <w:r w:rsidR="00BC4914" w:rsidRPr="00166574">
          <w:rPr>
            <w:noProof/>
            <w:webHidden/>
          </w:rPr>
        </w:r>
        <w:r w:rsidR="00BC4914" w:rsidRPr="00166574">
          <w:rPr>
            <w:noProof/>
            <w:webHidden/>
          </w:rPr>
          <w:fldChar w:fldCharType="separate"/>
        </w:r>
        <w:r w:rsidR="00063441" w:rsidRPr="00166574">
          <w:rPr>
            <w:noProof/>
            <w:webHidden/>
          </w:rPr>
          <w:t>14</w:t>
        </w:r>
        <w:r w:rsidR="00BC4914" w:rsidRPr="00166574">
          <w:rPr>
            <w:noProof/>
            <w:webHidden/>
          </w:rPr>
          <w:fldChar w:fldCharType="end"/>
        </w:r>
      </w:hyperlink>
    </w:p>
    <w:p w14:paraId="05D1BFEB" w14:textId="77777777"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14" w:history="1">
        <w:r w:rsidR="00BC4914" w:rsidRPr="00166574">
          <w:rPr>
            <w:rStyle w:val="Kpr"/>
            <w:noProof/>
          </w:rPr>
          <w:t>Tablo 2.8  qSOFA Skoru</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_Toc49818014 \h </w:instrText>
        </w:r>
        <w:r w:rsidR="00BC4914" w:rsidRPr="00166574">
          <w:rPr>
            <w:noProof/>
            <w:webHidden/>
          </w:rPr>
        </w:r>
        <w:r w:rsidR="00BC4914" w:rsidRPr="00166574">
          <w:rPr>
            <w:noProof/>
            <w:webHidden/>
          </w:rPr>
          <w:fldChar w:fldCharType="separate"/>
        </w:r>
        <w:r w:rsidR="00063441" w:rsidRPr="00166574">
          <w:rPr>
            <w:noProof/>
            <w:webHidden/>
          </w:rPr>
          <w:t>15</w:t>
        </w:r>
        <w:r w:rsidR="00BC4914" w:rsidRPr="00166574">
          <w:rPr>
            <w:noProof/>
            <w:webHidden/>
          </w:rPr>
          <w:fldChar w:fldCharType="end"/>
        </w:r>
      </w:hyperlink>
    </w:p>
    <w:p w14:paraId="5ABC417B" w14:textId="17E872A5"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15" w:history="1">
        <w:r w:rsidR="00BC4914" w:rsidRPr="00166574">
          <w:rPr>
            <w:rStyle w:val="Kpr"/>
            <w:noProof/>
          </w:rPr>
          <w:t xml:space="preserve">Tablo 2.9 Karaciğer </w:t>
        </w:r>
        <w:r w:rsidR="0048467D" w:rsidRPr="00166574">
          <w:rPr>
            <w:rStyle w:val="Kpr"/>
            <w:noProof/>
          </w:rPr>
          <w:t>Nakli Alıcısında Enfeksiyon İçin Risk Faktörleri</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_Toc49818015 \h </w:instrText>
        </w:r>
        <w:r w:rsidR="00BC4914" w:rsidRPr="00166574">
          <w:rPr>
            <w:noProof/>
            <w:webHidden/>
          </w:rPr>
        </w:r>
        <w:r w:rsidR="00BC4914" w:rsidRPr="00166574">
          <w:rPr>
            <w:noProof/>
            <w:webHidden/>
          </w:rPr>
          <w:fldChar w:fldCharType="separate"/>
        </w:r>
        <w:r w:rsidR="00063441" w:rsidRPr="00166574">
          <w:rPr>
            <w:noProof/>
            <w:webHidden/>
          </w:rPr>
          <w:t>16</w:t>
        </w:r>
        <w:r w:rsidR="00BC4914" w:rsidRPr="00166574">
          <w:rPr>
            <w:noProof/>
            <w:webHidden/>
          </w:rPr>
          <w:fldChar w:fldCharType="end"/>
        </w:r>
      </w:hyperlink>
    </w:p>
    <w:p w14:paraId="032904D9" w14:textId="368C5928"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16" w:history="1">
        <w:r w:rsidR="00BC4914" w:rsidRPr="00166574">
          <w:rPr>
            <w:rStyle w:val="Kpr"/>
            <w:noProof/>
          </w:rPr>
          <w:t xml:space="preserve">Tablo 4.1 Hasar </w:t>
        </w:r>
        <w:r w:rsidR="0048467D" w:rsidRPr="00166574">
          <w:rPr>
            <w:rStyle w:val="Kpr"/>
            <w:noProof/>
          </w:rPr>
          <w:t xml:space="preserve">Şiddeti </w:t>
        </w:r>
        <w:r w:rsidR="0048467D">
          <w:rPr>
            <w:rStyle w:val="Kpr"/>
            <w:noProof/>
          </w:rPr>
          <w:t>v</w:t>
        </w:r>
        <w:r w:rsidR="0048467D" w:rsidRPr="00166574">
          <w:rPr>
            <w:rStyle w:val="Kpr"/>
            <w:noProof/>
          </w:rPr>
          <w:t>e Hasar Yay</w:t>
        </w:r>
        <w:r w:rsidR="0048467D">
          <w:rPr>
            <w:rStyle w:val="Kpr"/>
            <w:noProof/>
          </w:rPr>
          <w:t>gınlık Derecesi Skorları v</w:t>
        </w:r>
        <w:r w:rsidR="0048467D" w:rsidRPr="00166574">
          <w:rPr>
            <w:rStyle w:val="Kpr"/>
            <w:noProof/>
          </w:rPr>
          <w:t xml:space="preserve">e </w:t>
        </w:r>
        <w:r w:rsidR="00BC4914" w:rsidRPr="00166574">
          <w:rPr>
            <w:rStyle w:val="Kpr"/>
            <w:noProof/>
          </w:rPr>
          <w:t xml:space="preserve">Total </w:t>
        </w:r>
        <w:r w:rsidR="0048467D" w:rsidRPr="00166574">
          <w:rPr>
            <w:rStyle w:val="Kpr"/>
            <w:noProof/>
          </w:rPr>
          <w:t>Hasar</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_Toc49818016 \h </w:instrText>
        </w:r>
        <w:r w:rsidR="00BC4914" w:rsidRPr="00166574">
          <w:rPr>
            <w:noProof/>
            <w:webHidden/>
          </w:rPr>
        </w:r>
        <w:r w:rsidR="00BC4914" w:rsidRPr="00166574">
          <w:rPr>
            <w:noProof/>
            <w:webHidden/>
          </w:rPr>
          <w:fldChar w:fldCharType="separate"/>
        </w:r>
        <w:r w:rsidR="00063441" w:rsidRPr="00166574">
          <w:rPr>
            <w:noProof/>
            <w:webHidden/>
          </w:rPr>
          <w:t>33</w:t>
        </w:r>
        <w:r w:rsidR="00BC4914" w:rsidRPr="00166574">
          <w:rPr>
            <w:noProof/>
            <w:webHidden/>
          </w:rPr>
          <w:fldChar w:fldCharType="end"/>
        </w:r>
      </w:hyperlink>
    </w:p>
    <w:p w14:paraId="57ABA14B" w14:textId="77777777"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17" w:history="1">
        <w:r w:rsidR="00BC4914" w:rsidRPr="00166574">
          <w:rPr>
            <w:rStyle w:val="Kpr"/>
            <w:noProof/>
          </w:rPr>
          <w:t>Tablo 4.2 Cinsiyete Göre Nakil Endikasyonları</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_Toc49818017 \h </w:instrText>
        </w:r>
        <w:r w:rsidR="00BC4914" w:rsidRPr="00166574">
          <w:rPr>
            <w:noProof/>
            <w:webHidden/>
          </w:rPr>
        </w:r>
        <w:r w:rsidR="00BC4914" w:rsidRPr="00166574">
          <w:rPr>
            <w:noProof/>
            <w:webHidden/>
          </w:rPr>
          <w:fldChar w:fldCharType="separate"/>
        </w:r>
        <w:r w:rsidR="00063441" w:rsidRPr="00166574">
          <w:rPr>
            <w:noProof/>
            <w:webHidden/>
          </w:rPr>
          <w:t>34</w:t>
        </w:r>
        <w:r w:rsidR="00BC4914" w:rsidRPr="00166574">
          <w:rPr>
            <w:noProof/>
            <w:webHidden/>
          </w:rPr>
          <w:fldChar w:fldCharType="end"/>
        </w:r>
      </w:hyperlink>
    </w:p>
    <w:p w14:paraId="6E579762" w14:textId="77777777"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18" w:history="1">
        <w:r w:rsidR="00BC4914" w:rsidRPr="00166574">
          <w:rPr>
            <w:rStyle w:val="Kpr"/>
            <w:noProof/>
          </w:rPr>
          <w:t>Tablo 4.3 Hastalardaki Sepsis Nedenleri</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_Toc49818018 \h </w:instrText>
        </w:r>
        <w:r w:rsidR="00BC4914" w:rsidRPr="00166574">
          <w:rPr>
            <w:noProof/>
            <w:webHidden/>
          </w:rPr>
        </w:r>
        <w:r w:rsidR="00BC4914" w:rsidRPr="00166574">
          <w:rPr>
            <w:noProof/>
            <w:webHidden/>
          </w:rPr>
          <w:fldChar w:fldCharType="separate"/>
        </w:r>
        <w:r w:rsidR="00063441" w:rsidRPr="00166574">
          <w:rPr>
            <w:noProof/>
            <w:webHidden/>
          </w:rPr>
          <w:t>35</w:t>
        </w:r>
        <w:r w:rsidR="00BC4914" w:rsidRPr="00166574">
          <w:rPr>
            <w:noProof/>
            <w:webHidden/>
          </w:rPr>
          <w:fldChar w:fldCharType="end"/>
        </w:r>
      </w:hyperlink>
    </w:p>
    <w:p w14:paraId="315772FA" w14:textId="62B0757B"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19" w:history="1">
        <w:r w:rsidR="00BC4914" w:rsidRPr="00166574">
          <w:rPr>
            <w:rStyle w:val="Kpr"/>
            <w:noProof/>
          </w:rPr>
          <w:t>Tablo 4.4 Re</w:t>
        </w:r>
        <w:r w:rsidR="008A1F60" w:rsidRPr="00166574">
          <w:rPr>
            <w:rStyle w:val="Kpr"/>
            <w:noProof/>
          </w:rPr>
          <w:t>laparot</w:t>
        </w:r>
        <w:r w:rsidR="00BC4914" w:rsidRPr="00166574">
          <w:rPr>
            <w:rStyle w:val="Kpr"/>
            <w:noProof/>
          </w:rPr>
          <w:t>omi Nedenleri ve Yapılan Ameliyat</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_Toc49818019 \h </w:instrText>
        </w:r>
        <w:r w:rsidR="00BC4914" w:rsidRPr="00166574">
          <w:rPr>
            <w:noProof/>
            <w:webHidden/>
          </w:rPr>
        </w:r>
        <w:r w:rsidR="00BC4914" w:rsidRPr="00166574">
          <w:rPr>
            <w:noProof/>
            <w:webHidden/>
          </w:rPr>
          <w:fldChar w:fldCharType="separate"/>
        </w:r>
        <w:r w:rsidR="00063441" w:rsidRPr="00166574">
          <w:rPr>
            <w:noProof/>
            <w:webHidden/>
          </w:rPr>
          <w:t>35</w:t>
        </w:r>
        <w:r w:rsidR="00BC4914" w:rsidRPr="00166574">
          <w:rPr>
            <w:noProof/>
            <w:webHidden/>
          </w:rPr>
          <w:fldChar w:fldCharType="end"/>
        </w:r>
      </w:hyperlink>
    </w:p>
    <w:p w14:paraId="02E2BBB6" w14:textId="76358098"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20" w:history="1">
        <w:r w:rsidR="00BC4914" w:rsidRPr="00166574">
          <w:rPr>
            <w:rStyle w:val="Kpr"/>
            <w:noProof/>
          </w:rPr>
          <w:t>Tablo 4.5</w:t>
        </w:r>
        <w:r w:rsidR="0048467D" w:rsidRPr="00166574">
          <w:rPr>
            <w:rStyle w:val="Kpr"/>
            <w:noProof/>
          </w:rPr>
          <w:t xml:space="preserve"> </w:t>
        </w:r>
        <w:r w:rsidR="00BC4914" w:rsidRPr="00166574">
          <w:rPr>
            <w:rStyle w:val="Kpr"/>
            <w:noProof/>
          </w:rPr>
          <w:t xml:space="preserve">Kültürde </w:t>
        </w:r>
        <w:r w:rsidR="0048467D">
          <w:rPr>
            <w:rStyle w:val="Kpr"/>
            <w:noProof/>
          </w:rPr>
          <w:t>Üreme Durumuna Göre Demografik v</w:t>
        </w:r>
        <w:r w:rsidR="0048467D" w:rsidRPr="00166574">
          <w:rPr>
            <w:rStyle w:val="Kpr"/>
            <w:noProof/>
          </w:rPr>
          <w:t>e Klinik Veriler</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_Toc49818020 \h </w:instrText>
        </w:r>
        <w:r w:rsidR="00BC4914" w:rsidRPr="00166574">
          <w:rPr>
            <w:noProof/>
            <w:webHidden/>
          </w:rPr>
        </w:r>
        <w:r w:rsidR="00BC4914" w:rsidRPr="00166574">
          <w:rPr>
            <w:noProof/>
            <w:webHidden/>
          </w:rPr>
          <w:fldChar w:fldCharType="separate"/>
        </w:r>
        <w:r w:rsidR="00063441" w:rsidRPr="00166574">
          <w:rPr>
            <w:noProof/>
            <w:webHidden/>
          </w:rPr>
          <w:t>37</w:t>
        </w:r>
        <w:r w:rsidR="00BC4914" w:rsidRPr="00166574">
          <w:rPr>
            <w:noProof/>
            <w:webHidden/>
          </w:rPr>
          <w:fldChar w:fldCharType="end"/>
        </w:r>
      </w:hyperlink>
    </w:p>
    <w:p w14:paraId="4F47F541" w14:textId="510BAB5C"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21" w:history="1">
        <w:r w:rsidR="00BC4914" w:rsidRPr="00166574">
          <w:rPr>
            <w:rStyle w:val="Kpr"/>
            <w:noProof/>
          </w:rPr>
          <w:t xml:space="preserve">Tablo 4.6 Kültürde </w:t>
        </w:r>
        <w:r w:rsidR="0048467D">
          <w:rPr>
            <w:rStyle w:val="Kpr"/>
            <w:noProof/>
          </w:rPr>
          <w:t>Üreme v</w:t>
        </w:r>
        <w:r w:rsidR="0048467D" w:rsidRPr="00166574">
          <w:rPr>
            <w:rStyle w:val="Kpr"/>
            <w:noProof/>
          </w:rPr>
          <w:t>e Laboratuvar Değerleri Arasındaki İlişki</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_Toc49818021 \h </w:instrText>
        </w:r>
        <w:r w:rsidR="00BC4914" w:rsidRPr="00166574">
          <w:rPr>
            <w:noProof/>
            <w:webHidden/>
          </w:rPr>
        </w:r>
        <w:r w:rsidR="00BC4914" w:rsidRPr="00166574">
          <w:rPr>
            <w:noProof/>
            <w:webHidden/>
          </w:rPr>
          <w:fldChar w:fldCharType="separate"/>
        </w:r>
        <w:r w:rsidR="00063441" w:rsidRPr="00166574">
          <w:rPr>
            <w:noProof/>
            <w:webHidden/>
          </w:rPr>
          <w:t>38</w:t>
        </w:r>
        <w:r w:rsidR="00BC4914" w:rsidRPr="00166574">
          <w:rPr>
            <w:noProof/>
            <w:webHidden/>
          </w:rPr>
          <w:fldChar w:fldCharType="end"/>
        </w:r>
      </w:hyperlink>
    </w:p>
    <w:p w14:paraId="1698AB0A" w14:textId="433BD95D"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22" w:history="1">
        <w:r w:rsidR="00BC4914" w:rsidRPr="00166574">
          <w:rPr>
            <w:rStyle w:val="Kpr"/>
            <w:noProof/>
          </w:rPr>
          <w:t xml:space="preserve">Tablo 4.7  Alınan </w:t>
        </w:r>
        <w:r w:rsidR="0048467D" w:rsidRPr="00166574">
          <w:rPr>
            <w:rStyle w:val="Kpr"/>
            <w:noProof/>
          </w:rPr>
          <w:t>Kültürlere Göre Üreyen Bütün Mikroorganizmalar</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_Toc49818022 \h </w:instrText>
        </w:r>
        <w:r w:rsidR="00BC4914" w:rsidRPr="00166574">
          <w:rPr>
            <w:noProof/>
            <w:webHidden/>
          </w:rPr>
        </w:r>
        <w:r w:rsidR="00BC4914" w:rsidRPr="00166574">
          <w:rPr>
            <w:noProof/>
            <w:webHidden/>
          </w:rPr>
          <w:fldChar w:fldCharType="separate"/>
        </w:r>
        <w:r w:rsidR="00063441" w:rsidRPr="00166574">
          <w:rPr>
            <w:noProof/>
            <w:webHidden/>
          </w:rPr>
          <w:t>39</w:t>
        </w:r>
        <w:r w:rsidR="00BC4914" w:rsidRPr="00166574">
          <w:rPr>
            <w:noProof/>
            <w:webHidden/>
          </w:rPr>
          <w:fldChar w:fldCharType="end"/>
        </w:r>
      </w:hyperlink>
    </w:p>
    <w:p w14:paraId="79E662BD" w14:textId="4BAE81F8" w:rsidR="00BC4914" w:rsidRPr="0016657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23" w:history="1">
        <w:r w:rsidR="00BC4914" w:rsidRPr="00166574">
          <w:rPr>
            <w:rStyle w:val="Kpr"/>
            <w:noProof/>
          </w:rPr>
          <w:t xml:space="preserve">Tablo 4.8  Kültür </w:t>
        </w:r>
        <w:r w:rsidR="00166574" w:rsidRPr="00166574">
          <w:rPr>
            <w:rStyle w:val="Kpr"/>
            <w:noProof/>
          </w:rPr>
          <w:t>Sonucuna Göre Hayatta Kalma Dağılımlarının Eşitliği Testi</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_Toc49818023 \h </w:instrText>
        </w:r>
        <w:r w:rsidR="00BC4914" w:rsidRPr="00166574">
          <w:rPr>
            <w:noProof/>
            <w:webHidden/>
          </w:rPr>
        </w:r>
        <w:r w:rsidR="00BC4914" w:rsidRPr="00166574">
          <w:rPr>
            <w:noProof/>
            <w:webHidden/>
          </w:rPr>
          <w:fldChar w:fldCharType="separate"/>
        </w:r>
        <w:r w:rsidR="00063441" w:rsidRPr="00166574">
          <w:rPr>
            <w:noProof/>
            <w:webHidden/>
          </w:rPr>
          <w:t>40</w:t>
        </w:r>
        <w:r w:rsidR="00BC4914" w:rsidRPr="00166574">
          <w:rPr>
            <w:noProof/>
            <w:webHidden/>
          </w:rPr>
          <w:fldChar w:fldCharType="end"/>
        </w:r>
      </w:hyperlink>
    </w:p>
    <w:p w14:paraId="1666F123" w14:textId="6B53F9B9"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24" w:history="1">
        <w:r w:rsidR="00BC4914" w:rsidRPr="00166574">
          <w:rPr>
            <w:rStyle w:val="Kpr"/>
            <w:noProof/>
          </w:rPr>
          <w:t>Tablo 4.9 Etiyoloj</w:t>
        </w:r>
        <w:r w:rsidR="00166574" w:rsidRPr="00166574">
          <w:rPr>
            <w:rStyle w:val="Kpr"/>
            <w:noProof/>
          </w:rPr>
          <w:t>iye G</w:t>
        </w:r>
        <w:r w:rsidR="00BC4914" w:rsidRPr="00166574">
          <w:rPr>
            <w:rStyle w:val="Kpr"/>
            <w:noProof/>
          </w:rPr>
          <w:t>öre Patolojik Bulgular ve Kültürde Üreme Verileri</w:t>
        </w:r>
        <w:r w:rsidR="00BC4914" w:rsidRPr="00166574">
          <w:rPr>
            <w:noProof/>
            <w:webHidden/>
          </w:rPr>
          <w:tab/>
        </w:r>
        <w:r w:rsidR="00BC4914" w:rsidRPr="00166574">
          <w:rPr>
            <w:noProof/>
            <w:webHidden/>
          </w:rPr>
          <w:fldChar w:fldCharType="begin"/>
        </w:r>
        <w:r w:rsidR="00BC4914" w:rsidRPr="00166574">
          <w:rPr>
            <w:noProof/>
            <w:webHidden/>
          </w:rPr>
          <w:instrText xml:space="preserve"> PAGEREF _Toc49818024 \h </w:instrText>
        </w:r>
        <w:r w:rsidR="00BC4914" w:rsidRPr="00166574">
          <w:rPr>
            <w:noProof/>
            <w:webHidden/>
          </w:rPr>
        </w:r>
        <w:r w:rsidR="00BC4914" w:rsidRPr="00166574">
          <w:rPr>
            <w:noProof/>
            <w:webHidden/>
          </w:rPr>
          <w:fldChar w:fldCharType="separate"/>
        </w:r>
        <w:r w:rsidR="00063441" w:rsidRPr="00166574">
          <w:rPr>
            <w:noProof/>
            <w:webHidden/>
          </w:rPr>
          <w:t>41</w:t>
        </w:r>
        <w:r w:rsidR="00BC4914" w:rsidRPr="00166574">
          <w:rPr>
            <w:noProof/>
            <w:webHidden/>
          </w:rPr>
          <w:fldChar w:fldCharType="end"/>
        </w:r>
      </w:hyperlink>
    </w:p>
    <w:p w14:paraId="063D8497" w14:textId="75FF2035"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25" w:history="1">
        <w:r w:rsidR="00BC4914" w:rsidRPr="00F70EF7">
          <w:rPr>
            <w:rStyle w:val="Kpr"/>
            <w:noProof/>
          </w:rPr>
          <w:t xml:space="preserve">Tablo 4.10 Hayatta </w:t>
        </w:r>
        <w:r w:rsidR="0048467D" w:rsidRPr="00F70EF7">
          <w:rPr>
            <w:rStyle w:val="Kpr"/>
            <w:noProof/>
          </w:rPr>
          <w:t>Kalma Durumuna Gö</w:t>
        </w:r>
        <w:r w:rsidR="0048467D">
          <w:rPr>
            <w:rStyle w:val="Kpr"/>
            <w:noProof/>
          </w:rPr>
          <w:t>re Demografik ve Klinik Veriler</w:t>
        </w:r>
        <w:r w:rsidR="00BC4914">
          <w:rPr>
            <w:noProof/>
            <w:webHidden/>
          </w:rPr>
          <w:tab/>
        </w:r>
        <w:r w:rsidR="00BC4914">
          <w:rPr>
            <w:noProof/>
            <w:webHidden/>
          </w:rPr>
          <w:fldChar w:fldCharType="begin"/>
        </w:r>
        <w:r w:rsidR="00BC4914">
          <w:rPr>
            <w:noProof/>
            <w:webHidden/>
          </w:rPr>
          <w:instrText xml:space="preserve"> PAGEREF _Toc49818025 \h </w:instrText>
        </w:r>
        <w:r w:rsidR="00BC4914">
          <w:rPr>
            <w:noProof/>
            <w:webHidden/>
          </w:rPr>
        </w:r>
        <w:r w:rsidR="00BC4914">
          <w:rPr>
            <w:noProof/>
            <w:webHidden/>
          </w:rPr>
          <w:fldChar w:fldCharType="separate"/>
        </w:r>
        <w:r w:rsidR="00063441">
          <w:rPr>
            <w:noProof/>
            <w:webHidden/>
          </w:rPr>
          <w:t>42</w:t>
        </w:r>
        <w:r w:rsidR="00BC4914">
          <w:rPr>
            <w:noProof/>
            <w:webHidden/>
          </w:rPr>
          <w:fldChar w:fldCharType="end"/>
        </w:r>
      </w:hyperlink>
    </w:p>
    <w:p w14:paraId="0114432A" w14:textId="7F23BCF0"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26" w:history="1">
        <w:r w:rsidR="00BC4914" w:rsidRPr="00F70EF7">
          <w:rPr>
            <w:rStyle w:val="Kpr"/>
            <w:noProof/>
          </w:rPr>
          <w:t xml:space="preserve">Tablo 4.11 Hayatta </w:t>
        </w:r>
        <w:r w:rsidR="001110C5">
          <w:rPr>
            <w:rStyle w:val="Kpr"/>
            <w:noProof/>
          </w:rPr>
          <w:t>Kalma v</w:t>
        </w:r>
        <w:r w:rsidR="001110C5" w:rsidRPr="00F70EF7">
          <w:rPr>
            <w:rStyle w:val="Kpr"/>
            <w:noProof/>
          </w:rPr>
          <w:t xml:space="preserve">e Laboratuvar Değerleri Arasındaki İlişki </w:t>
        </w:r>
        <w:r w:rsidR="00BC4914">
          <w:rPr>
            <w:noProof/>
            <w:webHidden/>
          </w:rPr>
          <w:tab/>
        </w:r>
        <w:r w:rsidR="00BC4914">
          <w:rPr>
            <w:noProof/>
            <w:webHidden/>
          </w:rPr>
          <w:fldChar w:fldCharType="begin"/>
        </w:r>
        <w:r w:rsidR="00BC4914">
          <w:rPr>
            <w:noProof/>
            <w:webHidden/>
          </w:rPr>
          <w:instrText xml:space="preserve"> PAGEREF _Toc49818026 \h </w:instrText>
        </w:r>
        <w:r w:rsidR="00BC4914">
          <w:rPr>
            <w:noProof/>
            <w:webHidden/>
          </w:rPr>
        </w:r>
        <w:r w:rsidR="00BC4914">
          <w:rPr>
            <w:noProof/>
            <w:webHidden/>
          </w:rPr>
          <w:fldChar w:fldCharType="separate"/>
        </w:r>
        <w:r w:rsidR="00063441">
          <w:rPr>
            <w:noProof/>
            <w:webHidden/>
          </w:rPr>
          <w:t>44</w:t>
        </w:r>
        <w:r w:rsidR="00BC4914">
          <w:rPr>
            <w:noProof/>
            <w:webHidden/>
          </w:rPr>
          <w:fldChar w:fldCharType="end"/>
        </w:r>
      </w:hyperlink>
    </w:p>
    <w:p w14:paraId="01615F7A" w14:textId="4004E5FC"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27" w:history="1">
        <w:r w:rsidR="00BC4914" w:rsidRPr="00F70EF7">
          <w:rPr>
            <w:rStyle w:val="Kpr"/>
            <w:noProof/>
          </w:rPr>
          <w:t xml:space="preserve">Tablo 4.12 Cinsiyete </w:t>
        </w:r>
        <w:r w:rsidR="001110C5" w:rsidRPr="00F70EF7">
          <w:rPr>
            <w:rStyle w:val="Kpr"/>
            <w:noProof/>
          </w:rPr>
          <w:t>Göre Demog</w:t>
        </w:r>
        <w:r w:rsidR="001110C5">
          <w:rPr>
            <w:rStyle w:val="Kpr"/>
            <w:noProof/>
          </w:rPr>
          <w:t>rafik ve Klinik Veriler</w:t>
        </w:r>
        <w:r w:rsidR="00BC4914">
          <w:rPr>
            <w:noProof/>
            <w:webHidden/>
          </w:rPr>
          <w:tab/>
        </w:r>
        <w:r w:rsidR="00BC4914">
          <w:rPr>
            <w:noProof/>
            <w:webHidden/>
          </w:rPr>
          <w:fldChar w:fldCharType="begin"/>
        </w:r>
        <w:r w:rsidR="00BC4914">
          <w:rPr>
            <w:noProof/>
            <w:webHidden/>
          </w:rPr>
          <w:instrText xml:space="preserve"> PAGEREF _Toc49818027 \h </w:instrText>
        </w:r>
        <w:r w:rsidR="00BC4914">
          <w:rPr>
            <w:noProof/>
            <w:webHidden/>
          </w:rPr>
        </w:r>
        <w:r w:rsidR="00BC4914">
          <w:rPr>
            <w:noProof/>
            <w:webHidden/>
          </w:rPr>
          <w:fldChar w:fldCharType="separate"/>
        </w:r>
        <w:r w:rsidR="00063441">
          <w:rPr>
            <w:noProof/>
            <w:webHidden/>
          </w:rPr>
          <w:t>45</w:t>
        </w:r>
        <w:r w:rsidR="00BC4914">
          <w:rPr>
            <w:noProof/>
            <w:webHidden/>
          </w:rPr>
          <w:fldChar w:fldCharType="end"/>
        </w:r>
      </w:hyperlink>
    </w:p>
    <w:p w14:paraId="0F988E29" w14:textId="54F535EA"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28" w:history="1">
        <w:r w:rsidR="00BC4914" w:rsidRPr="00F70EF7">
          <w:rPr>
            <w:rStyle w:val="Kpr"/>
            <w:noProof/>
          </w:rPr>
          <w:t xml:space="preserve">Tablo 4.13 Cinsiyet </w:t>
        </w:r>
        <w:r w:rsidR="001110C5">
          <w:rPr>
            <w:rStyle w:val="Kpr"/>
            <w:noProof/>
          </w:rPr>
          <w:t>v</w:t>
        </w:r>
        <w:r w:rsidR="001110C5" w:rsidRPr="00F70EF7">
          <w:rPr>
            <w:rStyle w:val="Kpr"/>
            <w:noProof/>
          </w:rPr>
          <w:t>e Laboratuvar Değe</w:t>
        </w:r>
        <w:r w:rsidR="001110C5">
          <w:rPr>
            <w:rStyle w:val="Kpr"/>
            <w:noProof/>
          </w:rPr>
          <w:t>rleri Arasındaki İlişki</w:t>
        </w:r>
        <w:r w:rsidR="00BC4914">
          <w:rPr>
            <w:noProof/>
            <w:webHidden/>
          </w:rPr>
          <w:tab/>
        </w:r>
        <w:r w:rsidR="00BC4914">
          <w:rPr>
            <w:noProof/>
            <w:webHidden/>
          </w:rPr>
          <w:fldChar w:fldCharType="begin"/>
        </w:r>
        <w:r w:rsidR="00BC4914">
          <w:rPr>
            <w:noProof/>
            <w:webHidden/>
          </w:rPr>
          <w:instrText xml:space="preserve"> PAGEREF _Toc49818028 \h </w:instrText>
        </w:r>
        <w:r w:rsidR="00BC4914">
          <w:rPr>
            <w:noProof/>
            <w:webHidden/>
          </w:rPr>
        </w:r>
        <w:r w:rsidR="00BC4914">
          <w:rPr>
            <w:noProof/>
            <w:webHidden/>
          </w:rPr>
          <w:fldChar w:fldCharType="separate"/>
        </w:r>
        <w:r w:rsidR="00063441">
          <w:rPr>
            <w:noProof/>
            <w:webHidden/>
          </w:rPr>
          <w:t>47</w:t>
        </w:r>
        <w:r w:rsidR="00BC4914">
          <w:rPr>
            <w:noProof/>
            <w:webHidden/>
          </w:rPr>
          <w:fldChar w:fldCharType="end"/>
        </w:r>
      </w:hyperlink>
    </w:p>
    <w:p w14:paraId="6A927AC4" w14:textId="28F48331"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29" w:history="1">
        <w:r w:rsidR="00BC4914" w:rsidRPr="00F70EF7">
          <w:rPr>
            <w:rStyle w:val="Kpr"/>
            <w:noProof/>
          </w:rPr>
          <w:t xml:space="preserve">Tablo 4.14 ROC </w:t>
        </w:r>
        <w:r w:rsidR="001110C5" w:rsidRPr="00F70EF7">
          <w:rPr>
            <w:rStyle w:val="Kpr"/>
            <w:noProof/>
          </w:rPr>
          <w:t>Curve Analizi</w:t>
        </w:r>
        <w:r w:rsidR="00BC4914">
          <w:rPr>
            <w:noProof/>
            <w:webHidden/>
          </w:rPr>
          <w:tab/>
        </w:r>
        <w:r w:rsidR="00BC4914">
          <w:rPr>
            <w:noProof/>
            <w:webHidden/>
          </w:rPr>
          <w:fldChar w:fldCharType="begin"/>
        </w:r>
        <w:r w:rsidR="00BC4914">
          <w:rPr>
            <w:noProof/>
            <w:webHidden/>
          </w:rPr>
          <w:instrText xml:space="preserve"> PAGEREF _Toc49818029 \h </w:instrText>
        </w:r>
        <w:r w:rsidR="00BC4914">
          <w:rPr>
            <w:noProof/>
            <w:webHidden/>
          </w:rPr>
        </w:r>
        <w:r w:rsidR="00BC4914">
          <w:rPr>
            <w:noProof/>
            <w:webHidden/>
          </w:rPr>
          <w:fldChar w:fldCharType="separate"/>
        </w:r>
        <w:r w:rsidR="00063441">
          <w:rPr>
            <w:noProof/>
            <w:webHidden/>
          </w:rPr>
          <w:t>48</w:t>
        </w:r>
        <w:r w:rsidR="00BC4914">
          <w:rPr>
            <w:noProof/>
            <w:webHidden/>
          </w:rPr>
          <w:fldChar w:fldCharType="end"/>
        </w:r>
      </w:hyperlink>
    </w:p>
    <w:p w14:paraId="107CA7C8" w14:textId="1163186C"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30" w:history="1">
        <w:r w:rsidR="00BC4914" w:rsidRPr="00F70EF7">
          <w:rPr>
            <w:rStyle w:val="Kpr"/>
            <w:noProof/>
          </w:rPr>
          <w:t xml:space="preserve">Tablo 4.15 Biyopsilerde </w:t>
        </w:r>
        <w:r w:rsidR="001110C5" w:rsidRPr="00F70EF7">
          <w:rPr>
            <w:rStyle w:val="Kpr"/>
            <w:noProof/>
          </w:rPr>
          <w:t>Işık Mikroskopisi Altında Görülen Patolojik Bulgular</w:t>
        </w:r>
        <w:r w:rsidR="00BC4914">
          <w:rPr>
            <w:noProof/>
            <w:webHidden/>
          </w:rPr>
          <w:tab/>
        </w:r>
        <w:r w:rsidR="00BC4914">
          <w:rPr>
            <w:noProof/>
            <w:webHidden/>
          </w:rPr>
          <w:fldChar w:fldCharType="begin"/>
        </w:r>
        <w:r w:rsidR="00BC4914">
          <w:rPr>
            <w:noProof/>
            <w:webHidden/>
          </w:rPr>
          <w:instrText xml:space="preserve"> PAGEREF _Toc49818030 \h </w:instrText>
        </w:r>
        <w:r w:rsidR="00BC4914">
          <w:rPr>
            <w:noProof/>
            <w:webHidden/>
          </w:rPr>
        </w:r>
        <w:r w:rsidR="00BC4914">
          <w:rPr>
            <w:noProof/>
            <w:webHidden/>
          </w:rPr>
          <w:fldChar w:fldCharType="separate"/>
        </w:r>
        <w:r w:rsidR="00063441">
          <w:rPr>
            <w:noProof/>
            <w:webHidden/>
          </w:rPr>
          <w:t>49</w:t>
        </w:r>
        <w:r w:rsidR="00BC4914">
          <w:rPr>
            <w:noProof/>
            <w:webHidden/>
          </w:rPr>
          <w:fldChar w:fldCharType="end"/>
        </w:r>
      </w:hyperlink>
    </w:p>
    <w:p w14:paraId="193D551D" w14:textId="251CC73C"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31" w:history="1">
        <w:r w:rsidR="00BC4914" w:rsidRPr="00F70EF7">
          <w:rPr>
            <w:rStyle w:val="Kpr"/>
            <w:noProof/>
          </w:rPr>
          <w:t xml:space="preserve">Tablo 4.16 Kültür </w:t>
        </w:r>
        <w:r w:rsidR="001110C5">
          <w:rPr>
            <w:rStyle w:val="Kpr"/>
            <w:noProof/>
          </w:rPr>
          <w:t>Grubu v</w:t>
        </w:r>
        <w:r w:rsidR="001110C5" w:rsidRPr="00F70EF7">
          <w:rPr>
            <w:rStyle w:val="Kpr"/>
            <w:noProof/>
          </w:rPr>
          <w:t>e Işık Mikroskopisi Bulgularının Karşılaştırılması</w:t>
        </w:r>
        <w:r w:rsidR="00BC4914">
          <w:rPr>
            <w:noProof/>
            <w:webHidden/>
          </w:rPr>
          <w:tab/>
        </w:r>
        <w:r w:rsidR="00BC4914">
          <w:rPr>
            <w:noProof/>
            <w:webHidden/>
          </w:rPr>
          <w:fldChar w:fldCharType="begin"/>
        </w:r>
        <w:r w:rsidR="00BC4914">
          <w:rPr>
            <w:noProof/>
            <w:webHidden/>
          </w:rPr>
          <w:instrText xml:space="preserve"> PAGEREF _Toc49818031 \h </w:instrText>
        </w:r>
        <w:r w:rsidR="00BC4914">
          <w:rPr>
            <w:noProof/>
            <w:webHidden/>
          </w:rPr>
        </w:r>
        <w:r w:rsidR="00BC4914">
          <w:rPr>
            <w:noProof/>
            <w:webHidden/>
          </w:rPr>
          <w:fldChar w:fldCharType="separate"/>
        </w:r>
        <w:r w:rsidR="00063441">
          <w:rPr>
            <w:noProof/>
            <w:webHidden/>
          </w:rPr>
          <w:t>50</w:t>
        </w:r>
        <w:r w:rsidR="00BC4914">
          <w:rPr>
            <w:noProof/>
            <w:webHidden/>
          </w:rPr>
          <w:fldChar w:fldCharType="end"/>
        </w:r>
      </w:hyperlink>
    </w:p>
    <w:p w14:paraId="60F6E883" w14:textId="73A550F4"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32" w:history="1">
        <w:r w:rsidR="00BC4914" w:rsidRPr="00F70EF7">
          <w:rPr>
            <w:rStyle w:val="Kpr"/>
            <w:noProof/>
          </w:rPr>
          <w:t xml:space="preserve">Tablo 4.17 Survival </w:t>
        </w:r>
        <w:r w:rsidR="007235C8">
          <w:rPr>
            <w:rStyle w:val="Kpr"/>
            <w:noProof/>
          </w:rPr>
          <w:t>Grubu-</w:t>
        </w:r>
        <w:r w:rsidR="001110C5" w:rsidRPr="00F70EF7">
          <w:rPr>
            <w:rStyle w:val="Kpr"/>
            <w:noProof/>
          </w:rPr>
          <w:t>Işık Mikroskopisi Bulgularının Karşılaştırılması</w:t>
        </w:r>
        <w:r w:rsidR="00BC4914">
          <w:rPr>
            <w:noProof/>
            <w:webHidden/>
          </w:rPr>
          <w:tab/>
        </w:r>
        <w:r w:rsidR="00BC4914">
          <w:rPr>
            <w:noProof/>
            <w:webHidden/>
          </w:rPr>
          <w:fldChar w:fldCharType="begin"/>
        </w:r>
        <w:r w:rsidR="00BC4914">
          <w:rPr>
            <w:noProof/>
            <w:webHidden/>
          </w:rPr>
          <w:instrText xml:space="preserve"> PAGEREF _Toc49818032 \h </w:instrText>
        </w:r>
        <w:r w:rsidR="00BC4914">
          <w:rPr>
            <w:noProof/>
            <w:webHidden/>
          </w:rPr>
        </w:r>
        <w:r w:rsidR="00BC4914">
          <w:rPr>
            <w:noProof/>
            <w:webHidden/>
          </w:rPr>
          <w:fldChar w:fldCharType="separate"/>
        </w:r>
        <w:r w:rsidR="00063441">
          <w:rPr>
            <w:noProof/>
            <w:webHidden/>
          </w:rPr>
          <w:t>50</w:t>
        </w:r>
        <w:r w:rsidR="00BC4914">
          <w:rPr>
            <w:noProof/>
            <w:webHidden/>
          </w:rPr>
          <w:fldChar w:fldCharType="end"/>
        </w:r>
      </w:hyperlink>
    </w:p>
    <w:p w14:paraId="7B42E585" w14:textId="06792938"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33" w:history="1">
        <w:r w:rsidR="00BC4914" w:rsidRPr="00F70EF7">
          <w:rPr>
            <w:rStyle w:val="Kpr"/>
            <w:noProof/>
          </w:rPr>
          <w:t>Tab</w:t>
        </w:r>
        <w:r w:rsidR="007235C8">
          <w:rPr>
            <w:rStyle w:val="Kpr"/>
            <w:noProof/>
          </w:rPr>
          <w:t>lo 4.18 Cinsiyet Grubu-</w:t>
        </w:r>
        <w:r w:rsidR="007235C8" w:rsidRPr="00F70EF7">
          <w:rPr>
            <w:rStyle w:val="Kpr"/>
            <w:noProof/>
          </w:rPr>
          <w:t>Işık Mikroskopisi Bulgularının Karşılaştırılması</w:t>
        </w:r>
        <w:r w:rsidR="00BC4914">
          <w:rPr>
            <w:noProof/>
            <w:webHidden/>
          </w:rPr>
          <w:tab/>
        </w:r>
        <w:r w:rsidR="00BC4914">
          <w:rPr>
            <w:noProof/>
            <w:webHidden/>
          </w:rPr>
          <w:fldChar w:fldCharType="begin"/>
        </w:r>
        <w:r w:rsidR="00BC4914">
          <w:rPr>
            <w:noProof/>
            <w:webHidden/>
          </w:rPr>
          <w:instrText xml:space="preserve"> PAGEREF _Toc49818033 \h </w:instrText>
        </w:r>
        <w:r w:rsidR="00BC4914">
          <w:rPr>
            <w:noProof/>
            <w:webHidden/>
          </w:rPr>
        </w:r>
        <w:r w:rsidR="00BC4914">
          <w:rPr>
            <w:noProof/>
            <w:webHidden/>
          </w:rPr>
          <w:fldChar w:fldCharType="separate"/>
        </w:r>
        <w:r w:rsidR="00063441">
          <w:rPr>
            <w:noProof/>
            <w:webHidden/>
          </w:rPr>
          <w:t>51</w:t>
        </w:r>
        <w:r w:rsidR="00BC4914">
          <w:rPr>
            <w:noProof/>
            <w:webHidden/>
          </w:rPr>
          <w:fldChar w:fldCharType="end"/>
        </w:r>
      </w:hyperlink>
    </w:p>
    <w:p w14:paraId="239D3839" w14:textId="04EA9CDD" w:rsidR="00BC4914" w:rsidRDefault="00BC4914">
      <w:pPr>
        <w:pStyle w:val="ekillerTablosu"/>
        <w:tabs>
          <w:tab w:val="right" w:leader="dot" w:pos="8493"/>
        </w:tabs>
        <w:rPr>
          <w:rStyle w:val="Kpr"/>
          <w:noProof/>
        </w:rPr>
      </w:pPr>
      <w:r w:rsidRPr="00F70EF7">
        <w:rPr>
          <w:rStyle w:val="Kpr"/>
          <w:noProof/>
        </w:rPr>
        <w:fldChar w:fldCharType="begin"/>
      </w:r>
      <w:r w:rsidRPr="00F70EF7">
        <w:rPr>
          <w:rStyle w:val="Kpr"/>
          <w:noProof/>
        </w:rPr>
        <w:instrText xml:space="preserve"> </w:instrText>
      </w:r>
      <w:r>
        <w:rPr>
          <w:noProof/>
        </w:rPr>
        <w:instrText>HYPERLINK \l "_Toc49818034"</w:instrText>
      </w:r>
      <w:r w:rsidRPr="00F70EF7">
        <w:rPr>
          <w:rStyle w:val="Kpr"/>
          <w:noProof/>
        </w:rPr>
        <w:instrText xml:space="preserve"> </w:instrText>
      </w:r>
      <w:r w:rsidRPr="00F70EF7">
        <w:rPr>
          <w:rStyle w:val="Kpr"/>
          <w:noProof/>
        </w:rPr>
        <w:fldChar w:fldCharType="separate"/>
      </w:r>
      <w:r w:rsidRPr="00F70EF7">
        <w:rPr>
          <w:rStyle w:val="Kpr"/>
          <w:noProof/>
        </w:rPr>
        <w:t>Tablo 4.19</w:t>
      </w:r>
      <w:r w:rsidR="007235C8" w:rsidRPr="00F70EF7">
        <w:rPr>
          <w:rStyle w:val="Kpr"/>
          <w:noProof/>
        </w:rPr>
        <w:t xml:space="preserve"> </w:t>
      </w:r>
      <w:r w:rsidRPr="00F70EF7">
        <w:rPr>
          <w:rStyle w:val="Kpr"/>
          <w:noProof/>
        </w:rPr>
        <w:t xml:space="preserve">Işık </w:t>
      </w:r>
      <w:r w:rsidR="007235C8">
        <w:rPr>
          <w:rStyle w:val="Kpr"/>
          <w:noProof/>
        </w:rPr>
        <w:t>Mikroskopik Bulgular v</w:t>
      </w:r>
      <w:r w:rsidR="007235C8" w:rsidRPr="00F70EF7">
        <w:rPr>
          <w:rStyle w:val="Kpr"/>
          <w:noProof/>
        </w:rPr>
        <w:t>e İnflamatuvar Parametreler Arasındaki</w:t>
      </w:r>
    </w:p>
    <w:p w14:paraId="506C09CA" w14:textId="57FB079E" w:rsidR="00BC4914" w:rsidRDefault="007235C8">
      <w:pPr>
        <w:pStyle w:val="ekillerTablosu"/>
        <w:tabs>
          <w:tab w:val="right" w:leader="dot" w:pos="8493"/>
        </w:tabs>
        <w:rPr>
          <w:rFonts w:asciiTheme="minorHAnsi" w:eastAsiaTheme="minorEastAsia" w:hAnsiTheme="minorHAnsi" w:cstheme="minorBidi"/>
          <w:noProof/>
          <w:sz w:val="22"/>
          <w:lang w:eastAsia="tr-TR"/>
        </w:rPr>
      </w:pPr>
      <w:r w:rsidRPr="00F70EF7">
        <w:rPr>
          <w:rStyle w:val="Kpr"/>
          <w:noProof/>
        </w:rPr>
        <w:t>Korelasyon</w:t>
      </w:r>
      <w:r w:rsidR="00BC4914">
        <w:rPr>
          <w:noProof/>
          <w:webHidden/>
        </w:rPr>
        <w:tab/>
      </w:r>
      <w:r w:rsidR="00BC4914">
        <w:rPr>
          <w:noProof/>
          <w:webHidden/>
        </w:rPr>
        <w:fldChar w:fldCharType="begin"/>
      </w:r>
      <w:r w:rsidR="00BC4914">
        <w:rPr>
          <w:noProof/>
          <w:webHidden/>
        </w:rPr>
        <w:instrText xml:space="preserve"> PAGEREF _Toc49818034 \h </w:instrText>
      </w:r>
      <w:r w:rsidR="00BC4914">
        <w:rPr>
          <w:noProof/>
          <w:webHidden/>
        </w:rPr>
      </w:r>
      <w:r w:rsidR="00BC4914">
        <w:rPr>
          <w:noProof/>
          <w:webHidden/>
        </w:rPr>
        <w:fldChar w:fldCharType="separate"/>
      </w:r>
      <w:r w:rsidR="00063441">
        <w:rPr>
          <w:noProof/>
          <w:webHidden/>
        </w:rPr>
        <w:t>52</w:t>
      </w:r>
      <w:r w:rsidR="00BC4914">
        <w:rPr>
          <w:noProof/>
          <w:webHidden/>
        </w:rPr>
        <w:fldChar w:fldCharType="end"/>
      </w:r>
      <w:r w:rsidR="00BC4914" w:rsidRPr="00F70EF7">
        <w:rPr>
          <w:rStyle w:val="Kpr"/>
          <w:noProof/>
        </w:rPr>
        <w:fldChar w:fldCharType="end"/>
      </w:r>
    </w:p>
    <w:p w14:paraId="5BC06891" w14:textId="6962383E" w:rsidR="00BC4914" w:rsidRDefault="009F02C6">
      <w:pPr>
        <w:pStyle w:val="ekillerTablosu"/>
        <w:tabs>
          <w:tab w:val="right" w:leader="dot" w:pos="8493"/>
        </w:tabs>
        <w:rPr>
          <w:rFonts w:asciiTheme="minorHAnsi" w:eastAsiaTheme="minorEastAsia" w:hAnsiTheme="minorHAnsi" w:cstheme="minorBidi"/>
          <w:noProof/>
          <w:sz w:val="22"/>
          <w:lang w:eastAsia="tr-TR"/>
        </w:rPr>
      </w:pPr>
      <w:hyperlink w:anchor="_Toc49818035" w:history="1">
        <w:r w:rsidR="00BC4914" w:rsidRPr="00F70EF7">
          <w:rPr>
            <w:rStyle w:val="Kpr"/>
            <w:noProof/>
          </w:rPr>
          <w:t xml:space="preserve">Tablo 4.20 Kolestaz </w:t>
        </w:r>
        <w:r w:rsidR="007235C8" w:rsidRPr="00F70EF7">
          <w:rPr>
            <w:rStyle w:val="Kpr"/>
            <w:noProof/>
          </w:rPr>
          <w:t>Varlığına Göre Hayatta Kalma Dağılımlarının Eşitliği</w:t>
        </w:r>
        <w:r w:rsidR="00BC4914">
          <w:rPr>
            <w:noProof/>
            <w:webHidden/>
          </w:rPr>
          <w:tab/>
        </w:r>
        <w:r w:rsidR="00BC4914">
          <w:rPr>
            <w:noProof/>
            <w:webHidden/>
          </w:rPr>
          <w:fldChar w:fldCharType="begin"/>
        </w:r>
        <w:r w:rsidR="00BC4914">
          <w:rPr>
            <w:noProof/>
            <w:webHidden/>
          </w:rPr>
          <w:instrText xml:space="preserve"> PAGEREF _Toc49818035 \h </w:instrText>
        </w:r>
        <w:r w:rsidR="00BC4914">
          <w:rPr>
            <w:noProof/>
            <w:webHidden/>
          </w:rPr>
        </w:r>
        <w:r w:rsidR="00BC4914">
          <w:rPr>
            <w:noProof/>
            <w:webHidden/>
          </w:rPr>
          <w:fldChar w:fldCharType="separate"/>
        </w:r>
        <w:r w:rsidR="00063441">
          <w:rPr>
            <w:noProof/>
            <w:webHidden/>
          </w:rPr>
          <w:t>53</w:t>
        </w:r>
        <w:r w:rsidR="00BC4914">
          <w:rPr>
            <w:noProof/>
            <w:webHidden/>
          </w:rPr>
          <w:fldChar w:fldCharType="end"/>
        </w:r>
      </w:hyperlink>
    </w:p>
    <w:p w14:paraId="31CB24B0" w14:textId="77777777" w:rsidR="007B0CD7" w:rsidRPr="007B0CD7" w:rsidRDefault="009662A3" w:rsidP="009662A3">
      <w:pPr>
        <w:tabs>
          <w:tab w:val="left" w:pos="705"/>
        </w:tabs>
        <w:ind w:firstLine="0"/>
        <w:sectPr w:rsidR="007B0CD7" w:rsidRPr="007B0CD7" w:rsidSect="00DA6263">
          <w:footerReference w:type="default" r:id="rId9"/>
          <w:pgSz w:w="11906" w:h="16838"/>
          <w:pgMar w:top="1418" w:right="1418" w:bottom="1418" w:left="1985" w:header="708" w:footer="708" w:gutter="0"/>
          <w:pgNumType w:fmt="lowerRoman" w:start="3"/>
          <w:cols w:space="708"/>
          <w:titlePg/>
          <w:docGrid w:linePitch="360"/>
        </w:sectPr>
      </w:pPr>
      <w:r>
        <w:fldChar w:fldCharType="end"/>
      </w:r>
    </w:p>
    <w:p w14:paraId="31CB24B1" w14:textId="1EDB8C8C" w:rsidR="00C16CE7" w:rsidRDefault="00AF00FB" w:rsidP="004F194B">
      <w:pPr>
        <w:pStyle w:val="Balk1"/>
        <w:numPr>
          <w:ilvl w:val="0"/>
          <w:numId w:val="13"/>
        </w:numPr>
        <w:jc w:val="left"/>
      </w:pPr>
      <w:bookmarkStart w:id="14" w:name="_Toc45265875"/>
      <w:bookmarkStart w:id="15" w:name="_Toc55727771"/>
      <w:r w:rsidRPr="003656DA">
        <w:lastRenderedPageBreak/>
        <w:t>GİRİŞ</w:t>
      </w:r>
      <w:bookmarkEnd w:id="0"/>
      <w:bookmarkEnd w:id="14"/>
      <w:r w:rsidR="00A26F1B">
        <w:t xml:space="preserve"> VE AMAÇ</w:t>
      </w:r>
      <w:bookmarkEnd w:id="15"/>
    </w:p>
    <w:p w14:paraId="12C7516B" w14:textId="6A87673A" w:rsidR="00922F87" w:rsidRDefault="00922F87" w:rsidP="00922F87">
      <w:r w:rsidRPr="00C51DF3">
        <w:t xml:space="preserve">Sepsis; enfeksiyon, travma ya da bir toksin tarafından tetiklenen, </w:t>
      </w:r>
      <w:r>
        <w:t>düzensiz</w:t>
      </w:r>
      <w:r w:rsidRPr="00C51DF3">
        <w:br/>
        <w:t xml:space="preserve">sistemik </w:t>
      </w:r>
      <w:r w:rsidR="002D45E6" w:rsidRPr="00C51DF3">
        <w:t>inflamatuar</w:t>
      </w:r>
      <w:r w:rsidRPr="00C51DF3">
        <w:t xml:space="preserve"> yanıttır</w:t>
      </w:r>
      <w:r>
        <w:t xml:space="preserve"> </w:t>
      </w:r>
      <w:r>
        <w:fldChar w:fldCharType="begin" w:fldLock="1"/>
      </w:r>
      <w:r w:rsidR="0014051D">
        <w:instrText>ADDIN CSL_CITATION {"citationItems":[{"id":"ITEM-1","itemData":{"id":"ITEM-1","issued":{"date-parts":[["0"]]},"title":"Yan J, Li S, Li S. The role of the liver in sepsis. International reviews of immunology. 2014;33(6):498-510","type":"article-journal"},"uris":["http://www.mendeley.com/documents/?uuid=95106561-8b61-4e5d-8650-fd4749e0c24a"]}],"mendeley":{"formattedCitation":"(1)","plainTextFormattedCitation":"(1)","previouslyFormattedCitation":"(1)"},"properties":{"noteIndex":0},"schema":"https://github.com/citation-style-language/schema/raw/master/csl-citation.json"}</w:instrText>
      </w:r>
      <w:r>
        <w:fldChar w:fldCharType="separate"/>
      </w:r>
      <w:r w:rsidR="000A309D" w:rsidRPr="000A309D">
        <w:rPr>
          <w:noProof/>
        </w:rPr>
        <w:t>(1)</w:t>
      </w:r>
      <w:r>
        <w:fldChar w:fldCharType="end"/>
      </w:r>
      <w:r w:rsidRPr="00C51DF3">
        <w:t>.</w:t>
      </w:r>
      <w:r>
        <w:t xml:space="preserve"> Bu yanıt hastalarda;</w:t>
      </w:r>
      <w:r w:rsidRPr="00C51DF3">
        <w:t xml:space="preserve"> </w:t>
      </w:r>
      <w:r>
        <w:t>i</w:t>
      </w:r>
      <w:r w:rsidRPr="00C51DF3">
        <w:t>nflamasyondan sepsise, ciddi</w:t>
      </w:r>
      <w:r w:rsidRPr="00C51DF3">
        <w:br/>
        <w:t xml:space="preserve">sepsise, septik şoka ve </w:t>
      </w:r>
      <w:r>
        <w:t xml:space="preserve">multiple organ yetmezliğine (MOY) kadar ilerleyebilir </w:t>
      </w:r>
      <w:r>
        <w:fldChar w:fldCharType="begin" w:fldLock="1"/>
      </w:r>
      <w:r w:rsidR="0014051D">
        <w:instrText>ADDIN CSL_CITATION {"citationItems":[{"id":"ITEM-1","itemData":{"id":"ITEM-1","issued":{"date-parts":[["0"]]},"title":"Ferrario, M. Et al. Mortality prediction in patients with severe septic shock: a pilot study using a target metabolomics approach. Sci. Rep. 6, 20391; 2016","type":"article-journal"},"uris":["http://www.mendeley.com/documents/?uuid=418fec11-82c2-491a-9715-b95844d6bc95"]}],"mendeley":{"formattedCitation":"(2)","plainTextFormattedCitation":"(2)","previouslyFormattedCitation":"(2)"},"properties":{"noteIndex":0},"schema":"https://github.com/citation-style-language/schema/raw/master/csl-citation.json"}</w:instrText>
      </w:r>
      <w:r>
        <w:fldChar w:fldCharType="separate"/>
      </w:r>
      <w:r w:rsidR="000A309D" w:rsidRPr="000A309D">
        <w:rPr>
          <w:noProof/>
        </w:rPr>
        <w:t>(2)</w:t>
      </w:r>
      <w:r>
        <w:fldChar w:fldCharType="end"/>
      </w:r>
      <w:r w:rsidRPr="00C51DF3">
        <w:t>.</w:t>
      </w:r>
      <w:r>
        <w:t xml:space="preserve"> </w:t>
      </w:r>
      <w:r w:rsidRPr="00C51DF3">
        <w:t xml:space="preserve">Sistemik </w:t>
      </w:r>
      <w:r w:rsidR="002D45E6" w:rsidRPr="00C51DF3">
        <w:t>inflamatuar</w:t>
      </w:r>
      <w:r w:rsidRPr="00C51DF3">
        <w:t xml:space="preserve"> yanıt sendromu (SIRS) ise her zaman enfeksiyöz bir nedenle gelişmediği için, sepsis ve septik şoktan ayrı olarak tanımlanmaya başlanmıştır </w:t>
      </w:r>
      <w:r>
        <w:fldChar w:fldCharType="begin" w:fldLock="1"/>
      </w:r>
      <w:r w:rsidR="0085653B">
        <w:instrText>ADDIN CSL_CITATION {"citationItems":[{"id":"ITEM-1","itemData":{"id":"ITEM-1","issued":{"date-parts":[["0"]]},"title":"Khwannimit B, Bhurayanontachai R. The epidemiology of, and risk factors for, mortaliy from severe sepsis and septic shock in a tertiary-care university hospital setting. Epidemiology and Infection 2009;137:1333-41","type":"article-journal"},"uris":["http://www.mendeley.com/documents/?uuid=a25d5b5c-ef3d-405f-a0fa-fbe7047ced4a"]},{"id":"ITEM-2","itemData":{"id":"ITEM-2","issued":{"date-parts":[["0"]]},"title":"Aristotelis Perrakis, Volker Müller, Werner Hohenberger and Roland S. Croner (2012). The Role of Procalcitonin in the Early Diagnosis of Septic and NonSeptic Complications in the Immediate Postoperative Setting After Orthotopic Liver Transplantation, Seps","type":"article-journal"},"uris":["http://www.mendeley.com/documents/?uuid=a6f5519b-4043-4596-9eb7-e47bb3c9a26c"]}],"mendeley":{"formattedCitation":"(3,4)","manualFormatting":"(3)","plainTextFormattedCitation":"(3,4)","previouslyFormattedCitation":"(3,4)"},"properties":{"noteIndex":0},"schema":"https://github.com/citation-style-language/schema/raw/master/csl-citation.json"}</w:instrText>
      </w:r>
      <w:r>
        <w:fldChar w:fldCharType="separate"/>
      </w:r>
      <w:r w:rsidR="000A309D" w:rsidRPr="000A309D">
        <w:rPr>
          <w:noProof/>
        </w:rPr>
        <w:t>(3)</w:t>
      </w:r>
      <w:r>
        <w:fldChar w:fldCharType="end"/>
      </w:r>
      <w:r w:rsidRPr="00C51DF3">
        <w:t>.</w:t>
      </w:r>
      <w:r w:rsidR="000A309D">
        <w:t xml:space="preserve"> </w:t>
      </w:r>
      <w:r w:rsidRPr="00C51DF3">
        <w:t>Gelişmiş antibiyoterapi ve yoğun bakım olanaklarına rağmen sepsis, yoğun bakım</w:t>
      </w:r>
      <w:r>
        <w:t xml:space="preserve"> </w:t>
      </w:r>
      <w:r w:rsidRPr="00C51DF3">
        <w:t>hastalarının ölüm nedenleri arasında ön sıralardaki yerini korumaktadır</w:t>
      </w:r>
      <w:r w:rsidR="0085653B">
        <w:t xml:space="preserve"> </w:t>
      </w:r>
      <w:r w:rsidR="0085653B">
        <w:fldChar w:fldCharType="begin" w:fldLock="1"/>
      </w:r>
      <w:r w:rsidR="0085653B">
        <w:instrText>ADDIN CSL_CITATION {"citationItems":[{"id":"ITEM-1","itemData":{"id":"ITEM-1","issued":{"date-parts":[["0"]]},"title":"Aristotelis Perrakis, Volker Müller, Werner Hohenberger and Roland S. Croner (2012). The Role of Procalcitonin in the Early Diagnosis of Septic and NonSeptic Complications in the Immediate Postoperative Setting After Orthotopic Liver Transplantation, Seps","type":"article-journal"},"uris":["http://www.mendeley.com/documents/?uuid=a6f5519b-4043-4596-9eb7-e47bb3c9a26c"]}],"mendeley":{"formattedCitation":"(4)","plainTextFormattedCitation":"(4)","previouslyFormattedCitation":"(4)"},"properties":{"noteIndex":0},"schema":"https://github.com/citation-style-language/schema/raw/master/csl-citation.json"}</w:instrText>
      </w:r>
      <w:r w:rsidR="0085653B">
        <w:fldChar w:fldCharType="separate"/>
      </w:r>
      <w:r w:rsidR="0085653B" w:rsidRPr="0085653B">
        <w:rPr>
          <w:noProof/>
        </w:rPr>
        <w:t>(4)</w:t>
      </w:r>
      <w:r w:rsidR="0085653B">
        <w:fldChar w:fldCharType="end"/>
      </w:r>
      <w:r w:rsidRPr="00C51DF3">
        <w:t>.</w:t>
      </w:r>
    </w:p>
    <w:p w14:paraId="31CB24B4" w14:textId="37FE2B56" w:rsidR="000315BD" w:rsidRDefault="00BC3DD1" w:rsidP="000315BD">
      <w:r w:rsidRPr="008A5571">
        <w:t>Karaciğer naklindeki cerrahi tekniklerin</w:t>
      </w:r>
      <w:r w:rsidR="00606924" w:rsidRPr="008A5571">
        <w:t xml:space="preserve">, özellikle yoğun bakım şartlarındaki </w:t>
      </w:r>
      <w:r w:rsidRPr="008A5571">
        <w:t>ve immünsüpresif tedavilerdeki gelişmelerle birlikte</w:t>
      </w:r>
      <w:r w:rsidR="00606924" w:rsidRPr="008A5571">
        <w:t xml:space="preserve"> karaciğer transplantasyonu sonrası erken mortalite büyük or</w:t>
      </w:r>
      <w:r w:rsidR="00721651" w:rsidRPr="008A5571">
        <w:t>a</w:t>
      </w:r>
      <w:r w:rsidR="00606924" w:rsidRPr="008A5571">
        <w:t xml:space="preserve">nda engellenmiştir. </w:t>
      </w:r>
      <w:r w:rsidRPr="00C51DF3">
        <w:t xml:space="preserve"> </w:t>
      </w:r>
      <w:r w:rsidR="00606924">
        <w:t>K</w:t>
      </w:r>
      <w:r w:rsidRPr="00C51DF3">
        <w:t>araciğer nakil alıcısının kötü prognozunda etkili olan birçok önlenebi</w:t>
      </w:r>
      <w:r w:rsidR="000532CD">
        <w:t>lir durumdan biri olan enfeksiyö</w:t>
      </w:r>
      <w:r w:rsidRPr="00C51DF3">
        <w:t>z komplikasyonların erken tanı ve tedavisi yaşam kalitesini ve yaşam süresin</w:t>
      </w:r>
      <w:r>
        <w:t>i arttırmak için gerekmektedir</w:t>
      </w:r>
      <w:r w:rsidRPr="00C51DF3">
        <w:t xml:space="preserve"> </w:t>
      </w:r>
      <w:r w:rsidR="00DB034C">
        <w:fldChar w:fldCharType="begin" w:fldLock="1"/>
      </w:r>
      <w:r w:rsidR="0085653B">
        <w:instrText>ADDIN CSL_CITATION {"citationItems":[{"id":"ITEM-1","itemData":{"id":"ITEM-1","issued":{"date-parts":[["0"]]},"title":"Kusne S, Dummer JS, Singh N, et al. Infections after liver transplantation. An analysis of 101 consecutive cases. Medicine 1988; 67: 132-43","type":"article-journal"},"uris":["http://www.mendeley.com/documents/?uuid=de7a8e43-1e3e-48b7-b264-de0a7b6406e9"]}],"mendeley":{"formattedCitation":"(5)","plainTextFormattedCitation":"(5)","previouslyFormattedCitation":"(5)"},"properties":{"noteIndex":0},"schema":"https://github.com/citation-style-language/schema/raw/master/csl-citation.json"}</w:instrText>
      </w:r>
      <w:r w:rsidR="00DB034C">
        <w:fldChar w:fldCharType="separate"/>
      </w:r>
      <w:r w:rsidR="0085653B" w:rsidRPr="0085653B">
        <w:rPr>
          <w:noProof/>
        </w:rPr>
        <w:t>(5)</w:t>
      </w:r>
      <w:r w:rsidR="00DB034C">
        <w:fldChar w:fldCharType="end"/>
      </w:r>
      <w:r w:rsidR="00DB034C" w:rsidRPr="00C51DF3">
        <w:t xml:space="preserve">. </w:t>
      </w:r>
    </w:p>
    <w:p w14:paraId="31CB24B8" w14:textId="3C2DE8B8" w:rsidR="000315BD" w:rsidRPr="00C51DF3" w:rsidRDefault="000315BD" w:rsidP="000315BD">
      <w:r w:rsidRPr="00C51DF3">
        <w:t>Karaciğer nakli sonrası erken ve geç dönem mortalite</w:t>
      </w:r>
      <w:r w:rsidRPr="00C51DF3">
        <w:br/>
        <w:t xml:space="preserve">nedenleri arasında sepsis ve sepsisle ilişkili </w:t>
      </w:r>
      <w:r w:rsidR="00E06867">
        <w:t>MOY</w:t>
      </w:r>
      <w:r w:rsidRPr="00C51DF3">
        <w:t xml:space="preserve"> önemini korumaktadır. Karaciğer</w:t>
      </w:r>
      <w:r w:rsidRPr="00C51DF3">
        <w:br/>
        <w:t>nakli alıcılarında bir enfeksiyon odağı olmasa da, nakil sırasındaki reperfüzyon,</w:t>
      </w:r>
      <w:r w:rsidRPr="00C51DF3">
        <w:br/>
      </w:r>
      <w:r w:rsidR="000532CD" w:rsidRPr="00C51DF3">
        <w:t>immünsüpresif</w:t>
      </w:r>
      <w:r w:rsidRPr="00C51DF3">
        <w:t xml:space="preserve"> tedavi indüksiyonu gibi nedenlerle SIRS sık gözlenebilmekte ve klinik</w:t>
      </w:r>
      <w:r w:rsidRPr="00C51DF3">
        <w:br/>
        <w:t>takipte nakil alıcısı olmayan hastalara kıyasla daha mortal seyretmektedir</w:t>
      </w:r>
      <w:r w:rsidR="0085653B">
        <w:t xml:space="preserve"> </w:t>
      </w:r>
      <w:r w:rsidR="0085653B">
        <w:fldChar w:fldCharType="begin" w:fldLock="1"/>
      </w:r>
      <w:r w:rsidR="0085653B">
        <w:instrText>ADDIN CSL_CITATION {"citationItems":[{"id":"ITEM-1","itemData":{"id":"ITEM-1","issued":{"date-parts":[["0"]]},"title":"Pan H-C, Jenq C-C, Lee W-C, Tsai M-H, Fan P-C, Chang C-H, et al. (2014) Scoring Systems for Predicting Mortality after Liver Transplantation. PloS ONE 9(9): e107138. Doi:10.1371/journal.pone.0107138","type":"article-journal"},"uris":["http://www.mendeley.com/documents/?uuid=5ce0192d-1ed7-4d7c-afa4-810a42f7b656"]},{"id":"ITEM-2","itemData":{"id":"ITEM-2","issued":{"date-parts":[["0"]]},"title":"Huang SW1, Guan XD, He XS, Chen J, Ouyang B. The scoring system for patients with severe sepsis after orthotopic liver transplantation. Hepatobiliary Pancreat Dis Int. 2006 Aug;5(3):364-7","type":"article-journal"},"uris":["http://www.mendeley.com/documents/?uuid=868a47cd-adac-490b-afb9-1740abed6ec0"]}],"mendeley":{"formattedCitation":"(6,7)","plainTextFormattedCitation":"(6,7)","previouslyFormattedCitation":"(6,7)"},"properties":{"noteIndex":0},"schema":"https://github.com/citation-style-language/schema/raw/master/csl-citation.json"}</w:instrText>
      </w:r>
      <w:r w:rsidR="0085653B">
        <w:fldChar w:fldCharType="separate"/>
      </w:r>
      <w:r w:rsidR="0085653B" w:rsidRPr="0085653B">
        <w:rPr>
          <w:noProof/>
        </w:rPr>
        <w:t>(6,7)</w:t>
      </w:r>
      <w:r w:rsidR="0085653B">
        <w:fldChar w:fldCharType="end"/>
      </w:r>
      <w:r w:rsidR="0085653B">
        <w:t>.</w:t>
      </w:r>
    </w:p>
    <w:p w14:paraId="717F3969" w14:textId="263FB13F" w:rsidR="00332BDE" w:rsidRDefault="006104FA" w:rsidP="009B361C">
      <w:r w:rsidRPr="00A40FB5">
        <w:t>Bu çalışma</w:t>
      </w:r>
      <w:r w:rsidR="00F13527">
        <w:t>ya</w:t>
      </w:r>
      <w:r w:rsidRPr="00A40FB5">
        <w:t xml:space="preserve"> prospektif olarak Mart 2019 ve Nisan 2020 yılları arasında </w:t>
      </w:r>
      <w:r w:rsidR="00F13527">
        <w:t xml:space="preserve">merkezimizde </w:t>
      </w:r>
      <w:r w:rsidR="00332BDE" w:rsidRPr="00A40FB5">
        <w:t>ardışık</w:t>
      </w:r>
      <w:r w:rsidR="00F13527">
        <w:t xml:space="preserve"> olarak</w:t>
      </w:r>
      <w:r w:rsidR="00332BDE" w:rsidRPr="00A40FB5">
        <w:t xml:space="preserve"> abdominal sepsis nedeniyle reopere edilen 24 hasta alınmıştır. </w:t>
      </w:r>
      <w:r w:rsidR="00F13527">
        <w:t>H</w:t>
      </w:r>
      <w:r w:rsidR="009B361C" w:rsidRPr="00A40FB5">
        <w:t xml:space="preserve">astaların </w:t>
      </w:r>
      <w:r w:rsidR="00332BDE" w:rsidRPr="00A40FB5">
        <w:t>yaş, cinsiyet, tanı, yatış süreleri, SOFA skorları, nakil endikasyonları, re</w:t>
      </w:r>
      <w:r w:rsidR="008A1F60">
        <w:t>laparot</w:t>
      </w:r>
      <w:r w:rsidR="00332BDE" w:rsidRPr="00A40FB5">
        <w:t xml:space="preserve">omi yapılmasına sebep olan sepsis etiyolojileri gibi tanımlayıcı verileri kaydedildi. Hastalardan alınan kan, batın içi sıvı, idrar ve solunum yolu örnekleri, laboratuvar değerleri kayıt altına alındı. Relaparotomi sonrasında transplante karaciğerden alınan biyopsi örnekleri </w:t>
      </w:r>
      <w:r w:rsidR="00F13527">
        <w:t>“gluteraldehit</w:t>
      </w:r>
      <w:r w:rsidR="00332BDE" w:rsidRPr="00A40FB5">
        <w:t xml:space="preserve"> solüsyon</w:t>
      </w:r>
      <w:r w:rsidR="00F13527">
        <w:t xml:space="preserve">u” içinde </w:t>
      </w:r>
      <w:r w:rsidR="00332BDE" w:rsidRPr="00A40FB5">
        <w:t>histoloji ve</w:t>
      </w:r>
      <w:r w:rsidR="00F13527">
        <w:t xml:space="preserve"> “formaldehit</w:t>
      </w:r>
      <w:r w:rsidR="00F13527" w:rsidRPr="00A40FB5">
        <w:t xml:space="preserve"> solüsyon</w:t>
      </w:r>
      <w:r w:rsidR="00F13527">
        <w:t>u” içinde</w:t>
      </w:r>
      <w:r w:rsidR="00332BDE" w:rsidRPr="00A40FB5">
        <w:t xml:space="preserve"> patoloji laboratuvarlarına gönderildi. Ayrıca, </w:t>
      </w:r>
      <w:r w:rsidR="002D45E6" w:rsidRPr="00A40FB5">
        <w:t>inflamatuar</w:t>
      </w:r>
      <w:r w:rsidR="00332BDE" w:rsidRPr="00A40FB5">
        <w:t xml:space="preserve"> sitokinlerin düzeyleri ölçülmek</w:t>
      </w:r>
      <w:r w:rsidR="00F13527">
        <w:t xml:space="preserve"> </w:t>
      </w:r>
      <w:r w:rsidR="00F13527" w:rsidRPr="00A40FB5">
        <w:t>üzere kan örnekleri</w:t>
      </w:r>
      <w:r w:rsidR="00332BDE" w:rsidRPr="00A40FB5">
        <w:t xml:space="preserve"> depolandı. Çalışma sonunda </w:t>
      </w:r>
      <w:r w:rsidR="00C52126">
        <w:t>depolanan</w:t>
      </w:r>
      <w:r w:rsidR="00332BDE" w:rsidRPr="00A40FB5">
        <w:t xml:space="preserve"> serum örneklerinden </w:t>
      </w:r>
      <w:r w:rsidR="00C52126">
        <w:t>IL-</w:t>
      </w:r>
      <w:r w:rsidR="00332BDE" w:rsidRPr="00A40FB5">
        <w:t xml:space="preserve">4, </w:t>
      </w:r>
      <w:r w:rsidR="00C52126">
        <w:t>IL-</w:t>
      </w:r>
      <w:r w:rsidR="00332BDE" w:rsidRPr="00A40FB5">
        <w:t xml:space="preserve">6, </w:t>
      </w:r>
      <w:r w:rsidR="00C52126">
        <w:t>IL-</w:t>
      </w:r>
      <w:r w:rsidR="00332BDE" w:rsidRPr="00A40FB5">
        <w:t xml:space="preserve">10, </w:t>
      </w:r>
      <w:r w:rsidR="00C52126">
        <w:t>IL-</w:t>
      </w:r>
      <w:r w:rsidR="00332BDE" w:rsidRPr="00A40FB5">
        <w:t>17, TREM1, sHLA-G, TNF-α, TGF-β, IFN</w:t>
      </w:r>
      <w:r w:rsidR="00332BDE" w:rsidRPr="00A40FB5">
        <w:rPr>
          <w:rFonts w:ascii="Arial" w:hAnsi="Arial" w:cs="Arial"/>
          <w:color w:val="333333"/>
          <w:shd w:val="clear" w:color="auto" w:fill="FFFFFF"/>
        </w:rPr>
        <w:t>-</w:t>
      </w:r>
      <w:r w:rsidR="00332BDE" w:rsidRPr="00A40FB5">
        <w:t>γ değerleri çalışıldı.</w:t>
      </w:r>
      <w:r w:rsidR="00332BDE">
        <w:t xml:space="preserve"> </w:t>
      </w:r>
    </w:p>
    <w:p w14:paraId="31CB24B9" w14:textId="1C8EF3E7" w:rsidR="000315BD" w:rsidRPr="00922F87" w:rsidRDefault="000315BD" w:rsidP="006104FA"/>
    <w:p w14:paraId="31CB24BA" w14:textId="77777777" w:rsidR="00C50692" w:rsidRDefault="00C50692" w:rsidP="00DB034C">
      <w:pPr>
        <w:rPr>
          <w:color w:val="FF0000"/>
        </w:rPr>
        <w:sectPr w:rsidR="00C50692" w:rsidSect="00DA6263">
          <w:pgSz w:w="11906" w:h="16838"/>
          <w:pgMar w:top="1418" w:right="1418" w:bottom="1418" w:left="1985" w:header="709" w:footer="709" w:gutter="0"/>
          <w:pgNumType w:start="1"/>
          <w:cols w:space="708"/>
          <w:docGrid w:linePitch="360"/>
        </w:sectPr>
      </w:pPr>
    </w:p>
    <w:p w14:paraId="31CB24BB" w14:textId="77777777" w:rsidR="00AE01EB" w:rsidRDefault="00AF00FB" w:rsidP="004F194B">
      <w:pPr>
        <w:pStyle w:val="Balk1"/>
        <w:numPr>
          <w:ilvl w:val="0"/>
          <w:numId w:val="13"/>
        </w:numPr>
        <w:jc w:val="left"/>
      </w:pPr>
      <w:bookmarkStart w:id="16" w:name="_Toc38715715"/>
      <w:bookmarkStart w:id="17" w:name="_Toc45265876"/>
      <w:bookmarkStart w:id="18" w:name="_Toc55727772"/>
      <w:r w:rsidRPr="003656DA">
        <w:lastRenderedPageBreak/>
        <w:t>GENEL BİLGİLER</w:t>
      </w:r>
      <w:bookmarkEnd w:id="16"/>
      <w:bookmarkEnd w:id="17"/>
      <w:bookmarkEnd w:id="18"/>
    </w:p>
    <w:p w14:paraId="31CB24BC" w14:textId="77777777" w:rsidR="00015F83" w:rsidRPr="00015F83" w:rsidRDefault="00015F83" w:rsidP="00015F83"/>
    <w:p w14:paraId="31CB24BD" w14:textId="77777777" w:rsidR="00015F83" w:rsidRDefault="00A854EE" w:rsidP="00C50692">
      <w:pPr>
        <w:pStyle w:val="Balk2"/>
        <w:numPr>
          <w:ilvl w:val="0"/>
          <w:numId w:val="12"/>
        </w:numPr>
      </w:pPr>
      <w:bookmarkStart w:id="19" w:name="_Toc45265877"/>
      <w:bookmarkStart w:id="20" w:name="_Toc55727773"/>
      <w:r w:rsidRPr="00015F83">
        <w:t xml:space="preserve">Karaciğerin </w:t>
      </w:r>
      <w:r w:rsidR="00015F83" w:rsidRPr="00015F83">
        <w:t>Temel Görevleri ve Fonksiyon Testleri</w:t>
      </w:r>
      <w:bookmarkEnd w:id="19"/>
      <w:bookmarkEnd w:id="20"/>
      <w:r w:rsidR="00015F83" w:rsidRPr="00015F83">
        <w:t xml:space="preserve"> </w:t>
      </w:r>
    </w:p>
    <w:p w14:paraId="31CB24BE" w14:textId="71DF2371" w:rsidR="009F0B8F" w:rsidRPr="005E166A" w:rsidRDefault="009F0B8F" w:rsidP="005E166A">
      <w:pPr>
        <w:rPr>
          <w:shd w:val="clear" w:color="auto" w:fill="FFFFFF"/>
        </w:rPr>
      </w:pPr>
      <w:r w:rsidRPr="00721651">
        <w:t xml:space="preserve">Karaciğer </w:t>
      </w:r>
      <w:r w:rsidR="005E166A" w:rsidRPr="00721651">
        <w:t xml:space="preserve">(KC) </w:t>
      </w:r>
      <w:r w:rsidRPr="00721651">
        <w:t>in</w:t>
      </w:r>
      <w:r w:rsidR="005E166A" w:rsidRPr="00721651">
        <w:t xml:space="preserve">san vücudundaki en büyük </w:t>
      </w:r>
      <w:r w:rsidR="00C8550E" w:rsidRPr="00721651">
        <w:t>organdır</w:t>
      </w:r>
      <w:r w:rsidR="005E166A" w:rsidRPr="00721651">
        <w:t>.</w:t>
      </w:r>
      <w:r w:rsidR="00BF289C">
        <w:t xml:space="preserve"> Y</w:t>
      </w:r>
      <w:r w:rsidR="00A609A6" w:rsidRPr="00A609A6">
        <w:rPr>
          <w:rFonts w:ascii="ArialMT" w:hAnsi="ArialMT"/>
          <w:color w:val="000000"/>
          <w:szCs w:val="24"/>
        </w:rPr>
        <w:t>etişkinde vücut ağırlığının %2’si</w:t>
      </w:r>
      <w:r w:rsidR="00BF289C">
        <w:rPr>
          <w:rFonts w:ascii="ArialMT" w:hAnsi="ArialMT"/>
          <w:color w:val="000000"/>
          <w:szCs w:val="24"/>
        </w:rPr>
        <w:t>ni</w:t>
      </w:r>
      <w:r w:rsidR="00A609A6" w:rsidRPr="00A609A6">
        <w:rPr>
          <w:rFonts w:ascii="ArialMT" w:hAnsi="ArialMT"/>
          <w:color w:val="000000"/>
          <w:szCs w:val="24"/>
        </w:rPr>
        <w:t xml:space="preserve"> (yaklaşık olarak 1500-1700</w:t>
      </w:r>
      <w:r w:rsidR="00A609A6">
        <w:rPr>
          <w:rFonts w:ascii="ArialMT" w:hAnsi="ArialMT"/>
          <w:color w:val="000000"/>
          <w:szCs w:val="24"/>
        </w:rPr>
        <w:t xml:space="preserve"> </w:t>
      </w:r>
      <w:r w:rsidR="00A609A6" w:rsidRPr="00A609A6">
        <w:rPr>
          <w:rFonts w:ascii="ArialMT" w:hAnsi="ArialMT"/>
          <w:color w:val="000000"/>
          <w:szCs w:val="24"/>
        </w:rPr>
        <w:t>g</w:t>
      </w:r>
      <w:r w:rsidR="00D14B60">
        <w:rPr>
          <w:rFonts w:ascii="ArialMT" w:hAnsi="ArialMT"/>
          <w:color w:val="000000"/>
          <w:szCs w:val="24"/>
        </w:rPr>
        <w:t>r</w:t>
      </w:r>
      <w:r w:rsidR="00A609A6" w:rsidRPr="00A609A6">
        <w:rPr>
          <w:rFonts w:ascii="ArialMT" w:hAnsi="ArialMT"/>
          <w:color w:val="000000"/>
          <w:szCs w:val="24"/>
        </w:rPr>
        <w:t>’dır), yenidoğanda ise vüc</w:t>
      </w:r>
      <w:r w:rsidR="00837053">
        <w:rPr>
          <w:rFonts w:ascii="ArialMT" w:hAnsi="ArialMT"/>
          <w:color w:val="000000"/>
          <w:szCs w:val="24"/>
        </w:rPr>
        <w:t>ut ağırlığının %5’ini oluştur</w:t>
      </w:r>
      <w:r w:rsidR="00D14B60">
        <w:rPr>
          <w:rFonts w:ascii="ArialMT" w:hAnsi="ArialMT"/>
          <w:color w:val="000000"/>
          <w:szCs w:val="24"/>
        </w:rPr>
        <w:t>maktadır</w:t>
      </w:r>
      <w:r w:rsidR="00837053">
        <w:rPr>
          <w:rFonts w:ascii="ArialMT" w:hAnsi="ArialMT"/>
          <w:color w:val="000000"/>
          <w:szCs w:val="24"/>
        </w:rPr>
        <w:t>.</w:t>
      </w:r>
      <w:r w:rsidR="00A609A6" w:rsidRPr="00A609A6">
        <w:rPr>
          <w:color w:val="FF0000"/>
        </w:rPr>
        <w:t xml:space="preserve"> </w:t>
      </w:r>
      <w:r w:rsidR="00BF289C" w:rsidRPr="00A40FB5">
        <w:rPr>
          <w:shd w:val="clear" w:color="auto" w:fill="FFFFFF"/>
        </w:rPr>
        <w:t>Karaciğer; m</w:t>
      </w:r>
      <w:r w:rsidR="005E166A" w:rsidRPr="00A40FB5">
        <w:rPr>
          <w:shd w:val="clear" w:color="auto" w:fill="FFFFFF"/>
        </w:rPr>
        <w:t>etabolik,</w:t>
      </w:r>
      <w:r w:rsidRPr="00A40FB5">
        <w:rPr>
          <w:shd w:val="clear" w:color="auto" w:fill="FFFFFF"/>
        </w:rPr>
        <w:t xml:space="preserve"> immünolojik </w:t>
      </w:r>
      <w:r w:rsidR="005E166A" w:rsidRPr="00A40FB5">
        <w:rPr>
          <w:shd w:val="clear" w:color="auto" w:fill="FFFFFF"/>
        </w:rPr>
        <w:t>görevlerinin yanı sıra</w:t>
      </w:r>
      <w:r w:rsidR="00BF289C" w:rsidRPr="00A40FB5">
        <w:rPr>
          <w:shd w:val="clear" w:color="auto" w:fill="FFFFFF"/>
        </w:rPr>
        <w:t xml:space="preserve"> </w:t>
      </w:r>
      <w:r w:rsidRPr="00A40FB5">
        <w:rPr>
          <w:shd w:val="clear" w:color="auto" w:fill="FFFFFF"/>
        </w:rPr>
        <w:t>detoksifikasyon, depolama, enerji üretimi, besin dönüşümü, hormonal denge ve pıhtılaşma</w:t>
      </w:r>
      <w:r w:rsidR="00BF289C" w:rsidRPr="00A40FB5">
        <w:rPr>
          <w:shd w:val="clear" w:color="auto" w:fill="FFFFFF"/>
        </w:rPr>
        <w:t xml:space="preserve"> faktörlerinin üretimi</w:t>
      </w:r>
      <w:r w:rsidRPr="00A40FB5">
        <w:rPr>
          <w:shd w:val="clear" w:color="auto" w:fill="FFFFFF"/>
        </w:rPr>
        <w:t xml:space="preserve"> gibi 200'den fazla fonksiyondan sorumludur.</w:t>
      </w:r>
      <w:r w:rsidRPr="005E166A">
        <w:rPr>
          <w:shd w:val="clear" w:color="auto" w:fill="FFFFFF"/>
        </w:rPr>
        <w:t> Bu önemli fizyolojik fonksiyonlar, karaciğeri sepsis gibi ciddi yaralanmaları takiben konakçının hayatta kalması için kritik bir organ haline getirir</w:t>
      </w:r>
      <w:r w:rsidR="00A40FB5">
        <w:rPr>
          <w:shd w:val="clear" w:color="auto" w:fill="FFFFFF"/>
        </w:rPr>
        <w:t xml:space="preserve"> </w:t>
      </w:r>
      <w:r w:rsidR="00A40FB5">
        <w:rPr>
          <w:shd w:val="clear" w:color="auto" w:fill="FFFFFF"/>
        </w:rPr>
        <w:fldChar w:fldCharType="begin" w:fldLock="1"/>
      </w:r>
      <w:r w:rsidR="0085653B">
        <w:rPr>
          <w:shd w:val="clear" w:color="auto" w:fill="FFFFFF"/>
        </w:rPr>
        <w:instrText>ADDIN CSL_CITATION {"citationItems":[{"id":"ITEM-1","itemData":{"DOI":"10.1038/nrgastro.2016.168","ISSN":"17595053","PMID":"27924081","abstract":"Sepsis and septic shock are characterized by life-threatening organ dysfunction caused by a dysregulated host response to infection. The liver has a central role during sepsis, and is essential to the regulation of immune defence during systemic infections by mechanisms such as bacterial clearance, acute-phase protein or cytokine production and metabolic adaptation to inflammation. However, the liver is also a target for sepsis-related injury, including hypoxic hepatitis due to ischaemia and shock, cholestasis due to altered bile metabolism, hepatocellular injury due to drug toxicity or overwhelming inflammation, as well as distinct pathologies such as secondary sclerosing cholangitis in critically ill patients. Hence, hepatic dysfunction substantially impairs the prognosis of sepsis and serves as a powerful independent predictor of mortality in the intensive care unit. Sepsis is particularly problematic in patients with liver cirrhosis (who experience increased bacterial translocation from the gut and impaired microbial defence) as it can trigger acute-on-chronic liver failure-a syndrome with high short-term mortality. Here, we review the importance of the liver as a guardian, modifier and target of sepsis, the factors that contribute to sepsis in patients with liver cirrhosis and new therapeutic strategies.","author":[{"dropping-particle":"","family":"Strnad","given":"Pavel","non-dropping-particle":"","parse-names":false,"suffix":""},{"dropping-particle":"","family":"Tacke","given":"Frank","non-dropping-particle":"","parse-names":false,"suffix":""},{"dropping-particle":"","family":"Koch","given":"Alexander","non-dropping-particle":"","parse-names":false,"suffix":""},{"dropping-particle":"","family":"Trautwein","given":"Christian","non-dropping-particle":"","parse-names":false,"suffix":""}],"container-title":"Nature Reviews Gastroenterology and Hepatology","id":"ITEM-1","issue":"1","issued":{"date-parts":[["2017","1","1"]]},"page":"55-66","publisher":"Nature Publishing Group","title":"Liver-guardian, modifier and target of sepsis","type":"article","volume":"14"},"uris":["http://www.mendeley.com/documents/?uuid=d55729ed-edd2-396f-91f0-95a44f31c9c1"]}],"mendeley":{"formattedCitation":"(8)","plainTextFormattedCitation":"(8)","previouslyFormattedCitation":"(8)"},"properties":{"noteIndex":0},"schema":"https://github.com/citation-style-language/schema/raw/master/csl-citation.json"}</w:instrText>
      </w:r>
      <w:r w:rsidR="00A40FB5">
        <w:rPr>
          <w:shd w:val="clear" w:color="auto" w:fill="FFFFFF"/>
        </w:rPr>
        <w:fldChar w:fldCharType="separate"/>
      </w:r>
      <w:r w:rsidR="0085653B" w:rsidRPr="0085653B">
        <w:rPr>
          <w:noProof/>
          <w:shd w:val="clear" w:color="auto" w:fill="FFFFFF"/>
        </w:rPr>
        <w:t>(8)</w:t>
      </w:r>
      <w:r w:rsidR="00A40FB5">
        <w:rPr>
          <w:shd w:val="clear" w:color="auto" w:fill="FFFFFF"/>
        </w:rPr>
        <w:fldChar w:fldCharType="end"/>
      </w:r>
      <w:r w:rsidRPr="005E166A">
        <w:rPr>
          <w:shd w:val="clear" w:color="auto" w:fill="FFFFFF"/>
        </w:rPr>
        <w:t>. </w:t>
      </w:r>
    </w:p>
    <w:p w14:paraId="608B1BA4" w14:textId="6C1F0094" w:rsidR="00CB0587" w:rsidRPr="008A5571" w:rsidRDefault="0041112A" w:rsidP="00CB0587">
      <w:pPr>
        <w:rPr>
          <w:rStyle w:val="fontstyle21"/>
          <w:rFonts w:ascii="Times New Roman" w:hAnsi="Times New Roman"/>
          <w:color w:val="auto"/>
          <w:szCs w:val="22"/>
        </w:rPr>
      </w:pPr>
      <w:r w:rsidRPr="0041112A">
        <w:t xml:space="preserve">Karaciğer </w:t>
      </w:r>
      <w:r w:rsidR="005579CD" w:rsidRPr="0041112A">
        <w:t>parankiminin temelini</w:t>
      </w:r>
      <w:r w:rsidRPr="0041112A">
        <w:t xml:space="preserve"> </w:t>
      </w:r>
      <w:r w:rsidR="00C144E1" w:rsidRPr="0041112A">
        <w:t>oluşturan</w:t>
      </w:r>
      <w:r w:rsidR="009F0B8F" w:rsidRPr="0041112A">
        <w:t xml:space="preserve"> </w:t>
      </w:r>
      <w:r w:rsidR="0031392F" w:rsidRPr="0041112A">
        <w:t>hepatositler</w:t>
      </w:r>
      <w:r w:rsidRPr="0041112A">
        <w:t>;</w:t>
      </w:r>
      <w:r w:rsidR="00C144E1" w:rsidRPr="0041112A">
        <w:t xml:space="preserve"> protein,</w:t>
      </w:r>
      <w:r w:rsidRPr="0041112A">
        <w:t xml:space="preserve"> karbonhidrat</w:t>
      </w:r>
      <w:r w:rsidR="00C144E1" w:rsidRPr="0041112A">
        <w:t xml:space="preserve"> </w:t>
      </w:r>
      <w:r w:rsidRPr="0041112A">
        <w:t xml:space="preserve">ve </w:t>
      </w:r>
      <w:r w:rsidR="00F87EBF">
        <w:t xml:space="preserve">lipid metabolizmasında önemli rol oynar ve bununla </w:t>
      </w:r>
      <w:r w:rsidRPr="0041112A">
        <w:t>birlikte</w:t>
      </w:r>
      <w:r w:rsidR="00C144E1" w:rsidRPr="0041112A">
        <w:t xml:space="preserve"> albümin, pıhtılaşma faktörleri gibi proteinlerin ve</w:t>
      </w:r>
      <w:r w:rsidR="009F0B8F" w:rsidRPr="0041112A">
        <w:t xml:space="preserve"> </w:t>
      </w:r>
      <w:r w:rsidR="00C144E1" w:rsidRPr="0041112A">
        <w:t>enzimlerin sentezini</w:t>
      </w:r>
      <w:r w:rsidR="00735D64" w:rsidRPr="0041112A">
        <w:t xml:space="preserve"> de</w:t>
      </w:r>
      <w:r w:rsidR="00C144E1" w:rsidRPr="0041112A">
        <w:t xml:space="preserve"> gerçekleştirir</w:t>
      </w:r>
      <w:r w:rsidR="00837053">
        <w:t xml:space="preserve"> </w:t>
      </w:r>
      <w:r w:rsidR="00837053">
        <w:fldChar w:fldCharType="begin" w:fldLock="1"/>
      </w:r>
      <w:r w:rsidR="0085653B">
        <w:instrText>ADDIN CSL_CITATION {"citationItems":[{"id":"ITEM-1","itemData":{"PMID":"30571059","abstract":"The liver is a critical organ in the human body. It performs an array of functions that help support metabolism, immunity, digestion, detoxification, vitamin storage among other functions. It comprises around 2% of an adult's body weight. The liver is a unique organ due to its dual blood supply from the portal vein (approximately 75%) and the hepatic artery (approximately 25%). It is intertwined with nearly every system in the body, hence, it is prone to a variety of pathologies.","author":[{"dropping-particle":"","family":"Kalra","given":"Arjun","non-dropping-particle":"","parse-names":false,"suffix":""},{"dropping-particle":"","family":"Tuma","given":"Faiz","non-dropping-particle":"","parse-names":false,"suffix":""}],"container-title":"StatPearls","id":"ITEM-1","issued":{"date-parts":[["2018","5","24"]]},"publisher":"StatPearls Publishing","title":"Physiology, Liver","type":"book"},"uris":["http://www.mendeley.com/documents/?uuid=7350685c-7e6f-3ea6-b44b-fda45af71288"]}],"mendeley":{"formattedCitation":"(9)","plainTextFormattedCitation":"(9)","previouslyFormattedCitation":"(9)"},"properties":{"noteIndex":0},"schema":"https://github.com/citation-style-language/schema/raw/master/csl-citation.json"}</w:instrText>
      </w:r>
      <w:r w:rsidR="00837053">
        <w:fldChar w:fldCharType="separate"/>
      </w:r>
      <w:r w:rsidR="0085653B" w:rsidRPr="0085653B">
        <w:rPr>
          <w:noProof/>
        </w:rPr>
        <w:t>(9)</w:t>
      </w:r>
      <w:r w:rsidR="00837053">
        <w:fldChar w:fldCharType="end"/>
      </w:r>
      <w:r w:rsidR="00C144E1" w:rsidRPr="0041112A">
        <w:t>.</w:t>
      </w:r>
      <w:r w:rsidR="00CB0587" w:rsidRPr="008A5571">
        <w:rPr>
          <w:rStyle w:val="fontstyle21"/>
          <w:rFonts w:ascii="Times New Roman" w:hAnsi="Times New Roman"/>
          <w:color w:val="auto"/>
          <w:szCs w:val="22"/>
        </w:rPr>
        <w:t xml:space="preserve"> </w:t>
      </w:r>
      <w:r w:rsidR="00CB0587">
        <w:rPr>
          <w:rStyle w:val="fontstyle21"/>
          <w:rFonts w:ascii="Times New Roman" w:hAnsi="Times New Roman"/>
          <w:color w:val="auto"/>
          <w:szCs w:val="22"/>
        </w:rPr>
        <w:t>G</w:t>
      </w:r>
      <w:r w:rsidR="00CB0587" w:rsidRPr="008A5571">
        <w:rPr>
          <w:rStyle w:val="fontstyle21"/>
          <w:rFonts w:ascii="Times New Roman" w:hAnsi="Times New Roman"/>
          <w:color w:val="auto"/>
          <w:szCs w:val="22"/>
        </w:rPr>
        <w:t xml:space="preserve">likozu glikojen formunda depolar, gerektiğinde glukoneogenez yapar. </w:t>
      </w:r>
      <w:r w:rsidR="00CB0587">
        <w:rPr>
          <w:rStyle w:val="fontstyle21"/>
          <w:rFonts w:ascii="Times New Roman" w:hAnsi="Times New Roman"/>
          <w:color w:val="auto"/>
          <w:szCs w:val="22"/>
        </w:rPr>
        <w:t>Karaciğer, p</w:t>
      </w:r>
      <w:r w:rsidR="00CB0587" w:rsidRPr="008A5571">
        <w:rPr>
          <w:rStyle w:val="fontstyle21"/>
          <w:rFonts w:ascii="Times New Roman" w:hAnsi="Times New Roman"/>
          <w:color w:val="auto"/>
          <w:szCs w:val="22"/>
        </w:rPr>
        <w:t xml:space="preserve">lazma glikoz seviyesinin çok önemli bir düzenleyicisidir </w:t>
      </w:r>
      <w:r w:rsidR="00CB0587" w:rsidRPr="008A5571">
        <w:rPr>
          <w:rStyle w:val="fontstyle21"/>
          <w:rFonts w:ascii="Times New Roman" w:hAnsi="Times New Roman"/>
          <w:color w:val="auto"/>
          <w:szCs w:val="22"/>
        </w:rPr>
        <w:fldChar w:fldCharType="begin" w:fldLock="1"/>
      </w:r>
      <w:r w:rsidR="0085653B">
        <w:rPr>
          <w:rStyle w:val="fontstyle21"/>
          <w:rFonts w:ascii="Times New Roman" w:hAnsi="Times New Roman"/>
          <w:color w:val="auto"/>
          <w:szCs w:val="22"/>
        </w:rPr>
        <w:instrText>ADDIN CSL_CITATION {"citationItems":[{"id":"ITEM-1","itemData":{"PMID":"30571059","abstract":"The liver is a critical organ in the human body. It performs an array of functions that help support metabolism, immunity, digestion, detoxification, vitamin storage among other functions. It comprises around 2% of an adult's body weight. The liver is a unique organ due to its dual blood supply from the portal vein (approximately 75%) and the hepatic artery (approximately 25%). It is intertwined with nearly every system in the body, hence, it is prone to a variety of pathologies.","author":[{"dropping-particle":"","family":"Kalra","given":"Arjun","non-dropping-particle":"","parse-names":false,"suffix":""},{"dropping-particle":"","family":"Tuma","given":"Faiz","non-dropping-particle":"","parse-names":false,"suffix":""}],"container-title":"StatPearls","id":"ITEM-1","issued":{"date-parts":[["2018","5","24"]]},"publisher":"StatPearls Publishing","title":"Physiology, Liver","type":"book"},"uris":["http://www.mendeley.com/documents/?uuid=7350685c-7e6f-3ea6-b44b-fda45af71288"]}],"mendeley":{"formattedCitation":"(9)","plainTextFormattedCitation":"(9)","previouslyFormattedCitation":"(9)"},"properties":{"noteIndex":0},"schema":"https://github.com/citation-style-language/schema/raw/master/csl-citation.json"}</w:instrText>
      </w:r>
      <w:r w:rsidR="00CB0587" w:rsidRPr="008A5571">
        <w:rPr>
          <w:rStyle w:val="fontstyle21"/>
          <w:rFonts w:ascii="Times New Roman" w:hAnsi="Times New Roman"/>
          <w:color w:val="auto"/>
          <w:szCs w:val="22"/>
        </w:rPr>
        <w:fldChar w:fldCharType="separate"/>
      </w:r>
      <w:r w:rsidR="0085653B" w:rsidRPr="0085653B">
        <w:rPr>
          <w:rStyle w:val="fontstyle21"/>
          <w:rFonts w:ascii="Times New Roman" w:hAnsi="Times New Roman"/>
          <w:noProof/>
          <w:color w:val="auto"/>
          <w:szCs w:val="22"/>
        </w:rPr>
        <w:t>(9)</w:t>
      </w:r>
      <w:r w:rsidR="00CB0587" w:rsidRPr="008A5571">
        <w:rPr>
          <w:rStyle w:val="fontstyle21"/>
          <w:rFonts w:ascii="Times New Roman" w:hAnsi="Times New Roman"/>
          <w:color w:val="auto"/>
          <w:szCs w:val="22"/>
        </w:rPr>
        <w:fldChar w:fldCharType="end"/>
      </w:r>
      <w:r w:rsidR="00CB0587" w:rsidRPr="008A5571">
        <w:rPr>
          <w:rStyle w:val="fontstyle21"/>
          <w:rFonts w:ascii="Times New Roman" w:hAnsi="Times New Roman"/>
          <w:color w:val="auto"/>
          <w:szCs w:val="22"/>
        </w:rPr>
        <w:t xml:space="preserve">. </w:t>
      </w:r>
    </w:p>
    <w:p w14:paraId="7F87A70A" w14:textId="5B46BD78" w:rsidR="00CB0587" w:rsidRPr="00A40FB5" w:rsidRDefault="00152ED6" w:rsidP="001F018B">
      <w:pPr>
        <w:rPr>
          <w:rStyle w:val="fontstyle21"/>
          <w:rFonts w:ascii="Times New Roman" w:hAnsi="Times New Roman"/>
          <w:color w:val="auto"/>
          <w:szCs w:val="22"/>
        </w:rPr>
      </w:pPr>
      <w:r w:rsidRPr="00BF114A">
        <w:rPr>
          <w:noProof/>
          <w:lang w:eastAsia="tr-TR"/>
        </w:rPr>
        <w:drawing>
          <wp:anchor distT="0" distB="0" distL="114300" distR="114300" simplePos="0" relativeHeight="251673600" behindDoc="1" locked="0" layoutInCell="1" allowOverlap="1" wp14:anchorId="31CB2DCF" wp14:editId="4E4059BE">
            <wp:simplePos x="0" y="0"/>
            <wp:positionH relativeFrom="column">
              <wp:posOffset>887095</wp:posOffset>
            </wp:positionH>
            <wp:positionV relativeFrom="paragraph">
              <wp:posOffset>2019669</wp:posOffset>
            </wp:positionV>
            <wp:extent cx="2974518" cy="2658804"/>
            <wp:effectExtent l="0" t="0" r="0" b="8255"/>
            <wp:wrapNone/>
            <wp:docPr id="6" name="Resim 6" descr="G:\TEZ\TEZ TASLAK WORD\tez içindeki resimler\hepatocito-esqu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EZ\TEZ TASLAK WORD\tez içindeki resimler\hepatocito-esquem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4518" cy="26588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7053" w:rsidRPr="00A40FB5">
        <w:rPr>
          <w:shd w:val="clear" w:color="auto" w:fill="FFFFFF"/>
        </w:rPr>
        <w:t>Hepatositler tarafından</w:t>
      </w:r>
      <w:r w:rsidR="00BF289C" w:rsidRPr="00A40FB5">
        <w:rPr>
          <w:shd w:val="clear" w:color="auto" w:fill="FFFFFF"/>
        </w:rPr>
        <w:t xml:space="preserve"> ayrıca</w:t>
      </w:r>
      <w:r w:rsidR="00837053" w:rsidRPr="00A40FB5">
        <w:rPr>
          <w:shd w:val="clear" w:color="auto" w:fill="FFFFFF"/>
        </w:rPr>
        <w:t xml:space="preserve"> safra</w:t>
      </w:r>
      <w:r w:rsidR="00BF289C" w:rsidRPr="00A40FB5">
        <w:rPr>
          <w:shd w:val="clear" w:color="auto" w:fill="FFFFFF"/>
        </w:rPr>
        <w:t xml:space="preserve"> sıvısı da</w:t>
      </w:r>
      <w:r w:rsidR="00837053" w:rsidRPr="00A40FB5">
        <w:rPr>
          <w:shd w:val="clear" w:color="auto" w:fill="FFFFFF"/>
        </w:rPr>
        <w:t xml:space="preserve"> üretilir. Safra esas olarak; su, elektrolitler, safra tuzları, safra asitleri, kolesterol, safra pigmenti, bilirubin ve fosfolipitlerin </w:t>
      </w:r>
      <w:r w:rsidR="002D45E6" w:rsidRPr="00A40FB5">
        <w:rPr>
          <w:shd w:val="clear" w:color="auto" w:fill="FFFFFF"/>
        </w:rPr>
        <w:t>yanı sıra</w:t>
      </w:r>
      <w:r w:rsidR="008A5571" w:rsidRPr="00A40FB5">
        <w:rPr>
          <w:shd w:val="clear" w:color="auto" w:fill="FFFFFF"/>
        </w:rPr>
        <w:t xml:space="preserve"> ksenobiyotiklerin</w:t>
      </w:r>
      <w:r w:rsidR="00837053" w:rsidRPr="00A40FB5">
        <w:t xml:space="preserve"> detoksifikasyonu </w:t>
      </w:r>
      <w:r w:rsidR="00BF289C" w:rsidRPr="00A40FB5">
        <w:t xml:space="preserve">ile </w:t>
      </w:r>
      <w:r w:rsidR="00837053" w:rsidRPr="00A40FB5">
        <w:t xml:space="preserve">oluşan metabolik atıkları içermektedir. </w:t>
      </w:r>
      <w:r w:rsidR="00BF289C" w:rsidRPr="00A40FB5">
        <w:t xml:space="preserve">Oluşan </w:t>
      </w:r>
      <w:r w:rsidR="00BF289C" w:rsidRPr="00A40FB5">
        <w:rPr>
          <w:shd w:val="clear" w:color="auto" w:fill="FFFFFF"/>
        </w:rPr>
        <w:t>s</w:t>
      </w:r>
      <w:r w:rsidR="00837053" w:rsidRPr="00A40FB5">
        <w:rPr>
          <w:shd w:val="clear" w:color="auto" w:fill="FFFFFF"/>
        </w:rPr>
        <w:t xml:space="preserve">afra, hepatositlerden safra kanalikülerine salgılanır, burada daha küçük kanallardan daha büyük kanallara geçerek, sonunda duodenuma ulaşır </w:t>
      </w:r>
      <w:r w:rsidR="00BF6F14" w:rsidRPr="00A40FB5">
        <w:rPr>
          <w:shd w:val="clear" w:color="auto" w:fill="FFFFFF"/>
        </w:rPr>
        <w:fldChar w:fldCharType="begin" w:fldLock="1"/>
      </w:r>
      <w:r w:rsidR="0085653B">
        <w:rPr>
          <w:shd w:val="clear" w:color="auto" w:fill="FFFFFF"/>
        </w:rPr>
        <w:instrText>ADDIN CSL_CITATION {"citationItems":[{"id":"ITEM-1","itemData":{"DOI":"10.1007/978-3-319-96400-3_2","ISBN":"9783319964003","author":[{"dropping-particle":"","family":"Casotti","given":"Valeria","non-dropping-particle":"","parse-names":false,"suffix":""},{"dropping-particle":"","family":"D'antiga","given":"Lorenzo","non-dropping-particle":"","parse-names":false,"suffix":""}],"container-title":"Pediatric Hepatology and Liver Transplantation","id":"ITEM-1","issued":{"date-parts":[["2019","4","29"]]},"page":"21-39","publisher":"Springer International Publishing","title":"Principles of liver physiology","type":"chapter"},"uris":["http://www.mendeley.com/documents/?uuid=a6ef94f8-1920-318f-bf4b-90bdf36fece2"]}],"mendeley":{"formattedCitation":"(10)","plainTextFormattedCitation":"(10)","previouslyFormattedCitation":"(10)"},"properties":{"noteIndex":0},"schema":"https://github.com/citation-style-language/schema/raw/master/csl-citation.json"}</w:instrText>
      </w:r>
      <w:r w:rsidR="00BF6F14" w:rsidRPr="00A40FB5">
        <w:rPr>
          <w:shd w:val="clear" w:color="auto" w:fill="FFFFFF"/>
        </w:rPr>
        <w:fldChar w:fldCharType="separate"/>
      </w:r>
      <w:r w:rsidR="0085653B" w:rsidRPr="0085653B">
        <w:rPr>
          <w:noProof/>
          <w:shd w:val="clear" w:color="auto" w:fill="FFFFFF"/>
        </w:rPr>
        <w:t>(10)</w:t>
      </w:r>
      <w:r w:rsidR="00BF6F14" w:rsidRPr="00A40FB5">
        <w:rPr>
          <w:shd w:val="clear" w:color="auto" w:fill="FFFFFF"/>
        </w:rPr>
        <w:fldChar w:fldCharType="end"/>
      </w:r>
      <w:r w:rsidR="00837053" w:rsidRPr="00A40FB5">
        <w:rPr>
          <w:shd w:val="clear" w:color="auto" w:fill="FFFFFF"/>
        </w:rPr>
        <w:t>.</w:t>
      </w:r>
      <w:r w:rsidR="002E054C" w:rsidRPr="00A40FB5">
        <w:t xml:space="preserve"> </w:t>
      </w:r>
      <w:r>
        <w:t>Karaciğerin yapısının daha net anlaşılabilmesi için aşağıdaki Ş</w:t>
      </w:r>
      <w:r w:rsidR="00CB0587" w:rsidRPr="00A40FB5">
        <w:t>ekil</w:t>
      </w:r>
      <w:r>
        <w:t xml:space="preserve"> 2.1 </w:t>
      </w:r>
      <w:r w:rsidR="00CB0587" w:rsidRPr="00A40FB5">
        <w:t>de bir hepatosit hücresi ve içindeki organeller</w:t>
      </w:r>
      <w:r>
        <w:t>, Şekil</w:t>
      </w:r>
      <w:r w:rsidR="00CB0587" w:rsidRPr="00A40FB5">
        <w:t xml:space="preserve"> </w:t>
      </w:r>
      <w:r>
        <w:t>2.2 de</w:t>
      </w:r>
      <w:r w:rsidR="00CB0587" w:rsidRPr="00A40FB5">
        <w:t xml:space="preserve"> </w:t>
      </w:r>
      <w:r>
        <w:t xml:space="preserve">ise </w:t>
      </w:r>
      <w:r w:rsidR="00CB0587" w:rsidRPr="00A40FB5">
        <w:t>bir karaciğer lobülü</w:t>
      </w:r>
      <w:r>
        <w:t>, portal alan</w:t>
      </w:r>
      <w:r w:rsidR="00CB0587" w:rsidRPr="00A40FB5">
        <w:t xml:space="preserve"> ve etrafındaki yapılar gösterilmiştir.</w:t>
      </w:r>
    </w:p>
    <w:p w14:paraId="31CB24C2" w14:textId="5A71A6C7" w:rsidR="00BF114A" w:rsidRDefault="00BF114A" w:rsidP="00015F83">
      <w:pPr>
        <w:rPr>
          <w:rStyle w:val="fontstyle21"/>
          <w:rFonts w:ascii="Times New Roman" w:hAnsi="Times New Roman"/>
          <w:color w:val="auto"/>
          <w:szCs w:val="22"/>
        </w:rPr>
      </w:pPr>
    </w:p>
    <w:p w14:paraId="31CB24C3" w14:textId="67EA2DC0" w:rsidR="00BF114A" w:rsidRDefault="00BF114A" w:rsidP="00BF114A">
      <w:pPr>
        <w:rPr>
          <w:highlight w:val="yellow"/>
        </w:rPr>
      </w:pPr>
      <w:bookmarkStart w:id="21" w:name="_Toc41808520"/>
    </w:p>
    <w:p w14:paraId="31CB24C4" w14:textId="58BCE919" w:rsidR="00BF114A" w:rsidRPr="00BF114A" w:rsidRDefault="00BF114A" w:rsidP="00BF114A">
      <w:pPr>
        <w:rPr>
          <w:highlight w:val="yellow"/>
        </w:rPr>
      </w:pPr>
    </w:p>
    <w:p w14:paraId="31CB24C5" w14:textId="617FC533" w:rsidR="00BF114A" w:rsidRPr="00BF114A" w:rsidRDefault="00BF114A" w:rsidP="00BF114A">
      <w:pPr>
        <w:rPr>
          <w:highlight w:val="yellow"/>
        </w:rPr>
      </w:pPr>
    </w:p>
    <w:bookmarkEnd w:id="21"/>
    <w:p w14:paraId="31CB24C6" w14:textId="323F2B5B" w:rsidR="008D226E" w:rsidRDefault="008D226E" w:rsidP="00BF114A">
      <w:pPr>
        <w:pStyle w:val="ResimYazs"/>
        <w:rPr>
          <w:i w:val="0"/>
          <w:color w:val="auto"/>
          <w:sz w:val="24"/>
          <w:szCs w:val="24"/>
          <w:highlight w:val="yellow"/>
        </w:rPr>
      </w:pPr>
    </w:p>
    <w:p w14:paraId="31CB24C7" w14:textId="3E4D7C2E" w:rsidR="008D226E" w:rsidRDefault="008D226E" w:rsidP="00BF114A">
      <w:pPr>
        <w:pStyle w:val="ResimYazs"/>
        <w:rPr>
          <w:i w:val="0"/>
          <w:color w:val="auto"/>
          <w:sz w:val="24"/>
          <w:szCs w:val="24"/>
          <w:highlight w:val="yellow"/>
        </w:rPr>
      </w:pPr>
    </w:p>
    <w:p w14:paraId="31CB24C8" w14:textId="52C6A8E2" w:rsidR="008D226E" w:rsidRDefault="008D226E" w:rsidP="008D226E">
      <w:pPr>
        <w:pStyle w:val="ResimYazs"/>
        <w:ind w:firstLine="0"/>
        <w:rPr>
          <w:i w:val="0"/>
          <w:color w:val="auto"/>
          <w:sz w:val="24"/>
          <w:szCs w:val="24"/>
          <w:highlight w:val="yellow"/>
        </w:rPr>
      </w:pPr>
    </w:p>
    <w:p w14:paraId="31CB24C9" w14:textId="65F5942D" w:rsidR="008D226E" w:rsidRDefault="008D226E" w:rsidP="008D226E">
      <w:pPr>
        <w:pStyle w:val="ResimYazs"/>
        <w:ind w:firstLine="0"/>
        <w:rPr>
          <w:i w:val="0"/>
          <w:color w:val="auto"/>
          <w:sz w:val="24"/>
          <w:szCs w:val="24"/>
          <w:highlight w:val="yellow"/>
        </w:rPr>
      </w:pPr>
    </w:p>
    <w:p w14:paraId="31CB24CA" w14:textId="5B8DA9ED" w:rsidR="008D226E" w:rsidRDefault="008D226E" w:rsidP="008D226E">
      <w:pPr>
        <w:pStyle w:val="ResimYazs"/>
        <w:ind w:firstLine="0"/>
        <w:rPr>
          <w:i w:val="0"/>
          <w:color w:val="auto"/>
          <w:sz w:val="24"/>
          <w:szCs w:val="24"/>
          <w:highlight w:val="yellow"/>
        </w:rPr>
      </w:pPr>
    </w:p>
    <w:p w14:paraId="0CE3BA8D" w14:textId="06AFD5B0" w:rsidR="00CB0587" w:rsidRPr="008E6A64" w:rsidRDefault="00CB0587" w:rsidP="00111217">
      <w:pPr>
        <w:pStyle w:val="ResimYazs"/>
        <w:rPr>
          <w:szCs w:val="24"/>
          <w:highlight w:val="yellow"/>
        </w:rPr>
      </w:pPr>
      <w:bookmarkStart w:id="22" w:name="_Toc49817967"/>
      <w:r w:rsidRPr="003A4709">
        <w:rPr>
          <w:i w:val="0"/>
          <w:color w:val="auto"/>
          <w:sz w:val="24"/>
          <w:szCs w:val="24"/>
        </w:rPr>
        <w:t xml:space="preserve">Şekil </w:t>
      </w:r>
      <w:r w:rsidRPr="003A4709">
        <w:rPr>
          <w:i w:val="0"/>
          <w:color w:val="auto"/>
          <w:sz w:val="24"/>
          <w:szCs w:val="24"/>
        </w:rPr>
        <w:fldChar w:fldCharType="begin"/>
      </w:r>
      <w:r w:rsidRPr="003A4709">
        <w:rPr>
          <w:i w:val="0"/>
          <w:color w:val="auto"/>
          <w:sz w:val="24"/>
          <w:szCs w:val="24"/>
        </w:rPr>
        <w:instrText xml:space="preserve"> STYLEREF 1 \s </w:instrText>
      </w:r>
      <w:r w:rsidRPr="003A4709">
        <w:rPr>
          <w:i w:val="0"/>
          <w:color w:val="auto"/>
          <w:sz w:val="24"/>
          <w:szCs w:val="24"/>
        </w:rPr>
        <w:fldChar w:fldCharType="separate"/>
      </w:r>
      <w:r w:rsidR="00063441">
        <w:rPr>
          <w:i w:val="0"/>
          <w:noProof/>
          <w:color w:val="auto"/>
          <w:sz w:val="24"/>
          <w:szCs w:val="24"/>
        </w:rPr>
        <w:t>2</w:t>
      </w:r>
      <w:r w:rsidRPr="003A4709">
        <w:rPr>
          <w:i w:val="0"/>
          <w:color w:val="auto"/>
          <w:sz w:val="24"/>
          <w:szCs w:val="24"/>
        </w:rPr>
        <w:fldChar w:fldCharType="end"/>
      </w:r>
      <w:r w:rsidRPr="003A4709">
        <w:rPr>
          <w:i w:val="0"/>
          <w:color w:val="auto"/>
          <w:sz w:val="24"/>
          <w:szCs w:val="24"/>
        </w:rPr>
        <w:t>.</w:t>
      </w:r>
      <w:r w:rsidRPr="003A4709">
        <w:rPr>
          <w:i w:val="0"/>
          <w:color w:val="auto"/>
          <w:sz w:val="24"/>
          <w:szCs w:val="24"/>
        </w:rPr>
        <w:fldChar w:fldCharType="begin"/>
      </w:r>
      <w:r w:rsidRPr="003A4709">
        <w:rPr>
          <w:i w:val="0"/>
          <w:color w:val="auto"/>
          <w:sz w:val="24"/>
          <w:szCs w:val="24"/>
        </w:rPr>
        <w:instrText xml:space="preserve"> SEQ Şekil \* ARABIC \s 1 </w:instrText>
      </w:r>
      <w:r w:rsidRPr="003A4709">
        <w:rPr>
          <w:i w:val="0"/>
          <w:color w:val="auto"/>
          <w:sz w:val="24"/>
          <w:szCs w:val="24"/>
        </w:rPr>
        <w:fldChar w:fldCharType="separate"/>
      </w:r>
      <w:r w:rsidR="00063441">
        <w:rPr>
          <w:i w:val="0"/>
          <w:noProof/>
          <w:color w:val="auto"/>
          <w:sz w:val="24"/>
          <w:szCs w:val="24"/>
        </w:rPr>
        <w:t>1</w:t>
      </w:r>
      <w:r w:rsidRPr="003A4709">
        <w:rPr>
          <w:i w:val="0"/>
          <w:color w:val="auto"/>
          <w:sz w:val="24"/>
          <w:szCs w:val="24"/>
        </w:rPr>
        <w:fldChar w:fldCharType="end"/>
      </w:r>
      <w:r w:rsidRPr="003A4709">
        <w:rPr>
          <w:i w:val="0"/>
          <w:color w:val="auto"/>
          <w:sz w:val="24"/>
          <w:szCs w:val="24"/>
        </w:rPr>
        <w:t xml:space="preserve"> Hepatosit </w:t>
      </w:r>
      <w:r w:rsidR="00166574">
        <w:rPr>
          <w:i w:val="0"/>
          <w:color w:val="auto"/>
          <w:sz w:val="24"/>
          <w:szCs w:val="24"/>
        </w:rPr>
        <w:t>v</w:t>
      </w:r>
      <w:r w:rsidR="00166574" w:rsidRPr="003A4709">
        <w:rPr>
          <w:i w:val="0"/>
          <w:color w:val="auto"/>
          <w:sz w:val="24"/>
          <w:szCs w:val="24"/>
        </w:rPr>
        <w:t>e İçindeki Organeller</w:t>
      </w:r>
      <w:bookmarkEnd w:id="22"/>
    </w:p>
    <w:p w14:paraId="31CB24CD" w14:textId="2775521E" w:rsidR="007A6D4B" w:rsidRPr="00A81EDF" w:rsidRDefault="00CB0587" w:rsidP="00A81EDF">
      <w:pPr>
        <w:tabs>
          <w:tab w:val="left" w:pos="5234"/>
        </w:tabs>
      </w:pPr>
      <w:r w:rsidRPr="00084E0A">
        <w:rPr>
          <w:noProof/>
          <w:lang w:eastAsia="tr-TR"/>
        </w:rPr>
        <w:lastRenderedPageBreak/>
        <w:drawing>
          <wp:anchor distT="0" distB="0" distL="114300" distR="114300" simplePos="0" relativeHeight="251692032" behindDoc="1" locked="0" layoutInCell="1" allowOverlap="1" wp14:anchorId="31CB2DD1" wp14:editId="4BB3130A">
            <wp:simplePos x="0" y="0"/>
            <wp:positionH relativeFrom="column">
              <wp:posOffset>-698500</wp:posOffset>
            </wp:positionH>
            <wp:positionV relativeFrom="paragraph">
              <wp:posOffset>-214630</wp:posOffset>
            </wp:positionV>
            <wp:extent cx="3853637" cy="2520627"/>
            <wp:effectExtent l="0" t="0" r="0" b="0"/>
            <wp:wrapNone/>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2703"/>
                    <a:stretch/>
                  </pic:blipFill>
                  <pic:spPr bwMode="auto">
                    <a:xfrm>
                      <a:off x="0" y="0"/>
                      <a:ext cx="3853637" cy="2520627"/>
                    </a:xfrm>
                    <a:prstGeom prst="rect">
                      <a:avLst/>
                    </a:prstGeom>
                    <a:pattFill prst="pct5">
                      <a:fgClr>
                        <a:schemeClr val="accent1"/>
                      </a:fgClr>
                      <a:bgClr>
                        <a:schemeClr val="bg1"/>
                      </a:bgClr>
                    </a:patt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75FDE">
        <w:rPr>
          <w:noProof/>
          <w:lang w:eastAsia="tr-TR"/>
        </w:rPr>
        <w:drawing>
          <wp:anchor distT="0" distB="0" distL="114300" distR="114300" simplePos="0" relativeHeight="251707392" behindDoc="0" locked="0" layoutInCell="1" allowOverlap="1" wp14:anchorId="3AABB998" wp14:editId="7C8F02F7">
            <wp:simplePos x="0" y="0"/>
            <wp:positionH relativeFrom="column">
              <wp:posOffset>3286125</wp:posOffset>
            </wp:positionH>
            <wp:positionV relativeFrom="paragraph">
              <wp:posOffset>-213995</wp:posOffset>
            </wp:positionV>
            <wp:extent cx="2688590" cy="2828925"/>
            <wp:effectExtent l="0" t="0" r="0" b="9525"/>
            <wp:wrapNone/>
            <wp:docPr id="23" name="Resim 23" descr="D:\TEZ\TEZ TASLAK WORD\tez içindeki resimler\notlar\images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Z\TEZ TASLAK WORD\tez içindeki resimler\notlar\images (1).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88590" cy="2828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1EDF" w:rsidRPr="00A81EDF">
        <w:tab/>
      </w:r>
    </w:p>
    <w:p w14:paraId="31CB24CE" w14:textId="13B101DA" w:rsidR="007A6D4B" w:rsidRDefault="007A6D4B" w:rsidP="007A6D4B">
      <w:pPr>
        <w:rPr>
          <w:highlight w:val="yellow"/>
        </w:rPr>
      </w:pPr>
    </w:p>
    <w:p w14:paraId="31CB24CF" w14:textId="3BD9A667" w:rsidR="007A6D4B" w:rsidRDefault="007A6D4B" w:rsidP="007A6D4B">
      <w:pPr>
        <w:rPr>
          <w:highlight w:val="yellow"/>
        </w:rPr>
      </w:pPr>
    </w:p>
    <w:p w14:paraId="31CB24D0" w14:textId="7B065FEE" w:rsidR="007A6D4B" w:rsidRDefault="007A6D4B" w:rsidP="00084E0A">
      <w:pPr>
        <w:ind w:firstLine="0"/>
        <w:rPr>
          <w:highlight w:val="yellow"/>
        </w:rPr>
      </w:pPr>
    </w:p>
    <w:p w14:paraId="31CB24D1" w14:textId="5DE447DF" w:rsidR="007A6D4B" w:rsidRDefault="007A6D4B" w:rsidP="007A6D4B">
      <w:pPr>
        <w:rPr>
          <w:highlight w:val="yellow"/>
        </w:rPr>
      </w:pPr>
    </w:p>
    <w:p w14:paraId="31CB24D2" w14:textId="0E2C9436" w:rsidR="007A6D4B" w:rsidRDefault="007A6D4B" w:rsidP="007A6D4B">
      <w:pPr>
        <w:rPr>
          <w:highlight w:val="yellow"/>
        </w:rPr>
      </w:pPr>
    </w:p>
    <w:p w14:paraId="31CB24D3" w14:textId="5858AE1D" w:rsidR="007A6D4B" w:rsidRDefault="007A6D4B" w:rsidP="007A6D4B">
      <w:pPr>
        <w:rPr>
          <w:highlight w:val="yellow"/>
        </w:rPr>
      </w:pPr>
    </w:p>
    <w:p w14:paraId="31CB24D4" w14:textId="2E2886DC" w:rsidR="007A6D4B" w:rsidRDefault="007A6D4B" w:rsidP="007A6D4B">
      <w:pPr>
        <w:rPr>
          <w:highlight w:val="yellow"/>
        </w:rPr>
      </w:pPr>
    </w:p>
    <w:p w14:paraId="31CB24D5" w14:textId="7C4EE089" w:rsidR="007A6D4B" w:rsidRPr="007A6D4B" w:rsidRDefault="007A6D4B" w:rsidP="007A6D4B">
      <w:pPr>
        <w:rPr>
          <w:highlight w:val="yellow"/>
        </w:rPr>
      </w:pPr>
    </w:p>
    <w:p w14:paraId="31CB24D6" w14:textId="1A8F996D" w:rsidR="00F63D28" w:rsidRDefault="00F63D28" w:rsidP="00F63D28">
      <w:pPr>
        <w:rPr>
          <w:highlight w:val="yellow"/>
        </w:rPr>
      </w:pPr>
    </w:p>
    <w:p w14:paraId="31CB24DA" w14:textId="4CB578F6" w:rsidR="008D226E" w:rsidRPr="008D226E" w:rsidRDefault="00BF114A" w:rsidP="008D226E">
      <w:pPr>
        <w:pStyle w:val="ResimYazs"/>
        <w:rPr>
          <w:i w:val="0"/>
          <w:color w:val="auto"/>
          <w:sz w:val="24"/>
          <w:szCs w:val="24"/>
        </w:rPr>
      </w:pPr>
      <w:bookmarkStart w:id="23" w:name="_Toc49817968"/>
      <w:r w:rsidRPr="005E166A">
        <w:rPr>
          <w:i w:val="0"/>
          <w:color w:val="auto"/>
          <w:sz w:val="24"/>
          <w:szCs w:val="24"/>
        </w:rPr>
        <w:t xml:space="preserve">Şekil </w:t>
      </w:r>
      <w:r w:rsidR="00CB0587">
        <w:rPr>
          <w:i w:val="0"/>
          <w:color w:val="auto"/>
          <w:sz w:val="24"/>
          <w:szCs w:val="24"/>
        </w:rPr>
        <w:fldChar w:fldCharType="begin"/>
      </w:r>
      <w:r w:rsidR="00CB0587">
        <w:rPr>
          <w:i w:val="0"/>
          <w:color w:val="auto"/>
          <w:sz w:val="24"/>
          <w:szCs w:val="24"/>
        </w:rPr>
        <w:instrText xml:space="preserve"> STYLEREF 1 \s </w:instrText>
      </w:r>
      <w:r w:rsidR="00CB0587">
        <w:rPr>
          <w:i w:val="0"/>
          <w:color w:val="auto"/>
          <w:sz w:val="24"/>
          <w:szCs w:val="24"/>
        </w:rPr>
        <w:fldChar w:fldCharType="separate"/>
      </w:r>
      <w:r w:rsidR="00063441">
        <w:rPr>
          <w:i w:val="0"/>
          <w:noProof/>
          <w:color w:val="auto"/>
          <w:sz w:val="24"/>
          <w:szCs w:val="24"/>
        </w:rPr>
        <w:t>2</w:t>
      </w:r>
      <w:r w:rsidR="00CB0587">
        <w:rPr>
          <w:i w:val="0"/>
          <w:color w:val="auto"/>
          <w:sz w:val="24"/>
          <w:szCs w:val="24"/>
        </w:rPr>
        <w:fldChar w:fldCharType="end"/>
      </w:r>
      <w:r w:rsidR="00CB0587">
        <w:rPr>
          <w:i w:val="0"/>
          <w:color w:val="auto"/>
          <w:sz w:val="24"/>
          <w:szCs w:val="24"/>
        </w:rPr>
        <w:t>.</w:t>
      </w:r>
      <w:r w:rsidR="00CB0587">
        <w:rPr>
          <w:i w:val="0"/>
          <w:color w:val="auto"/>
          <w:sz w:val="24"/>
          <w:szCs w:val="24"/>
        </w:rPr>
        <w:fldChar w:fldCharType="begin"/>
      </w:r>
      <w:r w:rsidR="00CB0587">
        <w:rPr>
          <w:i w:val="0"/>
          <w:color w:val="auto"/>
          <w:sz w:val="24"/>
          <w:szCs w:val="24"/>
        </w:rPr>
        <w:instrText xml:space="preserve"> SEQ Şekil \* ARABIC \s 1 </w:instrText>
      </w:r>
      <w:r w:rsidR="00CB0587">
        <w:rPr>
          <w:i w:val="0"/>
          <w:color w:val="auto"/>
          <w:sz w:val="24"/>
          <w:szCs w:val="24"/>
        </w:rPr>
        <w:fldChar w:fldCharType="separate"/>
      </w:r>
      <w:r w:rsidR="00063441">
        <w:rPr>
          <w:i w:val="0"/>
          <w:noProof/>
          <w:color w:val="auto"/>
          <w:sz w:val="24"/>
          <w:szCs w:val="24"/>
        </w:rPr>
        <w:t>2</w:t>
      </w:r>
      <w:r w:rsidR="00CB0587">
        <w:rPr>
          <w:i w:val="0"/>
          <w:color w:val="auto"/>
          <w:sz w:val="24"/>
          <w:szCs w:val="24"/>
        </w:rPr>
        <w:fldChar w:fldCharType="end"/>
      </w:r>
      <w:r w:rsidR="00975FDE" w:rsidRPr="005E166A">
        <w:rPr>
          <w:i w:val="0"/>
          <w:color w:val="auto"/>
          <w:sz w:val="24"/>
          <w:szCs w:val="24"/>
        </w:rPr>
        <w:t xml:space="preserve"> </w:t>
      </w:r>
      <w:r w:rsidR="00CB0587">
        <w:rPr>
          <w:i w:val="0"/>
          <w:color w:val="auto"/>
          <w:sz w:val="24"/>
          <w:szCs w:val="24"/>
        </w:rPr>
        <w:t>K</w:t>
      </w:r>
      <w:r w:rsidR="008D226E" w:rsidRPr="005E166A">
        <w:rPr>
          <w:i w:val="0"/>
          <w:color w:val="auto"/>
          <w:sz w:val="24"/>
          <w:szCs w:val="24"/>
        </w:rPr>
        <w:t xml:space="preserve">araciğer </w:t>
      </w:r>
      <w:r w:rsidR="00166574" w:rsidRPr="005E166A">
        <w:rPr>
          <w:i w:val="0"/>
          <w:color w:val="auto"/>
          <w:sz w:val="24"/>
          <w:szCs w:val="24"/>
        </w:rPr>
        <w:t>Lobülü</w:t>
      </w:r>
      <w:r w:rsidR="00166574">
        <w:rPr>
          <w:i w:val="0"/>
          <w:color w:val="auto"/>
          <w:sz w:val="24"/>
          <w:szCs w:val="24"/>
        </w:rPr>
        <w:t xml:space="preserve"> ve Portal Alan</w:t>
      </w:r>
      <w:bookmarkEnd w:id="23"/>
    </w:p>
    <w:p w14:paraId="31CB24DB" w14:textId="4AD076DD" w:rsidR="00BF114A" w:rsidRDefault="00BF114A" w:rsidP="008D226E">
      <w:pPr>
        <w:pStyle w:val="ResimYazs"/>
        <w:tabs>
          <w:tab w:val="left" w:pos="5145"/>
        </w:tabs>
        <w:ind w:firstLine="0"/>
        <w:rPr>
          <w:i w:val="0"/>
          <w:color w:val="auto"/>
          <w:sz w:val="24"/>
          <w:szCs w:val="24"/>
        </w:rPr>
      </w:pPr>
    </w:p>
    <w:p w14:paraId="2B77C36C" w14:textId="7824AD57" w:rsidR="00A820ED" w:rsidRDefault="00735D64" w:rsidP="001F018B">
      <w:r w:rsidRPr="005651CD">
        <w:t>Karaciğer</w:t>
      </w:r>
      <w:r w:rsidRPr="005651CD">
        <w:rPr>
          <w:bCs/>
        </w:rPr>
        <w:t>, hematolojik dengenin sağlanmasında da önemli rol alır</w:t>
      </w:r>
      <w:r w:rsidR="008B2A6F">
        <w:t xml:space="preserve"> ve </w:t>
      </w:r>
      <w:r w:rsidR="00EE69CB">
        <w:t>bü</w:t>
      </w:r>
      <w:r w:rsidR="002E054C" w:rsidRPr="007A06AC">
        <w:t>tü</w:t>
      </w:r>
      <w:r w:rsidR="00EE69CB">
        <w:t>n</w:t>
      </w:r>
      <w:r w:rsidR="002E054C" w:rsidRPr="007A06AC">
        <w:t xml:space="preserve"> pıhtılaşma faktörlerinin yapıldığı yerdir. </w:t>
      </w:r>
      <w:r w:rsidR="00334626" w:rsidRPr="007A06AC">
        <w:t>F</w:t>
      </w:r>
      <w:r w:rsidR="002E054C" w:rsidRPr="00334626">
        <w:t>ibrinojen, protrombin, prekallikrein, faktör</w:t>
      </w:r>
      <w:r w:rsidR="00334626" w:rsidRPr="00334626">
        <w:t xml:space="preserve"> </w:t>
      </w:r>
      <w:r w:rsidR="002E054C" w:rsidRPr="00334626">
        <w:t>V,</w:t>
      </w:r>
      <w:r w:rsidR="00334626" w:rsidRPr="00334626">
        <w:t xml:space="preserve"> </w:t>
      </w:r>
      <w:r w:rsidR="002E054C" w:rsidRPr="00334626">
        <w:t>VII,</w:t>
      </w:r>
      <w:r w:rsidR="00334626" w:rsidRPr="00334626">
        <w:t xml:space="preserve"> </w:t>
      </w:r>
      <w:r w:rsidR="002E054C" w:rsidRPr="00334626">
        <w:t>VIII,</w:t>
      </w:r>
      <w:r w:rsidR="00334626" w:rsidRPr="00334626">
        <w:t xml:space="preserve"> </w:t>
      </w:r>
      <w:r w:rsidR="002E054C" w:rsidRPr="00334626">
        <w:t xml:space="preserve"> IX,</w:t>
      </w:r>
      <w:r w:rsidR="00334626" w:rsidRPr="00334626">
        <w:t xml:space="preserve"> </w:t>
      </w:r>
      <w:r w:rsidR="002E054C" w:rsidRPr="00334626">
        <w:t>X,</w:t>
      </w:r>
      <w:r w:rsidR="00334626" w:rsidRPr="00334626">
        <w:t xml:space="preserve"> </w:t>
      </w:r>
      <w:r w:rsidR="002E054C" w:rsidRPr="00334626">
        <w:t>XI,</w:t>
      </w:r>
      <w:r w:rsidR="00334626" w:rsidRPr="00334626">
        <w:t xml:space="preserve"> </w:t>
      </w:r>
      <w:r w:rsidR="002E054C" w:rsidRPr="00334626">
        <w:t>XII,</w:t>
      </w:r>
      <w:r w:rsidR="00334626" w:rsidRPr="00334626">
        <w:t xml:space="preserve"> </w:t>
      </w:r>
      <w:r w:rsidR="002E054C" w:rsidRPr="00334626">
        <w:t>XIII</w:t>
      </w:r>
      <w:r w:rsidR="00334626" w:rsidRPr="00334626">
        <w:t>,</w:t>
      </w:r>
      <w:r w:rsidR="002E054C" w:rsidRPr="00334626">
        <w:t xml:space="preserve"> </w:t>
      </w:r>
      <w:r w:rsidR="00334626" w:rsidRPr="00334626">
        <w:t>p</w:t>
      </w:r>
      <w:r w:rsidR="002E054C" w:rsidRPr="00334626">
        <w:t xml:space="preserve">lazminojen, </w:t>
      </w:r>
      <w:r w:rsidR="00334626" w:rsidRPr="00334626">
        <w:t>antitrombin III</w:t>
      </w:r>
      <w:r w:rsidR="002E054C" w:rsidRPr="00334626">
        <w:t xml:space="preserve">, protein C ve S, alfa-2 antiplazmin ve alfa-1 antitripsin </w:t>
      </w:r>
      <w:r w:rsidRPr="00334626">
        <w:t>gibi antikoag</w:t>
      </w:r>
      <w:r w:rsidR="00F11FD5" w:rsidRPr="00334626">
        <w:t>ü</w:t>
      </w:r>
      <w:r w:rsidRPr="00334626">
        <w:t>lan ve antifibrinolitik faktörler</w:t>
      </w:r>
      <w:r w:rsidR="00334626" w:rsidRPr="00334626">
        <w:t xml:space="preserve"> </w:t>
      </w:r>
      <w:r w:rsidRPr="00334626">
        <w:t>sentezle</w:t>
      </w:r>
      <w:r w:rsidR="00334626" w:rsidRPr="00334626">
        <w:t>ni</w:t>
      </w:r>
      <w:r w:rsidRPr="00334626">
        <w:t>r.</w:t>
      </w:r>
      <w:r w:rsidRPr="005651CD">
        <w:t xml:space="preserve"> </w:t>
      </w:r>
    </w:p>
    <w:p w14:paraId="10E36998" w14:textId="64D2B3CE" w:rsidR="00A820ED" w:rsidRDefault="00735D64" w:rsidP="00A820ED">
      <w:pPr>
        <w:rPr>
          <w:rStyle w:val="fontstyle21"/>
          <w:rFonts w:ascii="Times New Roman" w:hAnsi="Times New Roman"/>
          <w:color w:val="auto"/>
          <w:szCs w:val="22"/>
        </w:rPr>
      </w:pPr>
      <w:r w:rsidRPr="005651CD">
        <w:t xml:space="preserve">Akut ve kronik karaciğer hastalıklarında bu faktörlerin yapımının azalması, disfonksiyonel pıhtılaşma faktörlerinin sentezlenmesi, trombositlerin sayıca azalması ve yapıca bozuk olması, K vitamini eksikliği, aktive faktörlerin klirensinin azalması, </w:t>
      </w:r>
      <w:r w:rsidRPr="00EE69CB">
        <w:t xml:space="preserve">hiperfibrinolizis ve </w:t>
      </w:r>
      <w:r w:rsidR="00EE69CB">
        <w:t>d</w:t>
      </w:r>
      <w:r w:rsidR="00EE69CB" w:rsidRPr="00EE69CB">
        <w:t>issemine intravasküler koagülasyon (</w:t>
      </w:r>
      <w:r w:rsidRPr="00EE69CB">
        <w:t>DİK</w:t>
      </w:r>
      <w:r w:rsidR="00EE69CB" w:rsidRPr="00EE69CB">
        <w:t>)</w:t>
      </w:r>
      <w:r w:rsidRPr="005651CD">
        <w:t xml:space="preserve"> olması gibi nedenlerin sonucu olarak hemostazis bozulur. Bu hastalarda protrombin zamanı </w:t>
      </w:r>
      <w:r w:rsidR="00EE69CB">
        <w:t>(PTZ)</w:t>
      </w:r>
      <w:r w:rsidRPr="005651CD">
        <w:t xml:space="preserve"> ve INR belirgin olarak artmıştır</w:t>
      </w:r>
      <w:r w:rsidR="00EE69CB">
        <w:t>.</w:t>
      </w:r>
      <w:r w:rsidRPr="005651CD">
        <w:t xml:space="preserve"> </w:t>
      </w:r>
      <w:r w:rsidR="00EE69CB">
        <w:t>B</w:t>
      </w:r>
      <w:r w:rsidRPr="005651CD">
        <w:t xml:space="preserve">u durum transplantasyon için prognozu belirler </w:t>
      </w:r>
      <w:r w:rsidRPr="005651CD">
        <w:fldChar w:fldCharType="begin" w:fldLock="1"/>
      </w:r>
      <w:r w:rsidR="0085653B">
        <w:instrText>ADDIN CSL_CITATION {"citationItems":[{"id":"ITEM-1","itemData":{"id":"ITEM-1","issued":{"date-parts":[["0"]]},"title":"Ozier Y, Steib A, Ickx B, Nathan N, Derlon A, Guay J, De Moerloose P: Hemostatic disorders during liver transplantation. European Journal of Anesthesiology. (2001); 18:208- 18.","type":"article-journal"},"uris":["http://www.mendeley.com/documents/?uuid=be9f811c-379c-4ffb-8961-a3988b7e2a18"]}],"mendeley":{"formattedCitation":"(11)","plainTextFormattedCitation":"(11)","previouslyFormattedCitation":"(11)"},"properties":{"noteIndex":0},"schema":"https://github.com/citation-style-language/schema/raw/master/csl-citation.json"}</w:instrText>
      </w:r>
      <w:r w:rsidRPr="005651CD">
        <w:fldChar w:fldCharType="separate"/>
      </w:r>
      <w:r w:rsidR="0085653B" w:rsidRPr="0085653B">
        <w:rPr>
          <w:noProof/>
        </w:rPr>
        <w:t>(11)</w:t>
      </w:r>
      <w:r w:rsidRPr="005651CD">
        <w:fldChar w:fldCharType="end"/>
      </w:r>
      <w:r w:rsidR="00A820ED">
        <w:t xml:space="preserve">. </w:t>
      </w:r>
      <w:r w:rsidR="00A820ED" w:rsidRPr="005E166A">
        <w:t>Plazma glikozu ve amonyak seviyelerinin önemli bir düzenleyicisi olarak, karaci</w:t>
      </w:r>
      <w:r w:rsidR="00A820ED" w:rsidRPr="005E166A">
        <w:rPr>
          <w:rFonts w:ascii="ArialMT" w:hAnsi="ArialMT"/>
        </w:rPr>
        <w:t>ğ</w:t>
      </w:r>
      <w:r w:rsidR="00A820ED" w:rsidRPr="005E166A">
        <w:t>er beynin optimal i</w:t>
      </w:r>
      <w:r w:rsidR="00A820ED" w:rsidRPr="005E166A">
        <w:rPr>
          <w:rFonts w:ascii="ArialMT" w:hAnsi="ArialMT"/>
        </w:rPr>
        <w:t>ş</w:t>
      </w:r>
      <w:r w:rsidR="00A820ED" w:rsidRPr="005E166A">
        <w:t>levi için gereklidir. Karaci</w:t>
      </w:r>
      <w:r w:rsidR="00A820ED" w:rsidRPr="005E166A">
        <w:rPr>
          <w:rFonts w:ascii="ArialMT" w:hAnsi="ArialMT"/>
        </w:rPr>
        <w:t>ğ</w:t>
      </w:r>
      <w:r w:rsidR="00A820ED" w:rsidRPr="005E166A">
        <w:t>er fonksiyon kaybı,</w:t>
      </w:r>
      <w:r w:rsidR="00A820ED">
        <w:t xml:space="preserve"> </w:t>
      </w:r>
      <w:r w:rsidR="00A820ED" w:rsidRPr="005E166A">
        <w:t>“hepatik ensefalopati” ve nihayetinde komaya yol açar.</w:t>
      </w:r>
    </w:p>
    <w:p w14:paraId="31CB24DD" w14:textId="50E7C4F8" w:rsidR="00015F83" w:rsidRDefault="00015F83" w:rsidP="00A67B74">
      <w:r w:rsidRPr="005651CD">
        <w:t>Karaciğer</w:t>
      </w:r>
      <w:r w:rsidR="002E054C">
        <w:t xml:space="preserve"> fonksiyonlarının</w:t>
      </w:r>
      <w:r w:rsidRPr="005651CD">
        <w:t xml:space="preserve"> değerlendirilmesi için çalışılan</w:t>
      </w:r>
      <w:r w:rsidR="00851D60" w:rsidRPr="005651CD">
        <w:t xml:space="preserve"> </w:t>
      </w:r>
      <w:r w:rsidR="00533812">
        <w:t>önemli</w:t>
      </w:r>
      <w:r w:rsidRPr="005651CD">
        <w:t xml:space="preserve"> testler vardır. </w:t>
      </w:r>
      <w:r w:rsidR="00533812">
        <w:t>En sık kullanılan k</w:t>
      </w:r>
      <w:r w:rsidRPr="005651CD">
        <w:t xml:space="preserve">araciğer </w:t>
      </w:r>
      <w:r w:rsidR="00C144E1" w:rsidRPr="005651CD">
        <w:t>testleri</w:t>
      </w:r>
      <w:r w:rsidR="00851D60" w:rsidRPr="005651CD">
        <w:t xml:space="preserve"> (KCFT)</w:t>
      </w:r>
      <w:r w:rsidR="00533812">
        <w:t xml:space="preserve"> arasında</w:t>
      </w:r>
      <w:r w:rsidR="00735D64" w:rsidRPr="005651CD">
        <w:t>;</w:t>
      </w:r>
      <w:r w:rsidR="00C144E1" w:rsidRPr="005651CD">
        <w:t xml:space="preserve"> </w:t>
      </w:r>
      <w:r w:rsidR="00DD456C" w:rsidRPr="005651CD">
        <w:t>aspartat</w:t>
      </w:r>
      <w:r w:rsidR="00DD456C">
        <w:t xml:space="preserve"> </w:t>
      </w:r>
      <w:r w:rsidR="00DD456C" w:rsidRPr="005651CD">
        <w:t xml:space="preserve">aminotransferaz (AST), </w:t>
      </w:r>
      <w:r w:rsidR="00DD456C">
        <w:t>a</w:t>
      </w:r>
      <w:r w:rsidR="00F11FD5" w:rsidRPr="005651CD">
        <w:t>lanin</w:t>
      </w:r>
      <w:r w:rsidR="00C144E1" w:rsidRPr="005651CD">
        <w:t xml:space="preserve"> aminotransferaz (ALT), </w:t>
      </w:r>
      <w:r w:rsidR="00DD456C" w:rsidRPr="005651CD">
        <w:t>gama glutamil transpeptidaz</w:t>
      </w:r>
      <w:r w:rsidR="00DD456C">
        <w:t xml:space="preserve"> </w:t>
      </w:r>
      <w:r w:rsidR="00DD456C" w:rsidRPr="005651CD">
        <w:t>(GGT),</w:t>
      </w:r>
      <w:r w:rsidR="00DD456C">
        <w:t xml:space="preserve"> </w:t>
      </w:r>
      <w:r w:rsidR="00C144E1" w:rsidRPr="005651CD">
        <w:t>alkalen fo</w:t>
      </w:r>
      <w:r w:rsidR="00DD456C">
        <w:t xml:space="preserve">sfataz (ALP), </w:t>
      </w:r>
      <w:r w:rsidR="00C144E1" w:rsidRPr="005651CD">
        <w:t>alb</w:t>
      </w:r>
      <w:r w:rsidR="00F11FD5" w:rsidRPr="005651CD">
        <w:t>ü</w:t>
      </w:r>
      <w:r w:rsidR="00DD456C">
        <w:t>min</w:t>
      </w:r>
      <w:r w:rsidR="00A21040" w:rsidRPr="005651CD">
        <w:t>,</w:t>
      </w:r>
      <w:r w:rsidR="00DD456C">
        <w:t xml:space="preserve"> </w:t>
      </w:r>
      <w:r w:rsidR="00DD456C" w:rsidRPr="005651CD">
        <w:t>bilirübin</w:t>
      </w:r>
      <w:r w:rsidR="00DD456C">
        <w:t>,</w:t>
      </w:r>
      <w:r w:rsidR="00A21040" w:rsidRPr="005651CD">
        <w:t xml:space="preserve"> </w:t>
      </w:r>
      <w:r w:rsidR="00A21040" w:rsidRPr="005651CD">
        <w:rPr>
          <w:rFonts w:ascii="ArialMT" w:hAnsi="ArialMT"/>
        </w:rPr>
        <w:t>laktat dehidrogenaz (LDH)</w:t>
      </w:r>
      <w:r w:rsidR="00C144E1" w:rsidRPr="005651CD">
        <w:t xml:space="preserve"> </w:t>
      </w:r>
      <w:r w:rsidR="00533812">
        <w:t>sayılabilir.</w:t>
      </w:r>
      <w:r w:rsidR="00C144E1" w:rsidRPr="005651CD">
        <w:t xml:space="preserve"> Bunlardan </w:t>
      </w:r>
      <w:r w:rsidR="00DD456C" w:rsidRPr="005651CD">
        <w:t>AST</w:t>
      </w:r>
      <w:r w:rsidR="00DD456C">
        <w:t xml:space="preserve">, </w:t>
      </w:r>
      <w:r w:rsidR="00C144E1" w:rsidRPr="005651CD">
        <w:t>ALT,</w:t>
      </w:r>
      <w:r w:rsidR="00DD456C">
        <w:t xml:space="preserve"> </w:t>
      </w:r>
      <w:r w:rsidR="00DD456C" w:rsidRPr="005651CD">
        <w:t>GGT</w:t>
      </w:r>
      <w:r w:rsidR="00DD456C">
        <w:t>,</w:t>
      </w:r>
      <w:r w:rsidR="00C144E1" w:rsidRPr="005651CD">
        <w:t xml:space="preserve"> ALP</w:t>
      </w:r>
      <w:r w:rsidR="00A21040" w:rsidRPr="005651CD">
        <w:t xml:space="preserve"> </w:t>
      </w:r>
      <w:r w:rsidR="00C144E1" w:rsidRPr="005651CD">
        <w:t>karaciğer</w:t>
      </w:r>
      <w:r w:rsidR="00735D64" w:rsidRPr="005651CD">
        <w:t xml:space="preserve"> hasarını gösteren</w:t>
      </w:r>
      <w:r w:rsidR="00851D60" w:rsidRPr="005651CD">
        <w:t xml:space="preserve"> enzimlerdir. Diğer</w:t>
      </w:r>
      <w:r w:rsidR="00DD456C">
        <w:t xml:space="preserve"> testler</w:t>
      </w:r>
      <w:r w:rsidR="00851D60" w:rsidRPr="005651CD">
        <w:t xml:space="preserve"> karaciğerin</w:t>
      </w:r>
      <w:r w:rsidR="00C144E1" w:rsidRPr="005651CD">
        <w:t xml:space="preserve"> </w:t>
      </w:r>
      <w:r w:rsidRPr="005651CD">
        <w:t>fonksiyonunu belirlemeye yarar.</w:t>
      </w:r>
      <w:r w:rsidR="00735D64" w:rsidRPr="005651CD">
        <w:t xml:space="preserve"> </w:t>
      </w:r>
    </w:p>
    <w:p w14:paraId="31CB24DE" w14:textId="06750758" w:rsidR="00FE7987" w:rsidRPr="005651CD" w:rsidRDefault="00C144E1" w:rsidP="00BD4BE8">
      <w:pPr>
        <w:rPr>
          <w:rStyle w:val="fontstyle21"/>
          <w:rFonts w:ascii="Times New Roman" w:hAnsi="Times New Roman"/>
          <w:color w:val="auto"/>
        </w:rPr>
      </w:pPr>
      <w:r w:rsidRPr="005651CD">
        <w:rPr>
          <w:rStyle w:val="fontstyle01"/>
          <w:rFonts w:ascii="Times New Roman" w:hAnsi="Times New Roman"/>
          <w:bCs w:val="0"/>
          <w:color w:val="auto"/>
        </w:rPr>
        <w:t>Aminotransferazlar (AST, ALT)</w:t>
      </w:r>
      <w:r w:rsidR="00CD7772" w:rsidRPr="005651CD">
        <w:rPr>
          <w:rStyle w:val="fontstyle01"/>
          <w:rFonts w:ascii="Times New Roman" w:hAnsi="Times New Roman"/>
          <w:bCs w:val="0"/>
          <w:color w:val="auto"/>
        </w:rPr>
        <w:t xml:space="preserve">: </w:t>
      </w:r>
      <w:r w:rsidR="00A67B74">
        <w:rPr>
          <w:rStyle w:val="fontstyle21"/>
          <w:rFonts w:ascii="Times New Roman" w:hAnsi="Times New Roman"/>
          <w:color w:val="auto"/>
        </w:rPr>
        <w:t xml:space="preserve">Karaciğer hepatosit hasarında </w:t>
      </w:r>
      <w:r w:rsidR="00A21040" w:rsidRPr="005651CD">
        <w:rPr>
          <w:rStyle w:val="fontstyle21"/>
          <w:rFonts w:ascii="Times New Roman" w:hAnsi="Times New Roman"/>
          <w:color w:val="auto"/>
        </w:rPr>
        <w:t>yükselirler</w:t>
      </w:r>
      <w:r w:rsidR="006315B2" w:rsidRPr="005651CD">
        <w:rPr>
          <w:rStyle w:val="fontstyle21"/>
          <w:rFonts w:ascii="Times New Roman" w:hAnsi="Times New Roman"/>
          <w:color w:val="auto"/>
        </w:rPr>
        <w:t>.</w:t>
      </w:r>
      <w:r w:rsidRPr="005651CD">
        <w:rPr>
          <w:rStyle w:val="fontstyle21"/>
          <w:rFonts w:ascii="Times New Roman" w:hAnsi="Times New Roman"/>
          <w:color w:val="auto"/>
        </w:rPr>
        <w:t xml:space="preserve"> </w:t>
      </w:r>
      <w:r w:rsidR="00A67B74">
        <w:rPr>
          <w:rStyle w:val="fontstyle21"/>
          <w:rFonts w:ascii="Times New Roman" w:hAnsi="Times New Roman"/>
          <w:color w:val="auto"/>
        </w:rPr>
        <w:t>O</w:t>
      </w:r>
      <w:r w:rsidRPr="005651CD">
        <w:rPr>
          <w:rStyle w:val="fontstyle21"/>
          <w:rFonts w:ascii="Times New Roman" w:hAnsi="Times New Roman"/>
          <w:color w:val="auto"/>
        </w:rPr>
        <w:t>rganizmada plazma gibi dağılım</w:t>
      </w:r>
      <w:r w:rsidR="006315B2" w:rsidRPr="005651CD">
        <w:rPr>
          <w:rStyle w:val="fontstyle21"/>
          <w:rFonts w:ascii="Times New Roman" w:hAnsi="Times New Roman"/>
          <w:color w:val="auto"/>
        </w:rPr>
        <w:t xml:space="preserve"> </w:t>
      </w:r>
      <w:r w:rsidRPr="005651CD">
        <w:rPr>
          <w:rStyle w:val="fontstyle21"/>
          <w:rFonts w:ascii="Times New Roman" w:hAnsi="Times New Roman"/>
          <w:color w:val="auto"/>
        </w:rPr>
        <w:t>göstererek interstisyel sıvılara geçer.</w:t>
      </w:r>
      <w:r w:rsidR="00A67B74">
        <w:rPr>
          <w:rStyle w:val="fontstyle21"/>
          <w:rFonts w:ascii="Times New Roman" w:hAnsi="Times New Roman"/>
          <w:color w:val="auto"/>
        </w:rPr>
        <w:t xml:space="preserve"> </w:t>
      </w:r>
      <w:r w:rsidR="00A67B74" w:rsidRPr="005651CD">
        <w:rPr>
          <w:rStyle w:val="fontstyle21"/>
          <w:rFonts w:ascii="Times New Roman" w:hAnsi="Times New Roman"/>
          <w:color w:val="auto"/>
        </w:rPr>
        <w:t xml:space="preserve">Transaminazların </w:t>
      </w:r>
      <w:r w:rsidR="00A67B74" w:rsidRPr="005651CD">
        <w:rPr>
          <w:rStyle w:val="fontstyle21"/>
          <w:rFonts w:ascii="Times New Roman" w:hAnsi="Times New Roman"/>
          <w:color w:val="auto"/>
        </w:rPr>
        <w:lastRenderedPageBreak/>
        <w:t xml:space="preserve">yükselmesi akut hücresel, mitokondriyal hasarı gösterir </w:t>
      </w:r>
      <w:r w:rsidR="00A67B74" w:rsidRPr="005651CD">
        <w:rPr>
          <w:rStyle w:val="fontstyle21"/>
          <w:rFonts w:ascii="Times New Roman" w:hAnsi="Times New Roman"/>
          <w:color w:val="auto"/>
        </w:rPr>
        <w:fldChar w:fldCharType="begin" w:fldLock="1"/>
      </w:r>
      <w:r w:rsidR="0085653B">
        <w:rPr>
          <w:rStyle w:val="fontstyle21"/>
          <w:rFonts w:ascii="Times New Roman" w:hAnsi="Times New Roman"/>
          <w:color w:val="auto"/>
        </w:rPr>
        <w:instrText>ADDIN CSL_CITATION {"citationItems":[{"id":"ITEM-1","itemData":{"URL":"https://europepmc.org/article/med/3541266","accessed":{"date-parts":[["2020","6","23"]]},"author":[{"dropping-particle":"","family":"FB","given":"Cerra","non-dropping-particle":"","parse-names":false,"suffix":""}],"id":"ITEM-1","issued":{"date-parts":[["0"]]},"title":"Hypermetabolism, organ failure, and metabolic support. Surgery 1987;101:1-14.","type":"webpage"},"uris":["http://www.mendeley.com/documents/?uuid=33ffe40c-1be4-384c-a37c-0979ee5881ee"]}],"mendeley":{"formattedCitation":"(12)","plainTextFormattedCitation":"(12)","previouslyFormattedCitation":"(12)"},"properties":{"noteIndex":0},"schema":"https://github.com/citation-style-language/schema/raw/master/csl-citation.json"}</w:instrText>
      </w:r>
      <w:r w:rsidR="00A67B74" w:rsidRPr="005651CD">
        <w:rPr>
          <w:rStyle w:val="fontstyle21"/>
          <w:rFonts w:ascii="Times New Roman" w:hAnsi="Times New Roman"/>
          <w:color w:val="auto"/>
        </w:rPr>
        <w:fldChar w:fldCharType="separate"/>
      </w:r>
      <w:r w:rsidR="0085653B" w:rsidRPr="0085653B">
        <w:rPr>
          <w:rStyle w:val="fontstyle21"/>
          <w:rFonts w:ascii="Times New Roman" w:hAnsi="Times New Roman"/>
          <w:noProof/>
          <w:color w:val="auto"/>
        </w:rPr>
        <w:t>(12)</w:t>
      </w:r>
      <w:r w:rsidR="00A67B74" w:rsidRPr="005651CD">
        <w:rPr>
          <w:rStyle w:val="fontstyle21"/>
          <w:rFonts w:ascii="Times New Roman" w:hAnsi="Times New Roman"/>
          <w:color w:val="auto"/>
        </w:rPr>
        <w:fldChar w:fldCharType="end"/>
      </w:r>
      <w:r w:rsidR="00A67B74" w:rsidRPr="005651CD">
        <w:rPr>
          <w:rStyle w:val="fontstyle21"/>
          <w:rFonts w:ascii="Times New Roman" w:hAnsi="Times New Roman"/>
          <w:color w:val="auto"/>
        </w:rPr>
        <w:t xml:space="preserve">. </w:t>
      </w:r>
      <w:r w:rsidRPr="005651CD">
        <w:rPr>
          <w:rStyle w:val="fontstyle21"/>
          <w:rFonts w:ascii="Times New Roman" w:hAnsi="Times New Roman"/>
          <w:color w:val="auto"/>
        </w:rPr>
        <w:t>Her ikisi</w:t>
      </w:r>
      <w:r w:rsidR="00A21040" w:rsidRPr="005651CD">
        <w:rPr>
          <w:rStyle w:val="fontstyle21"/>
          <w:rFonts w:ascii="Times New Roman" w:hAnsi="Times New Roman"/>
          <w:color w:val="auto"/>
        </w:rPr>
        <w:t xml:space="preserve"> </w:t>
      </w:r>
      <w:r w:rsidRPr="005651CD">
        <w:rPr>
          <w:rStyle w:val="fontstyle21"/>
          <w:rFonts w:ascii="Times New Roman" w:hAnsi="Times New Roman"/>
          <w:color w:val="auto"/>
        </w:rPr>
        <w:t>de KC sinüzoidal hücreleri ve diğer</w:t>
      </w:r>
      <w:r w:rsidR="006315B2" w:rsidRPr="005651CD">
        <w:rPr>
          <w:rStyle w:val="fontstyle21"/>
          <w:rFonts w:ascii="Times New Roman" w:hAnsi="Times New Roman"/>
          <w:color w:val="auto"/>
        </w:rPr>
        <w:t xml:space="preserve"> </w:t>
      </w:r>
      <w:r w:rsidRPr="005651CD">
        <w:rPr>
          <w:rStyle w:val="fontstyle21"/>
          <w:rFonts w:ascii="Times New Roman" w:hAnsi="Times New Roman"/>
          <w:color w:val="auto"/>
        </w:rPr>
        <w:t>retiküloendotelyal hücreler</w:t>
      </w:r>
      <w:r w:rsidR="00A67B74">
        <w:rPr>
          <w:rStyle w:val="fontstyle21"/>
          <w:rFonts w:ascii="Times New Roman" w:hAnsi="Times New Roman"/>
          <w:color w:val="auto"/>
        </w:rPr>
        <w:t>in</w:t>
      </w:r>
      <w:r w:rsidRPr="005651CD">
        <w:rPr>
          <w:rStyle w:val="fontstyle21"/>
          <w:rFonts w:ascii="Times New Roman" w:hAnsi="Times New Roman"/>
          <w:color w:val="auto"/>
        </w:rPr>
        <w:t xml:space="preserve">ce katabolize edilir. </w:t>
      </w:r>
      <w:r w:rsidR="00A21040" w:rsidRPr="005651CD">
        <w:rPr>
          <w:rFonts w:ascii="ArialMT" w:hAnsi="ArialMT"/>
        </w:rPr>
        <w:t>Normal AST ve ALT değerleri 35-45 U/L’dir (2).</w:t>
      </w:r>
      <w:r w:rsidR="00A21040" w:rsidRPr="005651CD">
        <w:rPr>
          <w:rFonts w:ascii="Arial-BoldMT" w:hAnsi="Arial-BoldMT"/>
          <w:bCs/>
        </w:rPr>
        <w:t xml:space="preserve"> </w:t>
      </w:r>
      <w:r w:rsidR="00A21040" w:rsidRPr="005651CD">
        <w:rPr>
          <w:rFonts w:ascii="ArialMT" w:hAnsi="ArialMT"/>
        </w:rPr>
        <w:t>AST'nin yarı ömrü 17±5 s</w:t>
      </w:r>
      <w:r w:rsidR="005651CD" w:rsidRPr="005651CD">
        <w:rPr>
          <w:rFonts w:ascii="ArialMT" w:hAnsi="ArialMT"/>
        </w:rPr>
        <w:t xml:space="preserve">aat, ALT'nin ömrü 47±10 saattir. </w:t>
      </w:r>
      <w:r w:rsidR="00A67B74">
        <w:rPr>
          <w:rFonts w:ascii="ArialMT" w:hAnsi="ArialMT"/>
        </w:rPr>
        <w:t xml:space="preserve"> </w:t>
      </w:r>
      <w:r w:rsidR="00A67B74" w:rsidRPr="005651CD">
        <w:rPr>
          <w:rStyle w:val="fontstyle21"/>
          <w:rFonts w:ascii="Times New Roman" w:hAnsi="Times New Roman"/>
          <w:color w:val="auto"/>
        </w:rPr>
        <w:t xml:space="preserve">Bu enzimler </w:t>
      </w:r>
      <w:r w:rsidR="00DD456C">
        <w:rPr>
          <w:rStyle w:val="fontstyle21"/>
          <w:rFonts w:ascii="Times New Roman" w:hAnsi="Times New Roman"/>
          <w:color w:val="auto"/>
        </w:rPr>
        <w:t>yükseldikten</w:t>
      </w:r>
      <w:r w:rsidR="00A67B74" w:rsidRPr="005651CD">
        <w:rPr>
          <w:rStyle w:val="fontstyle21"/>
          <w:rFonts w:ascii="Times New Roman" w:hAnsi="Times New Roman"/>
          <w:color w:val="auto"/>
        </w:rPr>
        <w:t xml:space="preserve"> birkaç gün </w:t>
      </w:r>
      <w:r w:rsidR="00DD456C">
        <w:rPr>
          <w:rStyle w:val="fontstyle21"/>
          <w:rFonts w:ascii="Times New Roman" w:hAnsi="Times New Roman"/>
          <w:color w:val="auto"/>
        </w:rPr>
        <w:t xml:space="preserve">sonra </w:t>
      </w:r>
      <w:r w:rsidR="00A67B74" w:rsidRPr="005651CD">
        <w:rPr>
          <w:rStyle w:val="fontstyle21"/>
          <w:rFonts w:ascii="Times New Roman" w:hAnsi="Times New Roman"/>
          <w:color w:val="auto"/>
        </w:rPr>
        <w:t>normale döner</w:t>
      </w:r>
      <w:r w:rsidR="00DD456C">
        <w:rPr>
          <w:rStyle w:val="fontstyle21"/>
          <w:rFonts w:ascii="Times New Roman" w:hAnsi="Times New Roman"/>
          <w:color w:val="auto"/>
        </w:rPr>
        <w:t>ler</w:t>
      </w:r>
      <w:r w:rsidR="00BD4BE8">
        <w:rPr>
          <w:rStyle w:val="fontstyle21"/>
          <w:rFonts w:ascii="Times New Roman" w:hAnsi="Times New Roman"/>
          <w:color w:val="auto"/>
        </w:rPr>
        <w:t xml:space="preserve">. </w:t>
      </w:r>
      <w:r w:rsidR="00A67B74">
        <w:rPr>
          <w:rFonts w:ascii="ArialMT" w:hAnsi="ArialMT"/>
        </w:rPr>
        <w:t xml:space="preserve">ALT, KC’e daha spesifiktir. AST, başka dokularda da üretilir. </w:t>
      </w:r>
    </w:p>
    <w:p w14:paraId="31CB24DF" w14:textId="1B2A14DA" w:rsidR="00C850FB" w:rsidRDefault="00C850FB" w:rsidP="00A21040">
      <w:r w:rsidRPr="00A21040">
        <w:rPr>
          <w:b/>
        </w:rPr>
        <w:t>Laktat Dehidrogenaz</w:t>
      </w:r>
      <w:r w:rsidR="00A21040" w:rsidRPr="00A21040">
        <w:rPr>
          <w:b/>
        </w:rPr>
        <w:t xml:space="preserve"> (LDH):</w:t>
      </w:r>
      <w:r w:rsidR="00A21040">
        <w:t xml:space="preserve"> A</w:t>
      </w:r>
      <w:r w:rsidR="00A21040" w:rsidRPr="00A21040">
        <w:t xml:space="preserve">rtmış </w:t>
      </w:r>
      <w:r w:rsidR="00A21040">
        <w:t>LDH</w:t>
      </w:r>
      <w:r w:rsidRPr="00A21040">
        <w:t xml:space="preserve"> seviyeleri</w:t>
      </w:r>
      <w:r w:rsidR="00A21040">
        <w:t>,</w:t>
      </w:r>
      <w:r w:rsidRPr="00A21040">
        <w:t xml:space="preserve"> akut ya da kronik</w:t>
      </w:r>
      <w:r w:rsidR="00A21040" w:rsidRPr="00A21040">
        <w:t xml:space="preserve"> </w:t>
      </w:r>
      <w:r w:rsidRPr="00A21040">
        <w:t>karaciğer hasarını gösterebilir.</w:t>
      </w:r>
      <w:r w:rsidR="008A5571">
        <w:t xml:space="preserve"> S</w:t>
      </w:r>
      <w:r w:rsidR="00B8687E" w:rsidRPr="00B8687E">
        <w:t>erum aminotransferazlar kadar duyarlı değildir</w:t>
      </w:r>
      <w:r w:rsidR="00B8687E">
        <w:t xml:space="preserve">. </w:t>
      </w:r>
      <w:r w:rsidRPr="00A21040">
        <w:t>Masif fakat geçici bir yükseliş iskemik hepatiti</w:t>
      </w:r>
      <w:r w:rsidR="00A21040" w:rsidRPr="00A21040">
        <w:t xml:space="preserve"> </w:t>
      </w:r>
      <w:r w:rsidR="005F5767">
        <w:t>veya KC hasarına eşlik eden</w:t>
      </w:r>
      <w:r w:rsidR="005651CD">
        <w:t xml:space="preserve"> hemolizi gösteri</w:t>
      </w:r>
      <w:r w:rsidR="005651CD" w:rsidRPr="005651CD">
        <w:t>r</w:t>
      </w:r>
      <w:r w:rsidRPr="005651CD">
        <w:t>.</w:t>
      </w:r>
      <w:r w:rsidR="00491E8F" w:rsidRPr="005651CD">
        <w:rPr>
          <w:rFonts w:ascii="Arial-BoldMT" w:hAnsi="Arial-BoldMT"/>
          <w:bCs/>
        </w:rPr>
        <w:t xml:space="preserve"> </w:t>
      </w:r>
    </w:p>
    <w:p w14:paraId="31CB24E3" w14:textId="0BBF7F2A" w:rsidR="00C850FB" w:rsidRDefault="00C850FB" w:rsidP="007D3AAB">
      <w:pPr>
        <w:rPr>
          <w:rFonts w:ascii="ArialMT" w:hAnsi="ArialMT"/>
          <w:color w:val="000000"/>
          <w:szCs w:val="24"/>
        </w:rPr>
      </w:pPr>
      <w:r w:rsidRPr="007D3AAB">
        <w:rPr>
          <w:b/>
        </w:rPr>
        <w:t>Alkalen Fosfataz</w:t>
      </w:r>
      <w:r w:rsidR="00D85293">
        <w:rPr>
          <w:b/>
        </w:rPr>
        <w:t xml:space="preserve"> (ALP):</w:t>
      </w:r>
      <w:r w:rsidR="007D3AAB">
        <w:rPr>
          <w:rFonts w:ascii="ArialMT" w:hAnsi="ArialMT"/>
          <w:color w:val="000000"/>
          <w:szCs w:val="24"/>
        </w:rPr>
        <w:t xml:space="preserve"> </w:t>
      </w:r>
      <w:r w:rsidR="00D85293">
        <w:rPr>
          <w:rFonts w:ascii="ArialMT" w:hAnsi="ArialMT"/>
          <w:color w:val="000000"/>
          <w:szCs w:val="24"/>
        </w:rPr>
        <w:t>Akut hepatit, maligniteler</w:t>
      </w:r>
      <w:r w:rsidRPr="00C850FB">
        <w:rPr>
          <w:rFonts w:ascii="ArialMT" w:hAnsi="ArialMT"/>
          <w:color w:val="000000"/>
          <w:szCs w:val="24"/>
        </w:rPr>
        <w:t xml:space="preserve"> ve</w:t>
      </w:r>
      <w:r w:rsidR="007D3AAB">
        <w:rPr>
          <w:rFonts w:ascii="ArialMT" w:hAnsi="ArialMT"/>
          <w:color w:val="000000"/>
          <w:szCs w:val="24"/>
        </w:rPr>
        <w:t xml:space="preserve"> </w:t>
      </w:r>
      <w:r w:rsidRPr="00C850FB">
        <w:rPr>
          <w:rFonts w:ascii="ArialMT" w:hAnsi="ArialMT"/>
          <w:color w:val="000000"/>
          <w:szCs w:val="24"/>
        </w:rPr>
        <w:t xml:space="preserve">kolestatik hastalıklar gibi </w:t>
      </w:r>
      <w:r w:rsidR="00D85293">
        <w:rPr>
          <w:rFonts w:ascii="ArialMT" w:hAnsi="ArialMT"/>
          <w:color w:val="000000"/>
          <w:szCs w:val="24"/>
        </w:rPr>
        <w:t xml:space="preserve">safra yollarının </w:t>
      </w:r>
      <w:r w:rsidRPr="00C850FB">
        <w:rPr>
          <w:rFonts w:ascii="ArialMT" w:hAnsi="ArialMT"/>
          <w:color w:val="000000"/>
          <w:szCs w:val="24"/>
        </w:rPr>
        <w:t>ve KC hastalıkların</w:t>
      </w:r>
      <w:r w:rsidR="00D85293">
        <w:rPr>
          <w:rFonts w:ascii="ArialMT" w:hAnsi="ArialMT"/>
          <w:color w:val="000000"/>
          <w:szCs w:val="24"/>
        </w:rPr>
        <w:t>ın</w:t>
      </w:r>
      <w:r w:rsidRPr="00C850FB">
        <w:rPr>
          <w:rFonts w:ascii="ArialMT" w:hAnsi="ArialMT"/>
          <w:color w:val="000000"/>
          <w:szCs w:val="24"/>
        </w:rPr>
        <w:t xml:space="preserve"> yararlı bir takip</w:t>
      </w:r>
      <w:r w:rsidR="007D3AAB">
        <w:rPr>
          <w:rFonts w:ascii="ArialMT" w:hAnsi="ArialMT"/>
          <w:color w:val="000000"/>
          <w:szCs w:val="24"/>
        </w:rPr>
        <w:t xml:space="preserve"> </w:t>
      </w:r>
      <w:r w:rsidRPr="00C850FB">
        <w:rPr>
          <w:rFonts w:ascii="ArialMT" w:hAnsi="ArialMT"/>
          <w:color w:val="000000"/>
          <w:szCs w:val="24"/>
        </w:rPr>
        <w:t>testidir</w:t>
      </w:r>
      <w:r w:rsidR="006E19F5">
        <w:rPr>
          <w:rFonts w:ascii="ArialMT" w:hAnsi="ArialMT"/>
          <w:color w:val="000000"/>
          <w:szCs w:val="24"/>
        </w:rPr>
        <w:t xml:space="preserve"> </w:t>
      </w:r>
      <w:r w:rsidR="006E19F5">
        <w:rPr>
          <w:rFonts w:ascii="ArialMT" w:hAnsi="ArialMT"/>
          <w:color w:val="000000"/>
          <w:szCs w:val="24"/>
        </w:rPr>
        <w:fldChar w:fldCharType="begin" w:fldLock="1"/>
      </w:r>
      <w:r w:rsidR="0085653B">
        <w:rPr>
          <w:rFonts w:ascii="ArialMT" w:hAnsi="ArialMT"/>
          <w:color w:val="000000"/>
          <w:szCs w:val="24"/>
        </w:rPr>
        <w:instrText>ADDIN CSL_CITATION {"citationItems":[{"id":"ITEM-1","itemData":{"id":"ITEM-1","issued":{"date-parts":[["0"]]},"title":"Miller RD. Organ Transplantasyonu Ayd</w:instrText>
      </w:r>
      <w:r w:rsidR="0085653B">
        <w:rPr>
          <w:rFonts w:ascii="ArialMT" w:hAnsi="ArialMT" w:hint="eastAsia"/>
          <w:color w:val="000000"/>
          <w:szCs w:val="24"/>
        </w:rPr>
        <w:instrText>ı</w:instrText>
      </w:r>
      <w:r w:rsidR="0085653B">
        <w:rPr>
          <w:rFonts w:ascii="ArialMT" w:hAnsi="ArialMT"/>
          <w:color w:val="000000"/>
          <w:szCs w:val="24"/>
        </w:rPr>
        <w:instrText xml:space="preserve">n D, </w:instrText>
      </w:r>
      <w:r w:rsidR="0085653B">
        <w:rPr>
          <w:rFonts w:ascii="ArialMT" w:hAnsi="ArialMT" w:hint="eastAsia"/>
          <w:color w:val="000000"/>
          <w:szCs w:val="24"/>
        </w:rPr>
        <w:instrText>ç</w:instrText>
      </w:r>
      <w:r w:rsidR="0085653B">
        <w:rPr>
          <w:rFonts w:ascii="ArialMT" w:hAnsi="ArialMT"/>
          <w:color w:val="000000"/>
          <w:szCs w:val="24"/>
        </w:rPr>
        <w:instrText>ev. Edit</w:instrText>
      </w:r>
      <w:r w:rsidR="0085653B">
        <w:rPr>
          <w:rFonts w:ascii="ArialMT" w:hAnsi="ArialMT" w:hint="eastAsia"/>
          <w:color w:val="000000"/>
          <w:szCs w:val="24"/>
        </w:rPr>
        <w:instrText>ö</w:instrText>
      </w:r>
      <w:r w:rsidR="0085653B">
        <w:rPr>
          <w:rFonts w:ascii="ArialMT" w:hAnsi="ArialMT"/>
          <w:color w:val="000000"/>
          <w:szCs w:val="24"/>
        </w:rPr>
        <w:instrText>r</w:instrText>
      </w:r>
      <w:r w:rsidR="0085653B">
        <w:rPr>
          <w:rFonts w:ascii="ArialMT" w:hAnsi="ArialMT" w:hint="eastAsia"/>
          <w:color w:val="000000"/>
          <w:szCs w:val="24"/>
        </w:rPr>
        <w:instrText>ü</w:instrText>
      </w:r>
      <w:r w:rsidR="0085653B">
        <w:rPr>
          <w:rFonts w:ascii="ArialMT" w:hAnsi="ArialMT"/>
          <w:color w:val="000000"/>
          <w:szCs w:val="24"/>
        </w:rPr>
        <w:instrText>. Miller Anestezi 6","type":"article-journal"},"uris":["http://www.mendeley.com/documents/?uuid=2dbdd925-9be5-4003-97d5-84a7d29edc82"]}],"mendeley":{"formattedCitation":"(13)","plainTextFormattedCitation":"(13)","previouslyFormattedCitation":"(13)"},"properties":{"noteIndex":0},"schema":"https://github.com/citation-style-language/schema/raw/master/csl-citation.json"}</w:instrText>
      </w:r>
      <w:r w:rsidR="006E19F5">
        <w:rPr>
          <w:rFonts w:ascii="ArialMT" w:hAnsi="ArialMT"/>
          <w:color w:val="000000"/>
          <w:szCs w:val="24"/>
        </w:rPr>
        <w:fldChar w:fldCharType="separate"/>
      </w:r>
      <w:r w:rsidR="0085653B" w:rsidRPr="0085653B">
        <w:rPr>
          <w:rFonts w:ascii="ArialMT" w:hAnsi="ArialMT"/>
          <w:noProof/>
          <w:color w:val="000000"/>
          <w:szCs w:val="24"/>
        </w:rPr>
        <w:t>(13)</w:t>
      </w:r>
      <w:r w:rsidR="006E19F5">
        <w:rPr>
          <w:rFonts w:ascii="ArialMT" w:hAnsi="ArialMT"/>
          <w:color w:val="000000"/>
          <w:szCs w:val="24"/>
        </w:rPr>
        <w:fldChar w:fldCharType="end"/>
      </w:r>
      <w:r w:rsidRPr="00C850FB">
        <w:rPr>
          <w:rFonts w:ascii="ArialMT" w:hAnsi="ArialMT"/>
          <w:color w:val="000000"/>
          <w:szCs w:val="24"/>
        </w:rPr>
        <w:t>. Normal serum</w:t>
      </w:r>
      <w:r w:rsidR="007D3AAB">
        <w:rPr>
          <w:rFonts w:ascii="ArialMT" w:hAnsi="ArialMT"/>
          <w:color w:val="000000"/>
          <w:szCs w:val="24"/>
        </w:rPr>
        <w:t xml:space="preserve"> aktivitesi 25-85 IU/L’ dir ve y</w:t>
      </w:r>
      <w:r w:rsidRPr="00C850FB">
        <w:rPr>
          <w:rFonts w:ascii="ArialMT" w:hAnsi="ArialMT"/>
          <w:color w:val="000000"/>
          <w:szCs w:val="24"/>
        </w:rPr>
        <w:t>arı ömrü 7 gündür</w:t>
      </w:r>
      <w:r w:rsidR="006E19F5">
        <w:rPr>
          <w:rFonts w:ascii="ArialMT" w:hAnsi="ArialMT"/>
          <w:color w:val="000000"/>
          <w:szCs w:val="24"/>
        </w:rPr>
        <w:t xml:space="preserve"> </w:t>
      </w:r>
      <w:r w:rsidR="006E19F5">
        <w:rPr>
          <w:rFonts w:ascii="ArialMT" w:hAnsi="ArialMT"/>
          <w:color w:val="000000"/>
          <w:szCs w:val="24"/>
        </w:rPr>
        <w:fldChar w:fldCharType="begin" w:fldLock="1"/>
      </w:r>
      <w:r w:rsidR="0085653B">
        <w:rPr>
          <w:rFonts w:ascii="ArialMT" w:hAnsi="ArialMT"/>
          <w:color w:val="000000"/>
          <w:szCs w:val="24"/>
        </w:rPr>
        <w:instrText xml:space="preserve">ADDIN CSL_CITATION {"citationItems":[{"id":"ITEM-1","itemData":{"id":"ITEM-1","issued":{"date-parts":[["0"]]},"title":"Hepatik Fizyoloji ve Anestezi Lange Klinik Anesteziyoloji </w:instrText>
      </w:r>
      <w:r w:rsidR="0085653B">
        <w:rPr>
          <w:rFonts w:ascii="ArialMT" w:hAnsi="ArialMT" w:hint="eastAsia"/>
          <w:color w:val="000000"/>
          <w:szCs w:val="24"/>
        </w:rPr>
        <w:instrText>Ç</w:instrText>
      </w:r>
      <w:r w:rsidR="0085653B">
        <w:rPr>
          <w:rFonts w:ascii="ArialMT" w:hAnsi="ArialMT"/>
          <w:color w:val="000000"/>
          <w:szCs w:val="24"/>
        </w:rPr>
        <w:instrText>.Ed. Tulunay M, Cuhruk H. 773-88","type":"article-journal"},"uris":["http://www.mendeley.com/documents/?uuid=e3029eaa-6310-4956-bdec-c7797cf12b31"]}],"mendeley":{"formattedCitation":"(14)","plainTextFormattedCitation":"(14)","previouslyFormattedCitation":"(14)"},"properties":{"noteIndex":0},"schema":"https://github.com/citation-style-language/schema/raw/master/csl-citation.json"}</w:instrText>
      </w:r>
      <w:r w:rsidR="006E19F5">
        <w:rPr>
          <w:rFonts w:ascii="ArialMT" w:hAnsi="ArialMT"/>
          <w:color w:val="000000"/>
          <w:szCs w:val="24"/>
        </w:rPr>
        <w:fldChar w:fldCharType="separate"/>
      </w:r>
      <w:r w:rsidR="0085653B" w:rsidRPr="0085653B">
        <w:rPr>
          <w:rFonts w:ascii="ArialMT" w:hAnsi="ArialMT"/>
          <w:noProof/>
          <w:color w:val="000000"/>
          <w:szCs w:val="24"/>
        </w:rPr>
        <w:t>(14)</w:t>
      </w:r>
      <w:r w:rsidR="006E19F5">
        <w:rPr>
          <w:rFonts w:ascii="ArialMT" w:hAnsi="ArialMT"/>
          <w:color w:val="000000"/>
          <w:szCs w:val="24"/>
        </w:rPr>
        <w:fldChar w:fldCharType="end"/>
      </w:r>
      <w:r w:rsidRPr="00C850FB">
        <w:rPr>
          <w:rFonts w:ascii="ArialMT" w:hAnsi="ArialMT"/>
          <w:color w:val="000000"/>
          <w:szCs w:val="24"/>
        </w:rPr>
        <w:t>.</w:t>
      </w:r>
      <w:r w:rsidR="00491E8F" w:rsidRPr="00491E8F">
        <w:rPr>
          <w:rFonts w:ascii="Arial-BoldMT" w:hAnsi="Arial-BoldMT"/>
          <w:b/>
          <w:bCs/>
          <w:color w:val="FF0000"/>
          <w:szCs w:val="24"/>
        </w:rPr>
        <w:t xml:space="preserve"> </w:t>
      </w:r>
    </w:p>
    <w:p w14:paraId="31CB24E4" w14:textId="77777777" w:rsidR="00C850FB" w:rsidRDefault="00C850FB" w:rsidP="007D3AAB">
      <w:r w:rsidRPr="007D3AAB">
        <w:rPr>
          <w:b/>
        </w:rPr>
        <w:t>Gama-Glutamil Transpeptidaz</w:t>
      </w:r>
      <w:r w:rsidR="007D3AAB">
        <w:rPr>
          <w:b/>
        </w:rPr>
        <w:t xml:space="preserve"> (GGT)</w:t>
      </w:r>
      <w:r w:rsidR="007D3AAB" w:rsidRPr="007D3AAB">
        <w:rPr>
          <w:rFonts w:ascii="Arial-BoldMT" w:hAnsi="Arial-BoldMT"/>
          <w:b/>
          <w:bCs/>
        </w:rPr>
        <w:t>:</w:t>
      </w:r>
      <w:r w:rsidR="007D3AAB" w:rsidRPr="007D3AAB">
        <w:rPr>
          <w:rFonts w:ascii="Arial-BoldMT" w:hAnsi="Arial-BoldMT"/>
          <w:bCs/>
        </w:rPr>
        <w:t xml:space="preserve"> </w:t>
      </w:r>
      <w:r w:rsidRPr="00C850FB">
        <w:t>ALP’deki yükselişin hepatik</w:t>
      </w:r>
      <w:r w:rsidR="007D3AAB">
        <w:t>-</w:t>
      </w:r>
      <w:r w:rsidRPr="00C850FB">
        <w:t>ekstrahepatik ayrımını yapmada</w:t>
      </w:r>
      <w:r w:rsidR="007D3AAB">
        <w:t xml:space="preserve"> kullanılırlar. </w:t>
      </w:r>
      <w:r w:rsidRPr="00C850FB">
        <w:t>ALP ile birlikte artmış</w:t>
      </w:r>
      <w:r w:rsidR="007D3AAB">
        <w:t xml:space="preserve"> </w:t>
      </w:r>
      <w:r w:rsidRPr="00C850FB">
        <w:t xml:space="preserve">düzeyleri hepatobilier </w:t>
      </w:r>
      <w:r w:rsidR="00323CD2">
        <w:t>sistem</w:t>
      </w:r>
      <w:r w:rsidRPr="00C850FB">
        <w:t xml:space="preserve"> patolojilerini </w:t>
      </w:r>
      <w:r w:rsidR="002208E5" w:rsidRPr="00C850FB">
        <w:t>gösterir.</w:t>
      </w:r>
      <w:r w:rsidR="00491E8F" w:rsidRPr="00491E8F">
        <w:rPr>
          <w:rFonts w:ascii="Arial-BoldMT" w:hAnsi="Arial-BoldMT"/>
          <w:b/>
          <w:bCs/>
          <w:color w:val="FF0000"/>
        </w:rPr>
        <w:t xml:space="preserve"> </w:t>
      </w:r>
    </w:p>
    <w:p w14:paraId="31CB24E5" w14:textId="0FF8178F" w:rsidR="007616A8" w:rsidRDefault="00C850FB" w:rsidP="002208E5">
      <w:r w:rsidRPr="00A140BF">
        <w:rPr>
          <w:b/>
        </w:rPr>
        <w:t>Serum Bilirübini</w:t>
      </w:r>
      <w:r w:rsidR="00A140BF">
        <w:rPr>
          <w:b/>
        </w:rPr>
        <w:t xml:space="preserve">: </w:t>
      </w:r>
      <w:r w:rsidR="007D0E2B">
        <w:t>H</w:t>
      </w:r>
      <w:r w:rsidR="00533812" w:rsidRPr="00533812">
        <w:t>emoglobin metabolizmasının son ürünü olan bilirubin</w:t>
      </w:r>
      <w:r w:rsidR="00533812">
        <w:rPr>
          <w:b/>
        </w:rPr>
        <w:t xml:space="preserve"> </w:t>
      </w:r>
      <w:r w:rsidRPr="00C850FB">
        <w:t>KC’</w:t>
      </w:r>
      <w:r w:rsidR="00D85293">
        <w:t>n</w:t>
      </w:r>
      <w:r w:rsidRPr="00C850FB">
        <w:t xml:space="preserve">in </w:t>
      </w:r>
      <w:r w:rsidR="00A140BF">
        <w:t>boşaltım</w:t>
      </w:r>
      <w:r w:rsidRPr="00C850FB">
        <w:t xml:space="preserve"> fonksiyonunu ölçmede en yararlı</w:t>
      </w:r>
      <w:r w:rsidR="00A140BF">
        <w:t xml:space="preserve"> </w:t>
      </w:r>
      <w:r w:rsidRPr="00C850FB">
        <w:t xml:space="preserve">testtir </w:t>
      </w:r>
      <w:r w:rsidR="002208E5">
        <w:fldChar w:fldCharType="begin" w:fldLock="1"/>
      </w:r>
      <w:r w:rsidR="0085653B">
        <w:instrText>ADDIN CSL_CITATION {"citationItems":[{"id":"ITEM-1","itemData":{"id":"ITEM-1","issued":{"date-parts":[["0"]]},"title":"Miller RD. Organ Transplantasyonu Aydın D, çev. Editörü. Miller Anestezi 6","type":"article-journal"},"uris":["http://www.mendeley.com/documents/?uuid=2dbdd925-9be5-4003-97d5-84a7d29edc82"]}],"mendeley":{"formattedCitation":"(13)","plainTextFormattedCitation":"(13)","previouslyFormattedCitation":"(13)"},"properties":{"noteIndex":0},"schema":"https://github.com/citation-style-language/schema/raw/master/csl-citation.json"}</w:instrText>
      </w:r>
      <w:r w:rsidR="002208E5">
        <w:fldChar w:fldCharType="separate"/>
      </w:r>
      <w:r w:rsidR="0085653B" w:rsidRPr="0085653B">
        <w:rPr>
          <w:noProof/>
        </w:rPr>
        <w:t>(13)</w:t>
      </w:r>
      <w:r w:rsidR="002208E5">
        <w:fldChar w:fldCharType="end"/>
      </w:r>
      <w:r w:rsidRPr="00C850FB">
        <w:t xml:space="preserve">. Normal total serum bilirübin düzeyi </w:t>
      </w:r>
      <w:r w:rsidR="00F11FD5" w:rsidRPr="00C850FB">
        <w:t>1,5</w:t>
      </w:r>
      <w:r w:rsidRPr="00C850FB">
        <w:t xml:space="preserve"> </w:t>
      </w:r>
      <w:r w:rsidR="00742672">
        <w:t>mg/dl</w:t>
      </w:r>
      <w:r w:rsidRPr="00C850FB">
        <w:t>’den azdır</w:t>
      </w:r>
      <w:r w:rsidR="00334626">
        <w:t xml:space="preserve"> ancak</w:t>
      </w:r>
      <w:r w:rsidRPr="00C850FB">
        <w:t xml:space="preserve"> 3 </w:t>
      </w:r>
      <w:r w:rsidR="00742672">
        <w:t>mg/dl</w:t>
      </w:r>
      <w:r w:rsidRPr="00C850FB">
        <w:t>’nin üzerine çıktığında</w:t>
      </w:r>
      <w:r w:rsidR="002208E5">
        <w:t xml:space="preserve"> klinik olarak sarılık gözlenir</w:t>
      </w:r>
      <w:r w:rsidRPr="00C850FB">
        <w:t>. Direkt hiperbilirübinemi</w:t>
      </w:r>
      <w:r w:rsidR="002208E5">
        <w:t>;</w:t>
      </w:r>
      <w:r w:rsidRPr="00C850FB">
        <w:t xml:space="preserve"> </w:t>
      </w:r>
      <w:r w:rsidR="00F11FD5" w:rsidRPr="00C850FB">
        <w:t>hepatosellüler</w:t>
      </w:r>
      <w:r w:rsidR="002208E5">
        <w:t xml:space="preserve"> </w:t>
      </w:r>
      <w:r w:rsidRPr="00C850FB">
        <w:t>disfonksiyon, intrahepatik kolestaz veya ekstrahepatik biliyer tıkanıklığı</w:t>
      </w:r>
      <w:r w:rsidR="00334626">
        <w:t xml:space="preserve"> </w:t>
      </w:r>
      <w:r w:rsidRPr="00C850FB">
        <w:t>gösterirken, indirekt hiperbilirübinemi ise hemoliz veya bilirübin konjugasyon defektlerinde gözle</w:t>
      </w:r>
      <w:r w:rsidR="002208E5">
        <w:t>nir</w:t>
      </w:r>
      <w:r w:rsidR="006E19F5">
        <w:t xml:space="preserve"> </w:t>
      </w:r>
      <w:r w:rsidR="006E19F5">
        <w:fldChar w:fldCharType="begin" w:fldLock="1"/>
      </w:r>
      <w:r w:rsidR="0085653B">
        <w:instrText>ADDIN CSL_CITATION {"citationItems":[{"id":"ITEM-1","itemData":{"id":"ITEM-1","issued":{"date-parts":[["0"]]},"title":"Hepatik Fizyoloji ve Anestezi Lange Klinik Anesteziyoloji Ç.Ed. Tulunay M, Cuhruk H. 773-88","type":"article-journal"},"uris":["http://www.mendeley.com/documents/?uuid=e3029eaa-6310-4956-bdec-c7797cf12b31"]}],"mendeley":{"formattedCitation":"(14)","plainTextFormattedCitation":"(14)","previouslyFormattedCitation":"(14)"},"properties":{"noteIndex":0},"schema":"https://github.com/citation-style-language/schema/raw/master/csl-citation.json"}</w:instrText>
      </w:r>
      <w:r w:rsidR="006E19F5">
        <w:fldChar w:fldCharType="separate"/>
      </w:r>
      <w:r w:rsidR="0085653B" w:rsidRPr="0085653B">
        <w:rPr>
          <w:noProof/>
        </w:rPr>
        <w:t>(14)</w:t>
      </w:r>
      <w:r w:rsidR="006E19F5">
        <w:fldChar w:fldCharType="end"/>
      </w:r>
      <w:r w:rsidR="00A140BF">
        <w:t>.</w:t>
      </w:r>
    </w:p>
    <w:p w14:paraId="5FE0E36A" w14:textId="0B58717E" w:rsidR="00533812" w:rsidRPr="00533812" w:rsidRDefault="00533812" w:rsidP="00206A9A">
      <w:pPr>
        <w:rPr>
          <w:b/>
        </w:rPr>
      </w:pPr>
      <w:r w:rsidRPr="00206A9A">
        <w:rPr>
          <w:b/>
        </w:rPr>
        <w:t xml:space="preserve">Amonyak: </w:t>
      </w:r>
      <w:r w:rsidR="00BF6F14" w:rsidRPr="00206A9A">
        <w:rPr>
          <w:shd w:val="clear" w:color="auto" w:fill="FFFFFF"/>
        </w:rPr>
        <w:t> </w:t>
      </w:r>
      <w:r w:rsidR="00BF6F14">
        <w:rPr>
          <w:shd w:val="clear" w:color="auto" w:fill="FFFFFF"/>
        </w:rPr>
        <w:t xml:space="preserve">Gastrointestinal sistemde üretilen amonyak, portal ven yoluyla dolaşıma girer. Amonyak, enterositler tarafından glutaminden ve azotlu </w:t>
      </w:r>
      <w:r w:rsidR="00206A9A">
        <w:rPr>
          <w:shd w:val="clear" w:color="auto" w:fill="FFFFFF"/>
        </w:rPr>
        <w:t>maddelerin</w:t>
      </w:r>
      <w:r w:rsidR="00BF6F14">
        <w:rPr>
          <w:shd w:val="clear" w:color="auto" w:fill="FFFFFF"/>
        </w:rPr>
        <w:t xml:space="preserve"> kolonik bakteri</w:t>
      </w:r>
      <w:r w:rsidR="00206A9A">
        <w:rPr>
          <w:shd w:val="clear" w:color="auto" w:fill="FFFFFF"/>
        </w:rPr>
        <w:t xml:space="preserve">lerce </w:t>
      </w:r>
      <w:r w:rsidR="00BF6F14">
        <w:rPr>
          <w:shd w:val="clear" w:color="auto" w:fill="FFFFFF"/>
        </w:rPr>
        <w:t>kataboliz</w:t>
      </w:r>
      <w:r w:rsidR="00206A9A">
        <w:rPr>
          <w:shd w:val="clear" w:color="auto" w:fill="FFFFFF"/>
        </w:rPr>
        <w:t>e edilmesi ile</w:t>
      </w:r>
      <w:r w:rsidR="00BF6F14">
        <w:rPr>
          <w:shd w:val="clear" w:color="auto" w:fill="FFFFFF"/>
        </w:rPr>
        <w:t xml:space="preserve"> üretilir.  Sağlam karaciğer, </w:t>
      </w:r>
      <w:r w:rsidR="00206A9A">
        <w:rPr>
          <w:shd w:val="clear" w:color="auto" w:fill="FFFFFF"/>
        </w:rPr>
        <w:t>dolaşımdaki</w:t>
      </w:r>
      <w:r w:rsidR="002D45E6">
        <w:rPr>
          <w:shd w:val="clear" w:color="auto" w:fill="FFFFFF"/>
        </w:rPr>
        <w:t xml:space="preserve"> amonyağı</w:t>
      </w:r>
      <w:r w:rsidR="00BF6F14">
        <w:rPr>
          <w:shd w:val="clear" w:color="auto" w:fill="FFFFFF"/>
        </w:rPr>
        <w:t>n tamamını te</w:t>
      </w:r>
      <w:r w:rsidR="00206A9A">
        <w:rPr>
          <w:shd w:val="clear" w:color="auto" w:fill="FFFFFF"/>
        </w:rPr>
        <w:t>mizler ve</w:t>
      </w:r>
      <w:r w:rsidR="00BF6F14">
        <w:rPr>
          <w:shd w:val="clear" w:color="auto" w:fill="FFFFFF"/>
        </w:rPr>
        <w:t xml:space="preserve"> glutamine dönüştürür </w:t>
      </w:r>
      <w:r w:rsidR="00206A9A">
        <w:rPr>
          <w:shd w:val="clear" w:color="auto" w:fill="FFFFFF"/>
        </w:rPr>
        <w:t>böylece</w:t>
      </w:r>
      <w:r w:rsidR="00BF6F14">
        <w:rPr>
          <w:shd w:val="clear" w:color="auto" w:fill="FFFFFF"/>
        </w:rPr>
        <w:t xml:space="preserve"> si</w:t>
      </w:r>
      <w:r w:rsidR="00206A9A">
        <w:rPr>
          <w:shd w:val="clear" w:color="auto" w:fill="FFFFFF"/>
        </w:rPr>
        <w:t>stemik dolaşıma girmesini önler</w:t>
      </w:r>
      <w:r w:rsidR="00206A9A" w:rsidRPr="00206A9A">
        <w:t>. İleri karaciğer hastalığında kan amonya</w:t>
      </w:r>
      <w:r w:rsidR="002D45E6">
        <w:t>ğ</w:t>
      </w:r>
      <w:r w:rsidR="00206A9A" w:rsidRPr="00206A9A">
        <w:t xml:space="preserve">ındaki artış hepatik ensefalopatiye neden olur </w:t>
      </w:r>
      <w:r w:rsidR="00206A9A" w:rsidRPr="00206A9A">
        <w:fldChar w:fldCharType="begin" w:fldLock="1"/>
      </w:r>
      <w:r w:rsidR="0085653B">
        <w:instrText>ADDIN CSL_CITATION {"citationItems":[{"id":"ITEM-1","itemData":{"DOI":"10.1002/hep.21357","ISSN":"02709139","abstract":"Mechanisms involved in hepatic encephalopathy still remain to be defined. Nonetheless, it is well recognized that ammonia is a major factor in its pathogenesis, and that the astrocyte represents a major target of its CNS toxicity. In vivo and in vitro studies have shown that ammonia evokes oxidative/nitrosative stress, mitochondrial abnormalities (the mitochondrial permeability transition, MPT) and astrocyte swelling, a major component of the brain edema associated with fulminant hepatic failure. How ammonia brings about these changes in astrocytes is not well understood. It has long been accepted that the conversion of glutamate to glutamine, catalyzed by glutamine synthetase, a cytoplasmic enzyme largely localized to astrocytes in brain, represented the principal means of cerebral ammonia detoxification. Yet, the \"benign\" aspect of glutamine synthesis has been questioned. This article highlights evidence that, at elevated levels, glutamine is indeed a noxious agent. We also propose a mechanism by which glutamine executes its toxic effects in astrocytes, the \"Trojan horse\" hypothesis. Much of the newly synthesized glutamine is subsequently metabolized in mitochondria by phosphate-activated glutaminase, yielding glutamate and ammonia. In this manner, glutamine (the Trojan horse) is transported in excess from the cytoplasm to mitochondria serving as a carrier of ammonia. We propose that it is the glutamine-derived ammonia within mitochondria that interferes with mitochondrial function giving rise to excessive production of free radicals and induction of the MPT, two phenomena known to bring about astrocyte dysfunction, including cell swelling. Future therapeutic approaches might include controlling excessive transport of newly synthesized glutamine to mitochondria and its subsequent hydrolysis. Copyright © 2006 by the American Association for the Study of Liver Diseases.","author":[{"dropping-particle":"","family":"Albrecht","given":"Jan","non-dropping-particle":"","parse-names":false,"suffix":""},{"dropping-particle":"","family":"Norenberg","given":"Michael D.","non-dropping-particle":"","parse-names":false,"suffix":""}],"container-title":"Hepatology","id":"ITEM-1","issue":"4","issued":{"date-parts":[["2006","10"]]},"page":"788-794","publisher":"Hepatology","title":"Glutamine: A Trojan horse in ammonia neurotoxicity","type":"article","volume":"44"},"uris":["http://www.mendeley.com/documents/?uuid=f7b165ce-fee9-30bc-972e-3cf8089f86ed"]}],"mendeley":{"formattedCitation":"(15)","plainTextFormattedCitation":"(15)","previouslyFormattedCitation":"(15)"},"properties":{"noteIndex":0},"schema":"https://github.com/citation-style-language/schema/raw/master/csl-citation.json"}</w:instrText>
      </w:r>
      <w:r w:rsidR="00206A9A" w:rsidRPr="00206A9A">
        <w:fldChar w:fldCharType="separate"/>
      </w:r>
      <w:r w:rsidR="0085653B" w:rsidRPr="0085653B">
        <w:rPr>
          <w:noProof/>
        </w:rPr>
        <w:t>(15)</w:t>
      </w:r>
      <w:r w:rsidR="00206A9A" w:rsidRPr="00206A9A">
        <w:fldChar w:fldCharType="end"/>
      </w:r>
      <w:r w:rsidR="00206A9A" w:rsidRPr="00206A9A">
        <w:t>.</w:t>
      </w:r>
    </w:p>
    <w:p w14:paraId="44F35CAF" w14:textId="1D6B5E24" w:rsidR="00533812" w:rsidRDefault="00533812" w:rsidP="00533812">
      <w:r w:rsidRPr="00FC5528">
        <w:rPr>
          <w:b/>
        </w:rPr>
        <w:t>Protrombin Zamanı</w:t>
      </w:r>
      <w:r>
        <w:rPr>
          <w:b/>
        </w:rPr>
        <w:t xml:space="preserve"> </w:t>
      </w:r>
      <w:r w:rsidR="00EE69CB">
        <w:rPr>
          <w:b/>
        </w:rPr>
        <w:t>(PTZ)</w:t>
      </w:r>
      <w:r w:rsidRPr="00FC5528">
        <w:rPr>
          <w:b/>
        </w:rPr>
        <w:t>:</w:t>
      </w:r>
      <w:r w:rsidRPr="00FC5528">
        <w:rPr>
          <w:rFonts w:ascii="Arial-BoldMT" w:hAnsi="Arial-BoldMT"/>
          <w:b/>
          <w:bCs/>
          <w:color w:val="FF0000"/>
        </w:rPr>
        <w:t xml:space="preserve"> </w:t>
      </w:r>
      <w:r w:rsidRPr="00C850FB">
        <w:t>Serum albüminin ter</w:t>
      </w:r>
      <w:r>
        <w:t>sine, KC'den sentezlenen koagü</w:t>
      </w:r>
      <w:r w:rsidRPr="00C850FB">
        <w:t>lasyon faktörleri</w:t>
      </w:r>
      <w:r>
        <w:t xml:space="preserve"> </w:t>
      </w:r>
      <w:r w:rsidRPr="00C850FB">
        <w:t>kısa yarı ömre sahiptir ve kısa döne</w:t>
      </w:r>
      <w:r>
        <w:t>mde KC yetmezliğini gösterirler</w:t>
      </w:r>
      <w:r w:rsidRPr="00C850FB">
        <w:t>. Bu</w:t>
      </w:r>
      <w:r>
        <w:t xml:space="preserve"> </w:t>
      </w:r>
      <w:r w:rsidRPr="00C850FB">
        <w:t xml:space="preserve">nedenle </w:t>
      </w:r>
      <w:r w:rsidR="00EE69CB">
        <w:t>PTZ</w:t>
      </w:r>
      <w:r w:rsidRPr="00C850FB">
        <w:t xml:space="preserve"> ya da ulusal normalize edilmiş oran</w:t>
      </w:r>
      <w:r w:rsidRPr="00D85293">
        <w:t xml:space="preserve"> </w:t>
      </w:r>
      <w:r w:rsidRPr="00C850FB">
        <w:t>(INR)</w:t>
      </w:r>
      <w:r>
        <w:t xml:space="preserve"> </w:t>
      </w:r>
      <w:r w:rsidRPr="00C850FB">
        <w:t>değerlerinin yükselmesi akut karaciğer hastalığını gösterir</w:t>
      </w:r>
      <w:r>
        <w:t xml:space="preserve"> </w:t>
      </w:r>
      <w:r>
        <w:fldChar w:fldCharType="begin" w:fldLock="1"/>
      </w:r>
      <w:r w:rsidR="0085653B">
        <w:instrText>ADDIN CSL_CITATION {"citationItems":[{"id":"ITEM-1","itemData":{"author":[{"dropping-particle":"","family":"Rabie M, Negmi H, Hammad Y, Al Oufi H","given":"Khalaf H.","non-dropping-particle":"","parse-names":false,"suffix":""}],"id":"ITEM-1","issued":{"date-parts":[["0"]]},"title":"Living donor hepatectomy (LDH) comparative study between two different anesthetic techniques. Middle East J Anaesthesiol. 2006;18:743-56.","type":"article-journal"},"uris":["http://www.mendeley.com/documents/?uuid=7907e0d4-b349-4bea-aaba-c4296a31d129"]}],"mendeley":{"formattedCitation":"(16)","plainTextFormattedCitation":"(16)","previouslyFormattedCitation":"(16)"},"properties":{"noteIndex":0},"schema":"https://github.com/citation-style-language/schema/raw/master/csl-citation.json"}</w:instrText>
      </w:r>
      <w:r>
        <w:fldChar w:fldCharType="separate"/>
      </w:r>
      <w:r w:rsidR="0085653B" w:rsidRPr="0085653B">
        <w:rPr>
          <w:noProof/>
        </w:rPr>
        <w:t>(16)</w:t>
      </w:r>
      <w:r>
        <w:fldChar w:fldCharType="end"/>
      </w:r>
      <w:r w:rsidRPr="00C850FB">
        <w:t xml:space="preserve">. </w:t>
      </w:r>
      <w:r w:rsidR="00EE69CB">
        <w:t>PTZ</w:t>
      </w:r>
      <w:r w:rsidRPr="00C850FB">
        <w:t>’nin</w:t>
      </w:r>
      <w:r>
        <w:t xml:space="preserve"> normal değeri 11-14sn’dir</w:t>
      </w:r>
      <w:r w:rsidRPr="00C850FB">
        <w:t>. Canlı vericili KC nakli operasyonları</w:t>
      </w:r>
      <w:r>
        <w:t xml:space="preserve"> sonrasında </w:t>
      </w:r>
      <w:r w:rsidR="00EE69CB">
        <w:t>PTZ</w:t>
      </w:r>
      <w:r>
        <w:t>,</w:t>
      </w:r>
      <w:r w:rsidRPr="00C850FB">
        <w:t xml:space="preserve"> postop 2</w:t>
      </w:r>
      <w:r>
        <w:t>-</w:t>
      </w:r>
      <w:r w:rsidRPr="00C850FB">
        <w:t>3.</w:t>
      </w:r>
      <w:r>
        <w:t xml:space="preserve"> </w:t>
      </w:r>
      <w:r w:rsidRPr="00C850FB">
        <w:t xml:space="preserve">günde </w:t>
      </w:r>
      <w:r>
        <w:t>tepe noktasına ulaşmakta, ortalama 5</w:t>
      </w:r>
      <w:r w:rsidRPr="00C850FB">
        <w:t xml:space="preserve">. </w:t>
      </w:r>
      <w:r>
        <w:t>g</w:t>
      </w:r>
      <w:r w:rsidRPr="00C850FB">
        <w:t>ünde</w:t>
      </w:r>
      <w:r>
        <w:t>n sonra</w:t>
      </w:r>
      <w:r w:rsidRPr="00C850FB">
        <w:t xml:space="preserve"> normal değerlerine dönmektedir </w:t>
      </w:r>
      <w:r>
        <w:fldChar w:fldCharType="begin" w:fldLock="1"/>
      </w:r>
      <w:r w:rsidR="0085653B">
        <w:instrText>ADDIN CSL_CITATION {"citationItems":[{"id":"ITEM-1","itemData":{"id":"ITEM-1","issued":{"date-parts":[["0"]]},"title":"Miller RD. Organ Transplantasyonu Aydın D, çev. Editörü. Miller Anestezi 6","type":"article-journal"},"uris":["http://www.mendeley.com/documents/?uuid=2dbdd925-9be5-4003-97d5-84a7d29edc82"]}],"mendeley":{"formattedCitation":"(13)","plainTextFormattedCitation":"(13)","previouslyFormattedCitation":"(13)"},"properties":{"noteIndex":0},"schema":"https://github.com/citation-style-language/schema/raw/master/csl-citation.json"}</w:instrText>
      </w:r>
      <w:r>
        <w:fldChar w:fldCharType="separate"/>
      </w:r>
      <w:r w:rsidR="0085653B" w:rsidRPr="0085653B">
        <w:rPr>
          <w:noProof/>
        </w:rPr>
        <w:t>(13)</w:t>
      </w:r>
      <w:r>
        <w:fldChar w:fldCharType="end"/>
      </w:r>
      <w:r w:rsidRPr="00C850FB">
        <w:t>.</w:t>
      </w:r>
    </w:p>
    <w:p w14:paraId="4E92C65B" w14:textId="643ADBC3" w:rsidR="00533812" w:rsidRPr="00FC5528" w:rsidRDefault="00533812" w:rsidP="00533812">
      <w:pPr>
        <w:rPr>
          <w:rFonts w:ascii="ArialMT" w:hAnsi="ArialMT"/>
          <w:color w:val="000000"/>
          <w:szCs w:val="24"/>
        </w:rPr>
      </w:pPr>
      <w:r w:rsidRPr="005F5767">
        <w:rPr>
          <w:b/>
        </w:rPr>
        <w:t>Serum Albümini</w:t>
      </w:r>
      <w:r w:rsidRPr="005F5767">
        <w:rPr>
          <w:rFonts w:ascii="Arial-BoldMT" w:hAnsi="Arial-BoldMT"/>
          <w:b/>
          <w:bCs/>
        </w:rPr>
        <w:t xml:space="preserve">: </w:t>
      </w:r>
      <w:r w:rsidRPr="00A67B74">
        <w:rPr>
          <w:rFonts w:ascii="Arial-BoldMT" w:hAnsi="Arial-BoldMT"/>
          <w:bCs/>
        </w:rPr>
        <w:t>B</w:t>
      </w:r>
      <w:r w:rsidRPr="00A67B74">
        <w:t>i</w:t>
      </w:r>
      <w:r w:rsidRPr="00C850FB">
        <w:t xml:space="preserve">r plazma proteinidir. </w:t>
      </w:r>
      <w:r>
        <w:t>K</w:t>
      </w:r>
      <w:r w:rsidRPr="00C850FB">
        <w:t>araciğer</w:t>
      </w:r>
      <w:r>
        <w:t>de</w:t>
      </w:r>
      <w:r w:rsidRPr="00C850FB">
        <w:t xml:space="preserve"> gün</w:t>
      </w:r>
      <w:r>
        <w:t>lük</w:t>
      </w:r>
      <w:r w:rsidRPr="00C850FB">
        <w:t xml:space="preserve"> 9-12</w:t>
      </w:r>
      <w:r>
        <w:t xml:space="preserve"> </w:t>
      </w:r>
      <w:r w:rsidRPr="00C850FB">
        <w:t>gram albümin üreti</w:t>
      </w:r>
      <w:r>
        <w:t>li</w:t>
      </w:r>
      <w:r w:rsidRPr="00C850FB">
        <w:t xml:space="preserve">r. </w:t>
      </w:r>
      <w:r>
        <w:t>Serum albümin konsantrasyonu</w:t>
      </w:r>
      <w:r w:rsidRPr="00C850FB">
        <w:t xml:space="preserve"> </w:t>
      </w:r>
      <w:r>
        <w:t xml:space="preserve">4 </w:t>
      </w:r>
      <w:r w:rsidR="00B0144B">
        <w:t xml:space="preserve">gr/dl </w:t>
      </w:r>
      <w:r>
        <w:t xml:space="preserve"> civarındadır. Yarılanma ömrü 21 gündür. </w:t>
      </w:r>
      <w:r w:rsidRPr="00C850FB">
        <w:lastRenderedPageBreak/>
        <w:t>Albüminin katabolizması vas</w:t>
      </w:r>
      <w:r>
        <w:t xml:space="preserve">küler endotelde meydana gelir, albüminin </w:t>
      </w:r>
      <w:r w:rsidRPr="00C850FB">
        <w:t>günlük</w:t>
      </w:r>
      <w:r>
        <w:t xml:space="preserve"> </w:t>
      </w:r>
      <w:r w:rsidR="00B0144B">
        <w:t>9-12 gr/dl (%</w:t>
      </w:r>
      <w:r w:rsidRPr="00C850FB">
        <w:t xml:space="preserve">4) </w:t>
      </w:r>
      <w:r>
        <w:t>kadarı yıkıma uğrar.</w:t>
      </w:r>
      <w:r w:rsidRPr="00C850FB">
        <w:t xml:space="preserve"> </w:t>
      </w:r>
      <w:r>
        <w:t>A</w:t>
      </w:r>
      <w:r w:rsidRPr="00C850FB">
        <w:t>lbümin intravasküler alandan</w:t>
      </w:r>
      <w:r>
        <w:t xml:space="preserve"> </w:t>
      </w:r>
      <w:r w:rsidRPr="00C850FB">
        <w:t>kapi</w:t>
      </w:r>
      <w:r>
        <w:t>l</w:t>
      </w:r>
      <w:r w:rsidRPr="00C850FB">
        <w:t>ler duvar boyunca interstisyel alana geçer. İnterstisyel alana geçen albümin</w:t>
      </w:r>
      <w:r>
        <w:t xml:space="preserve"> tekrar lenfatik sisteml</w:t>
      </w:r>
      <w:r w:rsidRPr="00C850FB">
        <w:t xml:space="preserve">e intravasküler alana döner </w:t>
      </w:r>
      <w:r>
        <w:fldChar w:fldCharType="begin" w:fldLock="1"/>
      </w:r>
      <w:r w:rsidR="0085653B">
        <w:instrText>ADDIN CSL_CITATION {"citationItems":[{"id":"ITEM-1","itemData":{"DOI":"10.1136/bmj.300.6716.35","ISSN":"0959-8138","author":[{"dropping-particle":"","family":"McClelland","given":"D B","non-dropping-particle":"","parse-names":false,"suffix":""}],"container-title":"BMJ","id":"ITEM-1","issue":"6716","issued":{"date-parts":[["1990","1","6"]]},"page":"35-37","publisher":"BMJ","title":"ABC of transfusion. Human albumin solutions.","type":"article-journal","volume":"300"},"uris":["http://www.mendeley.com/documents/?uuid=d41d4e59-9e34-33a2-a172-684042a8cc8c"]}],"mendeley":{"formattedCitation":"(17)","plainTextFormattedCitation":"(17)","previouslyFormattedCitation":"(17)"},"properties":{"noteIndex":0},"schema":"https://github.com/citation-style-language/schema/raw/master/csl-citation.json"}</w:instrText>
      </w:r>
      <w:r>
        <w:fldChar w:fldCharType="separate"/>
      </w:r>
      <w:r w:rsidR="0085653B" w:rsidRPr="0085653B">
        <w:rPr>
          <w:noProof/>
        </w:rPr>
        <w:t>(17)</w:t>
      </w:r>
      <w:r>
        <w:fldChar w:fldCharType="end"/>
      </w:r>
      <w:r>
        <w:t xml:space="preserve">. </w:t>
      </w:r>
      <w:r w:rsidRPr="00C850FB">
        <w:t>Kalori ve protein eksikliği</w:t>
      </w:r>
      <w:r>
        <w:t xml:space="preserve"> de </w:t>
      </w:r>
      <w:r w:rsidRPr="00C850FB">
        <w:t xml:space="preserve">albümin sentezini etkiler. </w:t>
      </w:r>
      <w:r w:rsidRPr="00C850FB">
        <w:rPr>
          <w:rFonts w:ascii="ArialMT" w:hAnsi="ArialMT"/>
          <w:color w:val="000000"/>
          <w:szCs w:val="24"/>
        </w:rPr>
        <w:t xml:space="preserve">Ayrıca </w:t>
      </w:r>
      <w:r w:rsidR="008419DB" w:rsidRPr="00C850FB">
        <w:rPr>
          <w:rFonts w:ascii="ArialMT" w:hAnsi="ArialMT"/>
          <w:color w:val="000000"/>
          <w:szCs w:val="24"/>
        </w:rPr>
        <w:t>albüminin</w:t>
      </w:r>
      <w:r w:rsidRPr="00C850FB">
        <w:rPr>
          <w:rFonts w:ascii="ArialMT" w:hAnsi="ArialMT"/>
          <w:color w:val="000000"/>
          <w:szCs w:val="24"/>
        </w:rPr>
        <w:t xml:space="preserve"> endotelyal hücre apoptozisini</w:t>
      </w:r>
      <w:r>
        <w:rPr>
          <w:rFonts w:ascii="ArialMT" w:hAnsi="ArialMT"/>
          <w:color w:val="000000"/>
          <w:szCs w:val="24"/>
        </w:rPr>
        <w:t xml:space="preserve"> </w:t>
      </w:r>
      <w:r w:rsidRPr="00C850FB">
        <w:rPr>
          <w:rFonts w:ascii="ArialMT" w:hAnsi="ArialMT"/>
          <w:color w:val="000000"/>
          <w:szCs w:val="24"/>
        </w:rPr>
        <w:t xml:space="preserve">önleyerek endotelyal hücre yapısını koruduğu ileri sürülmektedir </w:t>
      </w:r>
      <w:r>
        <w:rPr>
          <w:rFonts w:ascii="ArialMT" w:hAnsi="ArialMT"/>
          <w:color w:val="000000"/>
          <w:szCs w:val="24"/>
        </w:rPr>
        <w:fldChar w:fldCharType="begin" w:fldLock="1"/>
      </w:r>
      <w:r w:rsidR="0085653B">
        <w:rPr>
          <w:rFonts w:ascii="ArialMT" w:hAnsi="ArialMT"/>
          <w:color w:val="000000"/>
          <w:szCs w:val="24"/>
        </w:rPr>
        <w:instrText>ADDIN CSL_CITATION {"citationItems":[{"id":"ITEM-1","itemData":{"author":[{"dropping-particle":"","family":"Zoellner H, H</w:instrText>
      </w:r>
      <w:r w:rsidR="0085653B">
        <w:rPr>
          <w:rFonts w:ascii="ArialMT" w:hAnsi="ArialMT" w:hint="eastAsia"/>
          <w:color w:val="000000"/>
          <w:szCs w:val="24"/>
        </w:rPr>
        <w:instrText>ö</w:instrText>
      </w:r>
      <w:r w:rsidR="0085653B">
        <w:rPr>
          <w:rFonts w:ascii="ArialMT" w:hAnsi="ArialMT"/>
          <w:color w:val="000000"/>
          <w:szCs w:val="24"/>
        </w:rPr>
        <w:instrText>fler M, Beckmann R","given":"et al.","non-dropping-particle":"","parse-names":false,"suffix":""}],"id":"ITEM-1","issued":{"date-parts":[["0"]]},"title":"Serum albumin is a specific inhibitor of apoptosis in human endothelial cells. J Cell Sci. 1996;109:2571-80.","type":"article-journal"},"uris":["http://www.mendeley.com/documents/?uuid=41b2880e-b9fa-42fe-b221-c757a6845df0"]}],"mendeley":{"formattedCitation":"(18)","plainTextFormattedCitation":"(18)","previouslyFormattedCitation":"(18)"},"properties":{"noteIndex":0},"schema":"https://github.com/citation-style-language/schema/raw/master/csl-citation.json"}</w:instrText>
      </w:r>
      <w:r>
        <w:rPr>
          <w:rFonts w:ascii="ArialMT" w:hAnsi="ArialMT"/>
          <w:color w:val="000000"/>
          <w:szCs w:val="24"/>
        </w:rPr>
        <w:fldChar w:fldCharType="separate"/>
      </w:r>
      <w:r w:rsidR="0085653B" w:rsidRPr="0085653B">
        <w:rPr>
          <w:rFonts w:ascii="ArialMT" w:hAnsi="ArialMT"/>
          <w:noProof/>
          <w:color w:val="000000"/>
          <w:szCs w:val="24"/>
        </w:rPr>
        <w:t>(18)</w:t>
      </w:r>
      <w:r>
        <w:rPr>
          <w:rFonts w:ascii="ArialMT" w:hAnsi="ArialMT"/>
          <w:color w:val="000000"/>
          <w:szCs w:val="24"/>
        </w:rPr>
        <w:fldChar w:fldCharType="end"/>
      </w:r>
      <w:r w:rsidRPr="00C850FB">
        <w:rPr>
          <w:rFonts w:ascii="ArialMT" w:hAnsi="ArialMT"/>
          <w:color w:val="000000"/>
          <w:szCs w:val="24"/>
        </w:rPr>
        <w:t>.</w:t>
      </w:r>
    </w:p>
    <w:p w14:paraId="6FD07A2E" w14:textId="0623EB6B" w:rsidR="00533812" w:rsidRPr="00FC5528" w:rsidRDefault="00533812" w:rsidP="00533812">
      <w:pPr>
        <w:rPr>
          <w:rFonts w:ascii="ArialMT" w:hAnsi="ArialMT"/>
          <w:color w:val="000000"/>
          <w:szCs w:val="24"/>
        </w:rPr>
      </w:pPr>
      <w:r>
        <w:t>Hipoalbü</w:t>
      </w:r>
      <w:r w:rsidRPr="00C850FB">
        <w:t>mineminin kötü prognoz ve</w:t>
      </w:r>
      <w:r>
        <w:t xml:space="preserve"> </w:t>
      </w:r>
      <w:r w:rsidRPr="00C850FB">
        <w:t>mortalite ile ilişkili olduğu bildirilmiştir</w:t>
      </w:r>
      <w:r>
        <w:t xml:space="preserve"> </w:t>
      </w:r>
      <w:r>
        <w:fldChar w:fldCharType="begin" w:fldLock="1"/>
      </w:r>
      <w:r w:rsidR="0085653B">
        <w:instrText>ADDIN CSL_CITATION {"citationItems":[{"id":"ITEM-1","itemData":{"DOI":"10.1177/014860718000400404","ISSN":"19412444","abstract":"The purpose of this study was to determine the incidence of hypoalbuminemia (HAlb) in a hospitalized male veteran population. Computerized surveillance of all clinical serum albumin determinations was performed during a 60-day interval. Each patient with an albumin level of 3.4 g/100 ml or less was identified and classified as an A, B, C, or D patient, based on the lowest recorded albumin level. After classification, each patient was followed either until death or for a minimum of 60 days. From a population of 2060 hospitalized veterans, 509 were identified as having HAlb for an incidence of 24.7%. The 30-day mortality rate for these 509 patients was 24.6%. The highest mortality rate, 62.0%, was seen in 50 group D patients whose albumin levels fell to 2.0 or below. For all HAlb patient groups, a linear correlation could be demonstrated between the level of HAlb observed and the subsequent 30-day mortality rate. It is concluded that, in our hospitalized veteran population, HAlb is a common finding and is associated with an increased 30-day mortality rate. © 1980, SAGE Publications. All rights reserved.","author":[{"dropping-particle":"","family":"Reinhardt","given":"George F.","non-dropping-particle":"","parse-names":false,"suffix":""},{"dropping-particle":"","family":"Myscofski","given":"Jeanne W.","non-dropping-particle":"","parse-names":false,"suffix":""},{"dropping-particle":"","family":"Wilkens","given":"Donna B.","non-dropping-particle":"","parse-names":false,"suffix":""},{"dropping-particle":"","family":"Dobrin","given":"Philip B.","non-dropping-particle":"","parse-names":false,"suffix":""},{"dropping-particle":"","family":"Mangan","given":"James E.","non-dropping-particle":"","parse-names":false,"suffix":""},{"dropping-particle":"","family":"Stannard","given":"Robert T.","non-dropping-particle":"","parse-names":false,"suffix":""}],"container-title":"Journal of Parenteral and Enteral Nutrition","id":"ITEM-1","issue":"4","issued":{"date-parts":[["1980","7","1"]]},"page":"357-359","publisher":"John Wiley &amp; Sons, Ltd","title":"Incidence and Mortality of Hypoalbuminemic Patients in Hospitalized Veterans","type":"article-journal","volume":"4"},"uris":["http://www.mendeley.com/documents/?uuid=b2633ee1-31f5-317e-bfb1-1afc93d98cdb"]}],"mendeley":{"formattedCitation":"(19)","plainTextFormattedCitation":"(19)","previouslyFormattedCitation":"(19)"},"properties":{"noteIndex":0},"schema":"https://github.com/citation-style-language/schema/raw/master/csl-citation.json"}</w:instrText>
      </w:r>
      <w:r>
        <w:fldChar w:fldCharType="separate"/>
      </w:r>
      <w:r w:rsidR="0085653B" w:rsidRPr="0085653B">
        <w:rPr>
          <w:noProof/>
        </w:rPr>
        <w:t>(19)</w:t>
      </w:r>
      <w:r>
        <w:fldChar w:fldCharType="end"/>
      </w:r>
      <w:r w:rsidRPr="00C850FB">
        <w:t>.</w:t>
      </w:r>
      <w:r>
        <w:t xml:space="preserve"> </w:t>
      </w:r>
      <w:r w:rsidR="008419DB" w:rsidRPr="00C850FB">
        <w:rPr>
          <w:rFonts w:ascii="ArialMT" w:hAnsi="ArialMT"/>
          <w:color w:val="000000"/>
          <w:szCs w:val="24"/>
        </w:rPr>
        <w:t>İnflamatuar</w:t>
      </w:r>
      <w:r w:rsidRPr="00C850FB">
        <w:rPr>
          <w:rFonts w:ascii="ArialMT" w:hAnsi="ArialMT"/>
          <w:color w:val="000000"/>
          <w:szCs w:val="24"/>
        </w:rPr>
        <w:t xml:space="preserve"> olaylar</w:t>
      </w:r>
      <w:r>
        <w:rPr>
          <w:rFonts w:ascii="ArialMT" w:hAnsi="ArialMT"/>
          <w:color w:val="000000"/>
          <w:szCs w:val="24"/>
        </w:rPr>
        <w:t xml:space="preserve"> </w:t>
      </w:r>
      <w:r w:rsidR="008419DB">
        <w:rPr>
          <w:rFonts w:ascii="ArialMT" w:hAnsi="ArialMT"/>
          <w:color w:val="000000"/>
          <w:szCs w:val="24"/>
        </w:rPr>
        <w:t>hipoalbü</w:t>
      </w:r>
      <w:r w:rsidRPr="00C850FB">
        <w:rPr>
          <w:rFonts w:ascii="ArialMT" w:hAnsi="ArialMT"/>
          <w:color w:val="000000"/>
          <w:szCs w:val="24"/>
        </w:rPr>
        <w:t>mineminin en sık nedenidir</w:t>
      </w:r>
      <w:r>
        <w:rPr>
          <w:rFonts w:ascii="ArialMT" w:hAnsi="ArialMT"/>
          <w:color w:val="000000"/>
          <w:szCs w:val="24"/>
        </w:rPr>
        <w:t xml:space="preserve"> (</w:t>
      </w:r>
      <w:r w:rsidRPr="00C850FB">
        <w:rPr>
          <w:rFonts w:ascii="ArialMT" w:hAnsi="ArialMT"/>
          <w:color w:val="000000"/>
          <w:szCs w:val="24"/>
        </w:rPr>
        <w:t>negatif akut faz</w:t>
      </w:r>
      <w:r w:rsidRPr="00C850FB">
        <w:rPr>
          <w:rFonts w:ascii="ArialMT" w:hAnsi="ArialMT"/>
          <w:color w:val="000000"/>
        </w:rPr>
        <w:br/>
      </w:r>
      <w:r w:rsidRPr="00C850FB">
        <w:rPr>
          <w:rFonts w:ascii="ArialMT" w:hAnsi="ArialMT"/>
          <w:color w:val="000000"/>
          <w:szCs w:val="24"/>
        </w:rPr>
        <w:t>protein</w:t>
      </w:r>
      <w:r>
        <w:rPr>
          <w:rFonts w:ascii="ArialMT" w:hAnsi="ArialMT"/>
          <w:color w:val="000000"/>
          <w:szCs w:val="24"/>
        </w:rPr>
        <w:t>idir)</w:t>
      </w:r>
      <w:r w:rsidRPr="00C850FB">
        <w:rPr>
          <w:rFonts w:ascii="ArialMT" w:hAnsi="ArialMT"/>
          <w:color w:val="000000"/>
          <w:szCs w:val="24"/>
        </w:rPr>
        <w:t xml:space="preserve">. </w:t>
      </w:r>
      <w:r>
        <w:rPr>
          <w:rFonts w:ascii="ArialMT" w:hAnsi="ArialMT"/>
          <w:color w:val="000000"/>
          <w:szCs w:val="24"/>
        </w:rPr>
        <w:t>Ö</w:t>
      </w:r>
      <w:r w:rsidRPr="00C850FB">
        <w:rPr>
          <w:rFonts w:ascii="ArialMT" w:hAnsi="ArialMT"/>
          <w:color w:val="000000"/>
          <w:szCs w:val="24"/>
        </w:rPr>
        <w:t>zellikle</w:t>
      </w:r>
      <w:r>
        <w:rPr>
          <w:rFonts w:ascii="ArialMT" w:hAnsi="ArialMT"/>
          <w:color w:val="000000"/>
          <w:szCs w:val="24"/>
        </w:rPr>
        <w:t xml:space="preserve"> </w:t>
      </w:r>
      <w:r w:rsidRPr="00C850FB">
        <w:rPr>
          <w:rFonts w:ascii="ArialMT" w:hAnsi="ArialMT"/>
          <w:color w:val="000000"/>
          <w:szCs w:val="24"/>
        </w:rPr>
        <w:t>TNF-α</w:t>
      </w:r>
      <w:r>
        <w:rPr>
          <w:rFonts w:ascii="ArialMT" w:hAnsi="ArialMT"/>
          <w:color w:val="000000"/>
          <w:szCs w:val="24"/>
        </w:rPr>
        <w:t xml:space="preserve"> ve</w:t>
      </w:r>
      <w:r w:rsidRPr="00C850FB">
        <w:rPr>
          <w:rFonts w:ascii="ArialMT" w:hAnsi="ArialMT"/>
          <w:color w:val="000000"/>
          <w:szCs w:val="24"/>
        </w:rPr>
        <w:t xml:space="preserve"> IL-6</w:t>
      </w:r>
      <w:r>
        <w:rPr>
          <w:rFonts w:ascii="ArialMT" w:hAnsi="ArialMT"/>
          <w:color w:val="000000"/>
          <w:szCs w:val="24"/>
        </w:rPr>
        <w:t xml:space="preserve"> gibi sitokinler, </w:t>
      </w:r>
      <w:r w:rsidRPr="00C850FB">
        <w:rPr>
          <w:rFonts w:ascii="ArialMT" w:hAnsi="ArialMT"/>
          <w:color w:val="000000"/>
          <w:szCs w:val="24"/>
        </w:rPr>
        <w:t>albümin</w:t>
      </w:r>
      <w:r>
        <w:rPr>
          <w:rFonts w:ascii="ArialMT" w:hAnsi="ArialMT"/>
          <w:color w:val="000000"/>
          <w:szCs w:val="24"/>
        </w:rPr>
        <w:t xml:space="preserve"> gen</w:t>
      </w:r>
      <w:r w:rsidRPr="00C850FB">
        <w:rPr>
          <w:rFonts w:ascii="ArialMT" w:hAnsi="ArialMT"/>
          <w:color w:val="000000"/>
          <w:szCs w:val="24"/>
        </w:rPr>
        <w:t xml:space="preserve"> transkripsiyonunu inhibe ederek sentezini</w:t>
      </w:r>
      <w:r>
        <w:rPr>
          <w:rFonts w:ascii="ArialMT" w:hAnsi="ArialMT"/>
          <w:color w:val="000000"/>
          <w:szCs w:val="24"/>
        </w:rPr>
        <w:t xml:space="preserve"> </w:t>
      </w:r>
      <w:r w:rsidRPr="00C850FB">
        <w:rPr>
          <w:rFonts w:ascii="ArialMT" w:hAnsi="ArialMT"/>
          <w:color w:val="000000"/>
          <w:szCs w:val="24"/>
        </w:rPr>
        <w:t xml:space="preserve">baskılar </w:t>
      </w:r>
      <w:r>
        <w:rPr>
          <w:rFonts w:ascii="ArialMT" w:hAnsi="ArialMT"/>
          <w:color w:val="000000"/>
          <w:szCs w:val="24"/>
        </w:rPr>
        <w:fldChar w:fldCharType="begin" w:fldLock="1"/>
      </w:r>
      <w:r w:rsidR="0085653B">
        <w:rPr>
          <w:rFonts w:ascii="ArialMT" w:hAnsi="ArialMT"/>
          <w:color w:val="000000"/>
          <w:szCs w:val="24"/>
        </w:rPr>
        <w:instrText>ADDIN CSL_CITATION {"citationItems":[{"id":"ITEM-1","itemData":{"DOI":"10.1172/JCI114419","ISSN":"00219738","PMID":"2295699","abstract":"The mechanisms responsible for decreased serum albumin levels in patients with cachexia-associated infection, inflammation, and cancer are unknown. Since tumor necrosis factor-</w:instrText>
      </w:r>
      <w:r w:rsidR="0085653B">
        <w:rPr>
          <w:rFonts w:ascii="ArialMT" w:hAnsi="ArialMT" w:hint="eastAsia"/>
          <w:color w:val="000000"/>
          <w:szCs w:val="24"/>
        </w:rPr>
        <w:instrText>α</w:instrText>
      </w:r>
      <w:r w:rsidR="0085653B">
        <w:rPr>
          <w:rFonts w:ascii="ArialMT" w:hAnsi="ArialMT"/>
          <w:color w:val="000000"/>
          <w:szCs w:val="24"/>
        </w:rPr>
        <w:instrText xml:space="preserve"> (TNF</w:instrText>
      </w:r>
      <w:r w:rsidR="0085653B">
        <w:rPr>
          <w:rFonts w:ascii="ArialMT" w:hAnsi="ArialMT" w:hint="eastAsia"/>
          <w:color w:val="000000"/>
          <w:szCs w:val="24"/>
        </w:rPr>
        <w:instrText>α</w:instrText>
      </w:r>
      <w:r w:rsidR="0085653B">
        <w:rPr>
          <w:rFonts w:ascii="ArialMT" w:hAnsi="ArialMT"/>
          <w:color w:val="000000"/>
          <w:szCs w:val="24"/>
        </w:rPr>
        <w:instrText>) is elevated in cachexia-associated diseases, and chronic administration of TNF</w:instrText>
      </w:r>
      <w:r w:rsidR="0085653B">
        <w:rPr>
          <w:rFonts w:ascii="ArialMT" w:hAnsi="ArialMT" w:hint="eastAsia"/>
          <w:color w:val="000000"/>
          <w:szCs w:val="24"/>
        </w:rPr>
        <w:instrText>α</w:instrText>
      </w:r>
      <w:r w:rsidR="0085653B">
        <w:rPr>
          <w:rFonts w:ascii="ArialMT" w:hAnsi="ArialMT"/>
          <w:color w:val="000000"/>
          <w:szCs w:val="24"/>
        </w:rPr>
        <w:instrText xml:space="preserve"> induces cachexia in animal models, we assessed the regulation of albumin gene expression by TNF</w:instrText>
      </w:r>
      <w:r w:rsidR="0085653B">
        <w:rPr>
          <w:rFonts w:ascii="ArialMT" w:hAnsi="ArialMT" w:hint="eastAsia"/>
          <w:color w:val="000000"/>
          <w:szCs w:val="24"/>
        </w:rPr>
        <w:instrText>α</w:instrText>
      </w:r>
      <w:r w:rsidR="0085653B">
        <w:rPr>
          <w:rFonts w:ascii="ArialMT" w:hAnsi="ArialMT"/>
          <w:color w:val="000000"/>
          <w:szCs w:val="24"/>
        </w:rPr>
        <w:instrText xml:space="preserve"> in vivo. In this animal model of cachexia, Chinese hamster ovary cells transfected with the functional gene for human TNF</w:instrText>
      </w:r>
      <w:r w:rsidR="0085653B">
        <w:rPr>
          <w:rFonts w:ascii="ArialMT" w:hAnsi="ArialMT" w:hint="eastAsia"/>
          <w:color w:val="000000"/>
          <w:szCs w:val="24"/>
        </w:rPr>
        <w:instrText>α</w:instrText>
      </w:r>
      <w:r w:rsidR="0085653B">
        <w:rPr>
          <w:rFonts w:ascii="ArialMT" w:hAnsi="ArialMT"/>
          <w:color w:val="000000"/>
          <w:szCs w:val="24"/>
        </w:rPr>
        <w:instrText xml:space="preserve"> were inoculated into nude mice (TNF</w:instrText>
      </w:r>
      <w:r w:rsidR="0085653B">
        <w:rPr>
          <w:rFonts w:ascii="ArialMT" w:hAnsi="ArialMT" w:hint="eastAsia"/>
          <w:color w:val="000000"/>
          <w:szCs w:val="24"/>
        </w:rPr>
        <w:instrText>α</w:instrText>
      </w:r>
      <w:r w:rsidR="0085653B">
        <w:rPr>
          <w:rFonts w:ascii="ArialMT" w:hAnsi="ArialMT"/>
          <w:color w:val="000000"/>
          <w:szCs w:val="24"/>
        </w:rPr>
        <w:instrText xml:space="preserve"> mice). TNF</w:instrText>
      </w:r>
      <w:r w:rsidR="0085653B">
        <w:rPr>
          <w:rFonts w:ascii="ArialMT" w:hAnsi="ArialMT" w:hint="eastAsia"/>
          <w:color w:val="000000"/>
          <w:szCs w:val="24"/>
        </w:rPr>
        <w:instrText>α</w:instrText>
      </w:r>
      <w:r w:rsidR="0085653B">
        <w:rPr>
          <w:rFonts w:ascii="ArialMT" w:hAnsi="ArialMT"/>
          <w:color w:val="000000"/>
          <w:szCs w:val="24"/>
        </w:rPr>
        <w:instrText xml:space="preserve"> mice became cachectic and manifested decreased serum albumin levels, albumin synthesis, and albumin mRNA levels. However, even before the TNF</w:instrText>
      </w:r>
      <w:r w:rsidR="0085653B">
        <w:rPr>
          <w:rFonts w:ascii="ArialMT" w:hAnsi="ArialMT" w:hint="eastAsia"/>
          <w:color w:val="000000"/>
          <w:szCs w:val="24"/>
        </w:rPr>
        <w:instrText>α</w:instrText>
      </w:r>
      <w:r w:rsidR="0085653B">
        <w:rPr>
          <w:rFonts w:ascii="ArialMT" w:hAnsi="ArialMT"/>
          <w:color w:val="000000"/>
          <w:szCs w:val="24"/>
        </w:rPr>
        <w:instrText xml:space="preserve"> mice lost weight, their albumin mRNA steady-state levels were decreased ≈90%, and in situ hybridization revealed a low level of albumin gene expression throughout the hepatic lobule. The mRNA levels of several other genes were unchanged. Hepatic nuclei from TNF</w:instrText>
      </w:r>
      <w:r w:rsidR="0085653B">
        <w:rPr>
          <w:rFonts w:ascii="ArialMT" w:hAnsi="ArialMT" w:hint="eastAsia"/>
          <w:color w:val="000000"/>
          <w:szCs w:val="24"/>
        </w:rPr>
        <w:instrText>α</w:instrText>
      </w:r>
      <w:r w:rsidR="0085653B">
        <w:rPr>
          <w:rFonts w:ascii="ArialMT" w:hAnsi="ArialMT"/>
          <w:color w:val="000000"/>
          <w:szCs w:val="24"/>
        </w:rPr>
        <w:instrText xml:space="preserve"> mice before the onset of weight loss were markedly less active in transcribing the albumin gene than hepatic nuclei from control mice. Therefore, TNF</w:instrText>
      </w:r>
      <w:r w:rsidR="0085653B">
        <w:rPr>
          <w:rFonts w:ascii="ArialMT" w:hAnsi="ArialMT" w:hint="eastAsia"/>
          <w:color w:val="000000"/>
          <w:szCs w:val="24"/>
        </w:rPr>
        <w:instrText>α</w:instrText>
      </w:r>
      <w:r w:rsidR="0085653B">
        <w:rPr>
          <w:rFonts w:ascii="ArialMT" w:hAnsi="ArialMT"/>
          <w:color w:val="000000"/>
          <w:szCs w:val="24"/>
        </w:rPr>
        <w:instrText xml:space="preserve"> selectively inhibits the genetic expression of albumin in this model before weight loss.","author":[{"dropping-particle":"","family":"Brenner","given":"D. A.","non-dropping-particle":"","parse-names":false,"suffix":""},{"dropping-particle":"","family":"Buck","given":"M.","non-dropping-particle":"","parse-names":false,"suffix":""},{"dropping-particle":"","family":"Feitelberg","given":"S. P.","non-dropping-particle":"","parse-names":false,"suffix":""},{"dropping-particle":"","family":"Chojkier","given":"M.","non-dropping-particle":"","parse-names":false,"suffix":""}],"container-title":"Journal of Clinical Investigation","id":"ITEM-1","issue":"1","issued":{"date-parts":[["1990","1","1"]]},"page":"248-255","publisher":"The American Society for Clinical Investigation","title":"Tumor necrosis factor-</w:instrText>
      </w:r>
      <w:r w:rsidR="0085653B">
        <w:rPr>
          <w:rFonts w:ascii="ArialMT" w:hAnsi="ArialMT" w:hint="eastAsia"/>
          <w:color w:val="000000"/>
          <w:szCs w:val="24"/>
        </w:rPr>
        <w:instrText>α</w:instrText>
      </w:r>
      <w:r w:rsidR="0085653B">
        <w:rPr>
          <w:rFonts w:ascii="ArialMT" w:hAnsi="ArialMT"/>
          <w:color w:val="000000"/>
          <w:szCs w:val="24"/>
        </w:rPr>
        <w:instrText xml:space="preserve"> inhibits albumin gene expression in a murine model of cachexia","type":"article-journal","volume":"85"},"uris":["http://www.mendeley.com/documents/?uuid=1cdc11d6-98bc-3f4b-ab73-ea7f16e44141"]}],"mendeley":{"formattedCitation":"(20)","plainTextFormattedCitation":"(20)","previouslyFormattedCitation":"(20)"},"properties":{"noteIndex":0},"schema":"https://github.com/citation-style-language/schema/raw/master/csl-citation.json"}</w:instrText>
      </w:r>
      <w:r>
        <w:rPr>
          <w:rFonts w:ascii="ArialMT" w:hAnsi="ArialMT"/>
          <w:color w:val="000000"/>
          <w:szCs w:val="24"/>
        </w:rPr>
        <w:fldChar w:fldCharType="separate"/>
      </w:r>
      <w:r w:rsidR="0085653B" w:rsidRPr="0085653B">
        <w:rPr>
          <w:rFonts w:ascii="ArialMT" w:hAnsi="ArialMT"/>
          <w:noProof/>
          <w:color w:val="000000"/>
          <w:szCs w:val="24"/>
        </w:rPr>
        <w:t>(20)</w:t>
      </w:r>
      <w:r>
        <w:rPr>
          <w:rFonts w:ascii="ArialMT" w:hAnsi="ArialMT"/>
          <w:color w:val="000000"/>
          <w:szCs w:val="24"/>
        </w:rPr>
        <w:fldChar w:fldCharType="end"/>
      </w:r>
      <w:r>
        <w:rPr>
          <w:rFonts w:ascii="ArialMT" w:hAnsi="ArialMT"/>
          <w:color w:val="000000"/>
          <w:szCs w:val="24"/>
        </w:rPr>
        <w:t xml:space="preserve">. </w:t>
      </w:r>
      <w:r w:rsidRPr="00C850FB">
        <w:rPr>
          <w:rFonts w:ascii="ArialMT" w:hAnsi="ArialMT"/>
          <w:color w:val="000000"/>
          <w:szCs w:val="24"/>
        </w:rPr>
        <w:t xml:space="preserve">İnflamasyonda sitokin aracılı gelişen akut faz </w:t>
      </w:r>
      <w:r>
        <w:rPr>
          <w:rFonts w:ascii="ArialMT" w:hAnsi="ArialMT"/>
          <w:color w:val="000000"/>
          <w:szCs w:val="24"/>
        </w:rPr>
        <w:t xml:space="preserve">cevabında C-reaktif protein (CRP) ve </w:t>
      </w:r>
      <w:r w:rsidRPr="00C850FB">
        <w:rPr>
          <w:rFonts w:ascii="ArialMT" w:hAnsi="ArialMT"/>
          <w:color w:val="000000"/>
          <w:szCs w:val="24"/>
        </w:rPr>
        <w:t>fibrinojen yapımı ve sekresyonu artarken</w:t>
      </w:r>
      <w:r>
        <w:rPr>
          <w:rFonts w:ascii="ArialMT" w:hAnsi="ArialMT"/>
          <w:color w:val="000000"/>
          <w:szCs w:val="24"/>
        </w:rPr>
        <w:t>,</w:t>
      </w:r>
      <w:r w:rsidRPr="00C850FB">
        <w:rPr>
          <w:rFonts w:ascii="ArialMT" w:hAnsi="ArialMT"/>
          <w:color w:val="000000"/>
          <w:szCs w:val="24"/>
        </w:rPr>
        <w:t xml:space="preserve"> </w:t>
      </w:r>
      <w:r w:rsidR="008419DB" w:rsidRPr="00C850FB">
        <w:rPr>
          <w:rFonts w:ascii="ArialMT" w:hAnsi="ArialMT"/>
          <w:color w:val="000000"/>
          <w:szCs w:val="24"/>
        </w:rPr>
        <w:t>albümin</w:t>
      </w:r>
      <w:r w:rsidR="008419DB">
        <w:rPr>
          <w:rFonts w:ascii="ArialMT" w:hAnsi="ArialMT"/>
          <w:color w:val="000000"/>
          <w:szCs w:val="24"/>
        </w:rPr>
        <w:t>in</w:t>
      </w:r>
      <w:r w:rsidRPr="00C850FB">
        <w:rPr>
          <w:rFonts w:ascii="ArialMT" w:hAnsi="ArialMT"/>
          <w:color w:val="000000"/>
          <w:szCs w:val="24"/>
        </w:rPr>
        <w:t xml:space="preserve"> plazma konsantrasyonları düşer.</w:t>
      </w:r>
      <w:r>
        <w:rPr>
          <w:rFonts w:ascii="ArialMT" w:hAnsi="ArialMT"/>
          <w:color w:val="000000"/>
          <w:szCs w:val="24"/>
        </w:rPr>
        <w:t xml:space="preserve"> </w:t>
      </w:r>
    </w:p>
    <w:p w14:paraId="31CB24E7" w14:textId="7A09B43C" w:rsidR="00A5415B" w:rsidRPr="00FA28BF" w:rsidRDefault="00A5415B" w:rsidP="00E01C19">
      <w:r w:rsidRPr="00FA28BF">
        <w:rPr>
          <w:rStyle w:val="fontstyle21"/>
          <w:rFonts w:ascii="Times New Roman" w:hAnsi="Times New Roman"/>
          <w:b/>
          <w:bCs/>
          <w:color w:val="auto"/>
        </w:rPr>
        <w:t>Karaciğer rejenerasyonu</w:t>
      </w:r>
      <w:r w:rsidR="009C68D0" w:rsidRPr="00FA28BF">
        <w:rPr>
          <w:rStyle w:val="fontstyle21"/>
          <w:rFonts w:ascii="Times New Roman" w:hAnsi="Times New Roman"/>
          <w:b/>
          <w:bCs/>
          <w:color w:val="auto"/>
        </w:rPr>
        <w:t xml:space="preserve">: </w:t>
      </w:r>
      <w:r w:rsidRPr="00FA28BF">
        <w:t xml:space="preserve">Genel olarak parsiyel hepatektomi bir tür </w:t>
      </w:r>
      <w:r w:rsidRPr="00FA28BF">
        <w:rPr>
          <w:rFonts w:ascii="OpenSans-Italic" w:hAnsi="OpenSans-Italic"/>
        </w:rPr>
        <w:t>karaci</w:t>
      </w:r>
      <w:r w:rsidRPr="00FA28BF">
        <w:rPr>
          <w:rFonts w:ascii="Arial-ItalicMT" w:hAnsi="Arial-ItalicMT"/>
        </w:rPr>
        <w:t>ğ</w:t>
      </w:r>
      <w:r w:rsidRPr="00FA28BF">
        <w:rPr>
          <w:rFonts w:ascii="OpenSans-Italic" w:hAnsi="OpenSans-Italic"/>
        </w:rPr>
        <w:t>er hasarıdır</w:t>
      </w:r>
      <w:r w:rsidRPr="00FA28BF">
        <w:t>, ancak hemen histolojik hasar ortaya çıkmaz. Bu nedenle, karaci</w:t>
      </w:r>
      <w:r w:rsidRPr="00FA28BF">
        <w:rPr>
          <w:rFonts w:ascii="ArialMT" w:hAnsi="ArialMT"/>
        </w:rPr>
        <w:t>ğ</w:t>
      </w:r>
      <w:r w:rsidRPr="00FA28BF">
        <w:t>er rejenerasyonu sırasında tetiklenen sinyal yollarının, di</w:t>
      </w:r>
      <w:r w:rsidRPr="00FA28BF">
        <w:rPr>
          <w:rFonts w:ascii="ArialMT" w:hAnsi="ArialMT"/>
        </w:rPr>
        <w:t>ğ</w:t>
      </w:r>
      <w:r w:rsidRPr="00FA28BF">
        <w:t xml:space="preserve">er dokularda görülen </w:t>
      </w:r>
      <w:r w:rsidRPr="00FA28BF">
        <w:rPr>
          <w:rFonts w:ascii="OpenSans-Italic" w:hAnsi="OpenSans-Italic"/>
        </w:rPr>
        <w:t>yara iyile</w:t>
      </w:r>
      <w:r w:rsidRPr="00FA28BF">
        <w:rPr>
          <w:rFonts w:ascii="Arial-ItalicMT" w:hAnsi="Arial-ItalicMT"/>
        </w:rPr>
        <w:t>ş</w:t>
      </w:r>
      <w:r w:rsidRPr="00FA28BF">
        <w:rPr>
          <w:rFonts w:ascii="OpenSans-Italic" w:hAnsi="OpenSans-Italic"/>
        </w:rPr>
        <w:t xml:space="preserve">mesine </w:t>
      </w:r>
      <w:r w:rsidRPr="00FA28BF">
        <w:t xml:space="preserve">kuvvetli bir </w:t>
      </w:r>
      <w:r w:rsidRPr="00FA28BF">
        <w:rPr>
          <w:rFonts w:ascii="ArialMT" w:hAnsi="ArialMT"/>
        </w:rPr>
        <w:t>ş</w:t>
      </w:r>
      <w:r w:rsidRPr="00FA28BF">
        <w:t xml:space="preserve">ekilde benzemesi </w:t>
      </w:r>
      <w:r w:rsidRPr="00FA28BF">
        <w:rPr>
          <w:rFonts w:ascii="ArialMT" w:hAnsi="ArialMT"/>
        </w:rPr>
        <w:t>ş</w:t>
      </w:r>
      <w:r w:rsidRPr="00FA28BF">
        <w:t>a</w:t>
      </w:r>
      <w:r w:rsidRPr="00FA28BF">
        <w:rPr>
          <w:rFonts w:ascii="ArialMT" w:hAnsi="ArialMT"/>
        </w:rPr>
        <w:t>ş</w:t>
      </w:r>
      <w:r w:rsidRPr="00FA28BF">
        <w:t>ırtıcı de</w:t>
      </w:r>
      <w:r w:rsidRPr="00FA28BF">
        <w:rPr>
          <w:rFonts w:ascii="ArialMT" w:hAnsi="ArialMT"/>
        </w:rPr>
        <w:t>ğ</w:t>
      </w:r>
      <w:r w:rsidRPr="00FA28BF">
        <w:t>ildir</w:t>
      </w:r>
      <w:r w:rsidR="00A40FB5">
        <w:t xml:space="preserve">. </w:t>
      </w:r>
      <w:r w:rsidRPr="00FA28BF">
        <w:t>Klasik yara iyile</w:t>
      </w:r>
      <w:r w:rsidRPr="00FA28BF">
        <w:rPr>
          <w:rFonts w:ascii="ArialMT" w:hAnsi="ArialMT"/>
        </w:rPr>
        <w:t>ş</w:t>
      </w:r>
      <w:r w:rsidR="00A40FB5">
        <w:t>me sürecind</w:t>
      </w:r>
      <w:r w:rsidR="00E01C19" w:rsidRPr="00FA28BF">
        <w:t xml:space="preserve">en </w:t>
      </w:r>
      <w:r w:rsidRPr="00FA28BF">
        <w:t>fark</w:t>
      </w:r>
      <w:r w:rsidR="00E01C19" w:rsidRPr="00FA28BF">
        <w:t>ı</w:t>
      </w:r>
      <w:r w:rsidRPr="00FA28BF">
        <w:t>, karaci</w:t>
      </w:r>
      <w:r w:rsidRPr="00FA28BF">
        <w:rPr>
          <w:rFonts w:ascii="ArialMT" w:hAnsi="ArialMT"/>
        </w:rPr>
        <w:t>ğ</w:t>
      </w:r>
      <w:r w:rsidRPr="00FA28BF">
        <w:t>erde gözlenen de</w:t>
      </w:r>
      <w:r w:rsidRPr="00FA28BF">
        <w:rPr>
          <w:rFonts w:ascii="ArialMT" w:hAnsi="ArialMT"/>
        </w:rPr>
        <w:t>ğ</w:t>
      </w:r>
      <w:r w:rsidRPr="00FA28BF">
        <w:t>i</w:t>
      </w:r>
      <w:r w:rsidRPr="00FA28BF">
        <w:rPr>
          <w:rFonts w:ascii="ArialMT" w:hAnsi="ArialMT"/>
        </w:rPr>
        <w:t>ş</w:t>
      </w:r>
      <w:r w:rsidRPr="00FA28BF">
        <w:t xml:space="preserve">ikliklerin tüm organ üzerinde </w:t>
      </w:r>
      <w:r w:rsidR="009C68D0" w:rsidRPr="00FA28BF">
        <w:t>m</w:t>
      </w:r>
      <w:r w:rsidRPr="00FA28BF">
        <w:t>eydana gelmesi ve bazı sinyallerin kısmen periferik dola</w:t>
      </w:r>
      <w:r w:rsidRPr="00FA28BF">
        <w:rPr>
          <w:rFonts w:ascii="ArialMT" w:hAnsi="ArialMT"/>
        </w:rPr>
        <w:t>ş</w:t>
      </w:r>
      <w:r w:rsidRPr="00FA28BF">
        <w:t>ımdan türetilebilmesidir</w:t>
      </w:r>
      <w:r w:rsidR="00334626">
        <w:t xml:space="preserve"> </w:t>
      </w:r>
      <w:r w:rsidR="00444213" w:rsidRPr="00444213">
        <w:fldChar w:fldCharType="begin" w:fldLock="1"/>
      </w:r>
      <w:r w:rsidR="0085653B">
        <w:instrText>ADDIN CSL_CITATION {"citationItems":[{"id":"ITEM-1","itemData":{"DOI":"10.1038/nrgastro.2016.168","ISSN":"17595053","PMID":"27924081","abstract":"Sepsis and septic shock are characterized by life-threatening organ dysfunction caused by a dysregulated host response to infection. The liver has a central role during sepsis, and is essential to the regulation of immune defence during systemic infections by mechanisms such as bacterial clearance, acute-phase protein or cytokine production and metabolic adaptation to inflammation. However, the liver is also a target for sepsis-related injury, including hypoxic hepatitis due to ischaemia and shock, cholestasis due to altered bile metabolism, hepatocellular injury due to drug toxicity or overwhelming inflammation, as well as distinct pathologies such as secondary sclerosing cholangitis in critically ill patients. Hence, hepatic dysfunction substantially impairs the prognosis of sepsis and serves as a powerful independent predictor of mortality in the intensive care unit. Sepsis is particularly problematic in patients with liver cirrhosis (who experience increased bacterial translocation from the gut and impaired microbial defence) as it can trigger acute-on-chronic liver failure-a syndrome with high short-term mortality. Here, we review the importance of the liver as a guardian, modifier and target of sepsis, the factors that contribute to sepsis in patients with liver cirrhosis and new therapeutic strategies.","author":[{"dropping-particle":"","family":"Strnad","given":"Pavel","non-dropping-particle":"","parse-names":false,"suffix":""},{"dropping-particle":"","family":"Tacke","given":"Frank","non-dropping-particle":"","parse-names":false,"suffix":""},{"dropping-particle":"","family":"Koch","given":"Alexander","non-dropping-particle":"","parse-names":false,"suffix":""},{"dropping-particle":"","family":"Trautwein","given":"Christian","non-dropping-particle":"","parse-names":false,"suffix":""}],"container-title":"Nature Reviews Gastroenterology and Hepatology","id":"ITEM-1","issue":"1","issued":{"date-parts":[["2017","1","1"]]},"page":"55-66","publisher":"Nature Publishing Group","title":"Liver-guardian, modifier and target of sepsis","type":"article","volume":"14"},"uris":["http://www.mendeley.com/documents/?uuid=d55729ed-edd2-396f-91f0-95a44f31c9c1"]},{"id":"ITEM-2","itemData":{"DOI":"10.1016/j.trsl.2014.01.005","ISSN":"18781810","PMID":"24495569","abstract":"The liver is unique in its ability to regenerate in response to injury. A number of evolutionary safeguards have allowed the liver to continue to perform its complex functions despite significant injury. Increased understanding of the regenerative process has significant benefit in the treatment of liver failure. Furthermore, understanding of liver regeneration may shed light on the development of cancer within the cirrhotic liver. This review provides an overview of the models of study currently used in liver regeneration, the molecular basis of liver regeneration, and the role of liver progenitor cells in regeneration of the liver. Specific focus is placed on clinical applications of current knowledge in liver regeneration, including small-for-size liver transplant. Furthermore, cutting-edge topics in liver regeneration, including in vivo animal models for xenogeneic human hepatocyte expansion and the use of decellularized liver matrices as a 3-dimensional scaffold for liver repopulation, are proposed. Unfortunately, despite 50 years of intense study, many gaps remain in the scientific understanding of liver regeneration. © 2014 Mosby, Inc. All rights reserved.","author":[{"dropping-particle":"","family":"Mao","given":"Shennen A.","non-dropping-particle":"","parse-names":false,"suffix":""},{"dropping-particle":"","family":"Glorioso","given":"Jaime M.","non-dropping-particle":"","parse-names":false,"suffix":""},{"dropping-particle":"","family":"Nyberg","given":"Scott L.","non-dropping-particle":"","parse-names":false,"suffix":""}],"container-title":"Translational Research","id":"ITEM-2","issue":"4","issued":{"date-parts":[["2014","4","1"]]},"page":"352-362","publisher":"Mosby Inc.","title":"Liver regeneration","type":"article","volume":"163"},"uris":["http://www.mendeley.com/documents/?uuid=8ab348dc-022e-314f-9b9c-b32a12e5eec9"]}],"mendeley":{"formattedCitation":"(8,21)","plainTextFormattedCitation":"(8,21)","previouslyFormattedCitation":"(8,21)"},"properties":{"noteIndex":0},"schema":"https://github.com/citation-style-language/schema/raw/master/csl-citation.json"}</w:instrText>
      </w:r>
      <w:r w:rsidR="00444213" w:rsidRPr="00444213">
        <w:fldChar w:fldCharType="separate"/>
      </w:r>
      <w:r w:rsidR="0085653B" w:rsidRPr="0085653B">
        <w:rPr>
          <w:noProof/>
        </w:rPr>
        <w:t>(8,21)</w:t>
      </w:r>
      <w:r w:rsidR="00444213" w:rsidRPr="00444213">
        <w:fldChar w:fldCharType="end"/>
      </w:r>
      <w:r w:rsidR="00444213" w:rsidRPr="00444213">
        <w:t>.</w:t>
      </w:r>
    </w:p>
    <w:p w14:paraId="31CB24EC" w14:textId="77777777" w:rsidR="00E01C19" w:rsidRDefault="00E01C19" w:rsidP="008A5571">
      <w:pPr>
        <w:ind w:firstLine="0"/>
        <w:rPr>
          <w:rFonts w:ascii="Arial" w:hAnsi="Arial" w:cs="Arial"/>
          <w:color w:val="1C1D1E"/>
          <w:highlight w:val="yellow"/>
          <w:shd w:val="clear" w:color="auto" w:fill="FFFFFF"/>
        </w:rPr>
      </w:pPr>
    </w:p>
    <w:p w14:paraId="31CB24ED" w14:textId="165CD79D" w:rsidR="00F41C9D" w:rsidRPr="003656DA" w:rsidRDefault="000974EB" w:rsidP="00C50692">
      <w:pPr>
        <w:pStyle w:val="Balk2"/>
        <w:numPr>
          <w:ilvl w:val="0"/>
          <w:numId w:val="12"/>
        </w:numPr>
      </w:pPr>
      <w:bookmarkStart w:id="24" w:name="_Toc55727774"/>
      <w:bookmarkStart w:id="25" w:name="_Toc45265878"/>
      <w:r w:rsidRPr="003656DA">
        <w:t>K</w:t>
      </w:r>
      <w:r>
        <w:t>araciğer</w:t>
      </w:r>
      <w:r w:rsidRPr="003656DA">
        <w:t xml:space="preserve"> </w:t>
      </w:r>
      <w:r>
        <w:t>N</w:t>
      </w:r>
      <w:r w:rsidRPr="003656DA">
        <w:t xml:space="preserve">akil </w:t>
      </w:r>
      <w:r>
        <w:t>E</w:t>
      </w:r>
      <w:r w:rsidR="00A854EE" w:rsidRPr="003656DA">
        <w:t>ndikasyonla</w:t>
      </w:r>
      <w:r w:rsidR="00D85293">
        <w:t>rı</w:t>
      </w:r>
      <w:bookmarkEnd w:id="24"/>
      <w:r w:rsidR="00D85293">
        <w:t xml:space="preserve"> </w:t>
      </w:r>
      <w:bookmarkEnd w:id="25"/>
    </w:p>
    <w:p w14:paraId="31CB24EF" w14:textId="31C65EA2" w:rsidR="00D85293" w:rsidRDefault="00D85293" w:rsidP="00D85293">
      <w:pPr>
        <w:rPr>
          <w:color w:val="FF0000"/>
        </w:rPr>
      </w:pPr>
      <w:r>
        <w:t>A</w:t>
      </w:r>
      <w:r w:rsidR="00AE6C19" w:rsidRPr="00122373">
        <w:t>kut ve</w:t>
      </w:r>
      <w:r>
        <w:t>ya</w:t>
      </w:r>
      <w:r w:rsidR="00AE6C19">
        <w:t xml:space="preserve"> </w:t>
      </w:r>
      <w:r w:rsidR="00AE6C19" w:rsidRPr="00122373">
        <w:t>kronik karaciğer yetmezliği nedeniyle</w:t>
      </w:r>
      <w:r>
        <w:t xml:space="preserve"> </w:t>
      </w:r>
      <w:r w:rsidR="00AE6C19">
        <w:t xml:space="preserve">pek çok merkezde </w:t>
      </w:r>
      <w:r w:rsidR="00AE6C19" w:rsidRPr="00960B39">
        <w:t>hastaların kesin</w:t>
      </w:r>
      <w:r w:rsidR="006E19F5">
        <w:t xml:space="preserve"> </w:t>
      </w:r>
      <w:r w:rsidR="00AE6C19" w:rsidRPr="00960B39">
        <w:t xml:space="preserve">tedavisi için karaciğer </w:t>
      </w:r>
      <w:r w:rsidR="006E19F5">
        <w:t>nakli</w:t>
      </w:r>
      <w:r w:rsidR="00AE6C19" w:rsidRPr="00960B39">
        <w:t xml:space="preserve"> uygulanmaktadır. </w:t>
      </w:r>
    </w:p>
    <w:p w14:paraId="3FD34565" w14:textId="36F1CF23" w:rsidR="00C80357" w:rsidRDefault="00C80357" w:rsidP="00C80357">
      <w:r w:rsidRPr="00507FCF">
        <w:t xml:space="preserve">Transplantasyon endikasyonları içerisinde karaciğer sirozu birinci sırada yer alır. Bu durum Amerika, Avrupa ve ülkemizde de benzedir. Amerika‘da karaciğer nakil endikasyonları arasında viral hepatit C (HCV) ve alkolik siroz ilk sırayı alırken, Avrupa da benzer bir durum söz konusudur. Ülkemizde ise </w:t>
      </w:r>
      <w:r w:rsidR="00B0144B">
        <w:t>nakil yapılan olguların %60-70‘t</w:t>
      </w:r>
      <w:r w:rsidRPr="00507FCF">
        <w:t>en fazlasını kronik viral hepatit B‘ye (HBV) bağlı siroz vakaları oluşturmaktadır</w:t>
      </w:r>
      <w:r w:rsidR="00507FCF" w:rsidRPr="00507FCF">
        <w:t xml:space="preserve"> </w:t>
      </w:r>
      <w:r w:rsidR="00507FCF" w:rsidRPr="00507FCF">
        <w:fldChar w:fldCharType="begin" w:fldLock="1"/>
      </w:r>
      <w:r w:rsidR="0085653B">
        <w:instrText>ADDIN CSL_CITATION {"citationItems":[{"id":"ITEM-1","itemData":{"DOI":"10.1016/j.lts.2003.09.018","ISSN":"15276465","PMID":"14625822","abstract":"The European Liver Transplant Registry (ELTR) currently allows for the analysis of 44,286 liver transplantations (LTs) performed on 39,196 patients in a 13-year period. After an exponential increase, the number of LTs is plateauing due to a lack of organs. To cope with this, alternatives to cadaveric LT, such as split LT, domino LT, or living-related LT (LRLT) are being used increasingly. They now account for 11% of all procedures. One of the most important findings in the evolution of LT is the considerable improvement of results along time with, for the mean time, a one-year survival of 83%, all indications confounded. The improvement is particularly significant for cancers. This improvement is mainly represented by hepatocellular carcinoma, with a gain of 17% for 5-year survival rate from 1990 to 2000. Increasingly, older donors are used to augment the donor pool and older recipients are transplanted due to improved results and a better selection of patients. More than two thirds of deaths and three quarters of retransplantations occurred within the first year of transplantation. Retransplantation is associated with much less optimal results than first LT. One of the prominent features of recent years is the development of LRLT. LRLT is now performed by almost half of the European centers. As with split LT or domino LT, LRLT aims to provide more patients to be transplanted. Special attention is paid to reducing the risk for the donor, which is now estimated to be 0.5% mortality and 21% postoperative morbidity.","author":[{"dropping-particle":"","family":"Adam","given":"René","non-dropping-particle":"","parse-names":false,"suffix":""},{"dropping-particle":"","family":"McMaster","given":"Paul","non-dropping-particle":"","parse-names":false,"suffix":""},{"dropping-particle":"","family":"O'Grady","given":"John G.","non-dropping-particle":"","parse-names":false,"suffix":""},{"dropping-particle":"","family":"Castaing","given":"Denis","non-dropping-particle":"","parse-names":false,"suffix":""},{"dropping-particle":"","family":"Klempnauer","given":"Jurgen L.","non-dropping-particle":"","parse-names":false,"suffix":""},{"dropping-particle":"","family":"Jamieson","given":"Neville","non-dropping-particle":"","parse-names":false,"suffix":""},{"dropping-particle":"","family":"Neuhaus","given":"Peter","non-dropping-particle":"","parse-names":false,"suffix":""},{"dropping-particle":"","family":"Lerut","given":"Jan","non-dropping-particle":"","parse-names":false,"suffix":""},{"dropping-particle":"","family":"Salizzoni","given":"Mauro","non-dropping-particle":"","parse-names":false,"suffix":""},{"dropping-particle":"","family":"Pollard","given":"Stephen","non-dropping-particle":"","parse-names":false,"suffix":""},{"dropping-particle":"","family":"Muhlbacher","given":"Ferdinand","non-dropping-particle":"","parse-names":false,"suffix":""},{"dropping-particle":"","family":"Rogiers","given":"Xavier","non-dropping-particle":"","parse-names":false,"suffix":""},{"dropping-particle":"","family":"Garcia Valdecasas","given":"Juan Carlos","non-dropping-particle":"","parse-names":false,"suffix":""},{"dropping-particle":"","family":"Berenguer","given":"Joaquin","non-dropping-particle":"","parse-names":false,"suffix":""},{"dropping-particle":"","family":"Jaeck","given":"Daniel","non-dropping-particle":"","parse-names":false,"suffix":""},{"dropping-particle":"","family":"Moreno Gonzalez","given":"Enrique","non-dropping-particle":"","parse-names":false,"suffix":""}],"container-title":"Liver Transplantation","id":"ITEM-1","issue":"12","issued":{"date-parts":[["2003","12","1"]]},"page":"1231-1243","publisher":"W.B. Saunders","title":"Evolution of liver transplantation in Europe: Report of the European Liver Transplant Registry","type":"article","volume":"9"},"uris":["http://www.mendeley.com/documents/?uuid=697ebacc-3df0-3b72-a009-c0ab209e5f2b"]}],"mendeley":{"formattedCitation":"(22)","plainTextFormattedCitation":"(22)","previouslyFormattedCitation":"(22)"},"properties":{"noteIndex":0},"schema":"https://github.com/citation-style-language/schema/raw/master/csl-citation.json"}</w:instrText>
      </w:r>
      <w:r w:rsidR="00507FCF" w:rsidRPr="00507FCF">
        <w:fldChar w:fldCharType="separate"/>
      </w:r>
      <w:r w:rsidR="0085653B" w:rsidRPr="0085653B">
        <w:rPr>
          <w:noProof/>
        </w:rPr>
        <w:t>(22)</w:t>
      </w:r>
      <w:r w:rsidR="00507FCF" w:rsidRPr="00507FCF">
        <w:fldChar w:fldCharType="end"/>
      </w:r>
      <w:r w:rsidRPr="00507FCF">
        <w:t>.</w:t>
      </w:r>
      <w:r w:rsidRPr="00507FCF">
        <w:br/>
        <w:t>Çocuklarda biliyer atrezi, erişkinlerde ise çeşitli karaciğer hastalıklarından dolayı ortaya çıkan metabolik olaylar karaciğer nakil endikasyonu için major nedenlerdir. Ancak akut (fulminan) karaciğer yetmezliği veya kronik son dönem karaciğer hastalığı zemininde gelişen akut olaylar sonucunda da acil transplantasyon gerekebilir</w:t>
      </w:r>
      <w:r w:rsidR="00507FCF" w:rsidRPr="00507FCF">
        <w:t xml:space="preserve"> </w:t>
      </w:r>
      <w:r w:rsidR="00507FCF" w:rsidRPr="00507FCF">
        <w:fldChar w:fldCharType="begin" w:fldLock="1"/>
      </w:r>
      <w:r w:rsidR="0085653B">
        <w:instrText>ADDIN CSL_CITATION {"citationItems":[{"id":"ITEM-1","itemData":{"author":[{"dropping-particle":"","family":"Kasapoğlu","given":"Benan","non-dropping-particle":"","parse-names":false,"suffix":""},{"dropping-particle":"","family":"Serkan YALÇIN","given":"K","non-dropping-particle":"","parse-names":false,"suffix":""},{"dropping-particle":"","family":"Türkay","given":"Cansel","non-dropping-particle":"","parse-names":false,"suffix":""},{"dropping-particle":"","family":"Üniversitesi Tıp Fakültesi","given":"Fatih","non-dropping-particle":"","parse-names":false,"suffix":""},{"dropping-particle":"","family":"Hastalıkları Ana Bilim Dalı","given":"İç","non-dropping-particle":"","parse-names":false,"suffix":""},{"dropping-particle":"","family":"Bilim Dalı","given":"Gastroenteroloji","non-dropping-particle":"","parse-names":false,"suffix":""}],"container-title":"guncel.tgv.org.tr","id":"ITEM-1","issued":{"date-parts":[["0"]]},"title":"Canlı Donörden Karaciğer Transplantasyonu","type":"report"},"uris":["http://www.mendeley.com/documents/?uuid=812c6e0c-a776-36f5-88f6-9625e46fea54"]}],"mendeley":{"formattedCitation":"(23)","plainTextFormattedCitation":"(23)","previouslyFormattedCitation":"(23)"},"properties":{"noteIndex":0},"schema":"https://github.com/citation-style-language/schema/raw/master/csl-citation.json"}</w:instrText>
      </w:r>
      <w:r w:rsidR="00507FCF" w:rsidRPr="00507FCF">
        <w:fldChar w:fldCharType="separate"/>
      </w:r>
      <w:r w:rsidR="0085653B" w:rsidRPr="0085653B">
        <w:rPr>
          <w:noProof/>
        </w:rPr>
        <w:t>(23)</w:t>
      </w:r>
      <w:r w:rsidR="00507FCF" w:rsidRPr="00507FCF">
        <w:fldChar w:fldCharType="end"/>
      </w:r>
      <w:r w:rsidRPr="00507FCF">
        <w:t>.</w:t>
      </w:r>
    </w:p>
    <w:p w14:paraId="63DB59CA" w14:textId="77777777" w:rsidR="00A81EDF" w:rsidRDefault="00A81EDF" w:rsidP="009F4DCE"/>
    <w:p w14:paraId="15BFACD0" w14:textId="77777777" w:rsidR="00152ED6" w:rsidRDefault="00152ED6" w:rsidP="009F4DCE"/>
    <w:p w14:paraId="31CB24F3" w14:textId="77777777" w:rsidR="0064270E" w:rsidRDefault="00616CDA" w:rsidP="00C50692">
      <w:pPr>
        <w:pStyle w:val="Balk2"/>
        <w:numPr>
          <w:ilvl w:val="0"/>
          <w:numId w:val="12"/>
        </w:numPr>
      </w:pPr>
      <w:bookmarkStart w:id="26" w:name="_Toc45265879"/>
      <w:bookmarkStart w:id="27" w:name="_Toc55727775"/>
      <w:r w:rsidRPr="003656DA">
        <w:lastRenderedPageBreak/>
        <w:t>K</w:t>
      </w:r>
      <w:r w:rsidR="000974EB">
        <w:t>araciğer</w:t>
      </w:r>
      <w:r w:rsidRPr="003656DA">
        <w:t xml:space="preserve"> </w:t>
      </w:r>
      <w:r w:rsidR="000974EB">
        <w:t>N</w:t>
      </w:r>
      <w:r w:rsidRPr="003656DA">
        <w:t>akl</w:t>
      </w:r>
      <w:r w:rsidR="009C30CA">
        <w:t>i</w:t>
      </w:r>
      <w:r w:rsidRPr="003656DA">
        <w:t xml:space="preserve"> </w:t>
      </w:r>
      <w:r w:rsidR="000974EB">
        <w:t>K</w:t>
      </w:r>
      <w:r w:rsidRPr="003656DA">
        <w:t>omplikasyonları</w:t>
      </w:r>
      <w:bookmarkEnd w:id="26"/>
      <w:bookmarkEnd w:id="27"/>
    </w:p>
    <w:p w14:paraId="1CF26B78" w14:textId="77777777" w:rsidR="00152ED6" w:rsidRPr="00152ED6" w:rsidRDefault="00152ED6" w:rsidP="00152ED6"/>
    <w:p w14:paraId="31CB24F4" w14:textId="77777777" w:rsidR="0064270E" w:rsidRDefault="00352D52" w:rsidP="00D84756">
      <w:pPr>
        <w:pStyle w:val="Balk3"/>
        <w:numPr>
          <w:ilvl w:val="0"/>
          <w:numId w:val="9"/>
        </w:numPr>
        <w:ind w:hanging="578"/>
      </w:pPr>
      <w:bookmarkStart w:id="28" w:name="_Toc45265880"/>
      <w:bookmarkStart w:id="29" w:name="_Toc55727776"/>
      <w:r w:rsidRPr="003D7722">
        <w:t>Enfeksiyon</w:t>
      </w:r>
      <w:r w:rsidR="00694456">
        <w:t>a Bağlı K</w:t>
      </w:r>
      <w:r w:rsidR="003D7722">
        <w:t>omplikasyonlar</w:t>
      </w:r>
      <w:bookmarkEnd w:id="28"/>
      <w:bookmarkEnd w:id="29"/>
    </w:p>
    <w:p w14:paraId="624B214E" w14:textId="77777777" w:rsidR="00507FCF" w:rsidRDefault="00507FCF" w:rsidP="00507FCF">
      <w:r w:rsidRPr="00507FCF">
        <w:t>Cerrahi faktörler, immünsüpresyon seviyesi ve çevresel temasa göre nakilden sonra görülen enfeksiyonlar</w:t>
      </w:r>
      <w:r w:rsidRPr="00C51DF3">
        <w:t>; erken dönem (ilk bir ay),</w:t>
      </w:r>
      <w:r>
        <w:t xml:space="preserve"> </w:t>
      </w:r>
      <w:r w:rsidRPr="00C51DF3">
        <w:t>ara dönem (1-6 ay arası)</w:t>
      </w:r>
      <w:r>
        <w:t xml:space="preserve"> ve</w:t>
      </w:r>
      <w:r w:rsidRPr="00C51DF3">
        <w:t xml:space="preserve"> geç dönem (6 aydan sonra) ol</w:t>
      </w:r>
      <w:r>
        <w:t xml:space="preserve">mak üzere </w:t>
      </w:r>
      <w:r w:rsidRPr="00C51DF3">
        <w:t>üç</w:t>
      </w:r>
      <w:r>
        <w:t xml:space="preserve"> </w:t>
      </w:r>
      <w:r w:rsidRPr="00C51DF3">
        <w:t xml:space="preserve">dönem halinde incelenmektedir. </w:t>
      </w:r>
    </w:p>
    <w:p w14:paraId="21BB0DE6" w14:textId="7F67C70B" w:rsidR="00507FCF" w:rsidRDefault="00507FCF" w:rsidP="00507FCF">
      <w:pPr>
        <w:rPr>
          <w:color w:val="FF0000"/>
        </w:rPr>
      </w:pPr>
      <w:r w:rsidRPr="00C51DF3">
        <w:t>Erken dönemde meydana gelen enfeksiyonlar</w:t>
      </w:r>
      <w:r>
        <w:t>ın</w:t>
      </w:r>
      <w:r w:rsidRPr="00C51DF3">
        <w:t xml:space="preserve"> </w:t>
      </w:r>
      <w:r>
        <w:t xml:space="preserve">çoğu </w:t>
      </w:r>
      <w:r w:rsidRPr="00C51DF3">
        <w:t>cerrahi veya teknik sorunlar</w:t>
      </w:r>
      <w:r>
        <w:t>la ilişkilidir</w:t>
      </w:r>
      <w:r w:rsidRPr="00DD0FE6">
        <w:t>.</w:t>
      </w:r>
      <w:r>
        <w:rPr>
          <w:rFonts w:ascii="Georgia" w:hAnsi="Georgia"/>
          <w:color w:val="2E2E2E"/>
          <w:sz w:val="27"/>
          <w:szCs w:val="27"/>
        </w:rPr>
        <w:t xml:space="preserve"> </w:t>
      </w:r>
      <w:r w:rsidRPr="00C51DF3">
        <w:t>Ara dönemde immünsüpresyonun etkileri ortaya çıkmakta ve buna bağlı olarak fırsatçı enfeksiyonlar</w:t>
      </w:r>
      <w:r>
        <w:t xml:space="preserve"> </w:t>
      </w:r>
      <w:r w:rsidRPr="00C51DF3">
        <w:t>gelişmekte, geç dönemde ise toplum kökenli bakteriyel enfeksiyonlar ve nadir görülen</w:t>
      </w:r>
      <w:r>
        <w:t xml:space="preserve"> enfeksiyonlar gelişebilmektedir </w:t>
      </w:r>
      <w:r>
        <w:fldChar w:fldCharType="begin" w:fldLock="1"/>
      </w:r>
      <w:r w:rsidR="0085653B">
        <w:instrText>ADDIN CSL_CITATION {"citationItems":[{"id":"ITEM-1","itemData":{"DOI":"10.3748/wjg.14.4977","ISSN":"10079327","PMID":"18763277","abstract":"Recent advances in effective antimicrobial prophylactic strategies have led to a decline in the incidence of opportunistic infections in liver transplant recipients. However, morbidity and mortality due to infectious diseases remain as major problems. Bacterial infections occurring early after transplant are mainly related to the technical aspects of the procedure. By contrast, after the first postoperative days and beyond, the nature and variety of infectious complications change. Opportunistic bacterial infections are uncommon after 6 mo in patients receiving stable and reduced maintenance doses of immunosuppression with good graft function and little is documented about these cases in the literature. Transplant recipients may be more susceptible to some pathogens, such as the Nocardia species, Legionella species, Listeria monocytogenes, Mycoplasma species, Salmonella species or Rhodococcus equi. Respiratory infections due to capsulated bacteria, such as Streptococcus pneumoniae and Haemophilus influenza, can be life-threatening if not promptly treated in this population. These late bacterial infections may be very difficult to recognize and treat in this population. In this article, we review what has been described in the literature with regards to late bacterial infections following liver transplantation. © 2008 The WJG Press. All rights reserved.","author":[{"dropping-particle":"","family":"Pozo","given":"Jose Luis","non-dropping-particle":"del","parse-names":false,"suffix":""}],"container-title":"World Journal of Gastroenterology","id":"ITEM-1","issue":"32","issued":{"date-parts":[["2008","8","28"]]},"page":"4977-4983","publisher":"Baishideng Publishing Group Inc","title":"del Pozo JL. Update and actual trends on bacterial infections following liver transplantation. World J Gastroenterol 2008; 14: 4977-83","type":"article-journal","volume":"14"},"uris":["http://www.mendeley.com/documents/?uuid=282427f3-fa95-4fd0-9baf-1acbc101a6e0"]}],"mendeley":{"formattedCitation":"(24)","plainTextFormattedCitation":"(24)","previouslyFormattedCitation":"(24)"},"properties":{"noteIndex":0},"schema":"https://github.com/citation-style-language/schema/raw/master/csl-citation.json"}</w:instrText>
      </w:r>
      <w:r>
        <w:fldChar w:fldCharType="separate"/>
      </w:r>
      <w:r w:rsidR="0085653B" w:rsidRPr="0085653B">
        <w:rPr>
          <w:noProof/>
        </w:rPr>
        <w:t>(24)</w:t>
      </w:r>
      <w:r>
        <w:fldChar w:fldCharType="end"/>
      </w:r>
      <w:r w:rsidRPr="00C51DF3">
        <w:t>.</w:t>
      </w:r>
      <w:r w:rsidRPr="00C51DF3">
        <w:rPr>
          <w:color w:val="FF0000"/>
        </w:rPr>
        <w:t xml:space="preserve"> </w:t>
      </w:r>
    </w:p>
    <w:p w14:paraId="3F6829CC" w14:textId="745EABEC" w:rsidR="00507FCF" w:rsidRDefault="00507FCF" w:rsidP="00507FCF">
      <w:pPr>
        <w:rPr>
          <w:rFonts w:eastAsia="TimesNewRomanPSMT"/>
        </w:rPr>
      </w:pPr>
      <w:r w:rsidRPr="00B1498C">
        <w:t>Çoğu</w:t>
      </w:r>
      <w:r>
        <w:t xml:space="preserve"> </w:t>
      </w:r>
      <w:r w:rsidRPr="00B1498C">
        <w:t>bakteriyel enfeksiyonlar karaciğer nakli alıcılarında ilk bir ayda meydana</w:t>
      </w:r>
      <w:r>
        <w:t xml:space="preserve"> </w:t>
      </w:r>
      <w:r w:rsidRPr="00B1498C">
        <w:t xml:space="preserve">gelmektedir. </w:t>
      </w:r>
      <w:r>
        <w:rPr>
          <w:rFonts w:eastAsia="TimesNewRomanPSMT"/>
        </w:rPr>
        <w:t>K</w:t>
      </w:r>
      <w:r w:rsidRPr="00B1498C">
        <w:rPr>
          <w:rFonts w:eastAsia="TimesNewRomanPSMT"/>
        </w:rPr>
        <w:t>araciğer nakli sonrası</w:t>
      </w:r>
      <w:r>
        <w:rPr>
          <w:rFonts w:eastAsia="TimesNewRomanPSMT"/>
        </w:rPr>
        <w:t xml:space="preserve">nda </w:t>
      </w:r>
      <w:r w:rsidRPr="00B1498C">
        <w:rPr>
          <w:rFonts w:eastAsia="TimesNewRomanPSMT"/>
        </w:rPr>
        <w:t>erken dönemde görülen</w:t>
      </w:r>
      <w:r>
        <w:rPr>
          <w:rFonts w:eastAsia="TimesNewRomanPSMT"/>
        </w:rPr>
        <w:t xml:space="preserve"> </w:t>
      </w:r>
      <w:r w:rsidRPr="00B1498C">
        <w:rPr>
          <w:rFonts w:eastAsia="TimesNewRomanPSMT"/>
        </w:rPr>
        <w:t xml:space="preserve">enfeksiyonların %27-47’sini </w:t>
      </w:r>
      <w:r>
        <w:rPr>
          <w:rFonts w:eastAsia="TimesNewRomanPSMT"/>
        </w:rPr>
        <w:t xml:space="preserve">intraabdominal kaynaklı sebepler </w:t>
      </w:r>
      <w:r w:rsidRPr="00B1498C">
        <w:rPr>
          <w:rFonts w:eastAsia="TimesNewRomanPSMT"/>
        </w:rPr>
        <w:t xml:space="preserve">oluşturmaktadır </w:t>
      </w:r>
      <w:r>
        <w:rPr>
          <w:rFonts w:eastAsia="TimesNewRomanPSMT"/>
        </w:rPr>
        <w:fldChar w:fldCharType="begin" w:fldLock="1"/>
      </w:r>
      <w:r w:rsidR="0085653B">
        <w:rPr>
          <w:rFonts w:eastAsia="TimesNewRomanPSMT"/>
        </w:rPr>
        <w:instrText>ADDIN CSL_CITATION {"citationItems":[{"id":"ITEM-1","itemData":{"DOI":"10.1086/320901","ISSN":"1058-4838","abstract":"In addition to the net state of immunosuppression, the risk of infection after transplantation is largely determined by the transplant recipient's epidemiologic exposures. Potential sources of infection in the transplant recipient include the environment and the recipient's endogenous flora. This article presents aspects of prevention of infection after solid-organ transplantation such as avoidance of epidemiologic exposures, antibacterial prophylaxis, prophylaxis for tuberculin-positive transplant recipients, and prophylaxis against infections with Pneumocystis carinii and Toxoplasma gondii.","author":[{"dropping-particle":"","family":"Soave","given":"Rosemary","non-dropping-particle":"","parse-names":false,"suffix":""}],"container-title":"Clinical Infectious Diseases","id":"ITEM-1","issue":"s1","issued":{"date-parts":[["2001","7","1"]]},"page":"S26-S31","publisher":"Oxford University Pre</w:instrText>
      </w:r>
      <w:r w:rsidR="0085653B">
        <w:rPr>
          <w:rFonts w:eastAsia="TimesNewRomanPSMT" w:hint="eastAsia"/>
        </w:rPr>
        <w:instrText>ss (OUP)","title":"Prophylaxis Strategies for Solid</w:instrText>
      </w:r>
      <w:r w:rsidR="0085653B">
        <w:rPr>
          <w:rFonts w:eastAsia="TimesNewRomanPSMT" w:hint="eastAsia"/>
        </w:rPr>
        <w:instrText>‐</w:instrText>
      </w:r>
      <w:r w:rsidR="0085653B">
        <w:rPr>
          <w:rFonts w:eastAsia="TimesNewRomanPSMT" w:hint="eastAsia"/>
        </w:rPr>
        <w:instrText>Organ Transplantation","type":"article-journal","volume":"33"},"uris":["http://www.mendeley.com/documents/?uuid=a91d433c-4fe4-3455-b038-2efa6b9f4cd3"]}],"mendeley":{"formattedCitation":"(25)","plainTextF</w:instrText>
      </w:r>
      <w:r w:rsidR="0085653B">
        <w:rPr>
          <w:rFonts w:eastAsia="TimesNewRomanPSMT"/>
        </w:rPr>
        <w:instrText>ormattedCitation":"(25)","previouslyFormattedCitation":"(25)"},"properties":{"noteIndex":0},"schema":"https://github.com/citation-style-language/schema/raw/master/csl-citation.json"}</w:instrText>
      </w:r>
      <w:r>
        <w:rPr>
          <w:rFonts w:eastAsia="TimesNewRomanPSMT"/>
        </w:rPr>
        <w:fldChar w:fldCharType="separate"/>
      </w:r>
      <w:r w:rsidR="0085653B" w:rsidRPr="0085653B">
        <w:rPr>
          <w:rFonts w:eastAsia="TimesNewRomanPSMT"/>
          <w:noProof/>
        </w:rPr>
        <w:t>(25)</w:t>
      </w:r>
      <w:r>
        <w:rPr>
          <w:rFonts w:eastAsia="TimesNewRomanPSMT"/>
        </w:rPr>
        <w:fldChar w:fldCharType="end"/>
      </w:r>
      <w:r w:rsidRPr="00B1498C">
        <w:rPr>
          <w:rFonts w:eastAsia="TimesNewRomanPSMT"/>
        </w:rPr>
        <w:t xml:space="preserve">. </w:t>
      </w:r>
      <w:r>
        <w:rPr>
          <w:rFonts w:eastAsia="TimesNewRomanPSMT"/>
        </w:rPr>
        <w:t>N</w:t>
      </w:r>
      <w:r w:rsidRPr="00B1498C">
        <w:rPr>
          <w:rFonts w:eastAsia="TimesNewRomanPSMT"/>
        </w:rPr>
        <w:t>ak</w:t>
      </w:r>
      <w:r>
        <w:rPr>
          <w:rFonts w:eastAsia="TimesNewRomanPSMT"/>
        </w:rPr>
        <w:t>i</w:t>
      </w:r>
      <w:r w:rsidRPr="00B1498C">
        <w:rPr>
          <w:rFonts w:eastAsia="TimesNewRomanPSMT"/>
        </w:rPr>
        <w:t>lden sonraki ilk</w:t>
      </w:r>
      <w:r>
        <w:rPr>
          <w:rFonts w:eastAsia="TimesNewRomanPSMT"/>
        </w:rPr>
        <w:t xml:space="preserve"> </w:t>
      </w:r>
      <w:r w:rsidRPr="00B1498C">
        <w:rPr>
          <w:rFonts w:eastAsia="TimesNewRomanPSMT"/>
        </w:rPr>
        <w:t>haftalar</w:t>
      </w:r>
      <w:r>
        <w:rPr>
          <w:rFonts w:eastAsia="TimesNewRomanPSMT"/>
        </w:rPr>
        <w:t>da</w:t>
      </w:r>
      <w:r w:rsidRPr="00B1498C">
        <w:rPr>
          <w:rFonts w:eastAsia="TimesNewRomanPSMT"/>
        </w:rPr>
        <w:t xml:space="preserve"> ateş, lökositoz, karın ağrısı ile birlikte; sıklıkla intraabdominal apse, peritonit ve</w:t>
      </w:r>
      <w:r>
        <w:rPr>
          <w:rFonts w:eastAsia="TimesNewRomanPSMT"/>
        </w:rPr>
        <w:t xml:space="preserve"> </w:t>
      </w:r>
      <w:r w:rsidRPr="00B1498C">
        <w:rPr>
          <w:rFonts w:eastAsia="TimesNewRomanPSMT"/>
        </w:rPr>
        <w:t xml:space="preserve">kolanjit </w:t>
      </w:r>
      <w:r>
        <w:rPr>
          <w:rFonts w:eastAsia="TimesNewRomanPSMT"/>
        </w:rPr>
        <w:t xml:space="preserve">tablosu ile </w:t>
      </w:r>
      <w:r w:rsidRPr="00B1498C">
        <w:rPr>
          <w:rFonts w:eastAsia="TimesNewRomanPSMT"/>
        </w:rPr>
        <w:t>kendini göstermektedir.</w:t>
      </w:r>
      <w:r>
        <w:rPr>
          <w:rFonts w:eastAsia="TimesNewRomanPSMT"/>
        </w:rPr>
        <w:t xml:space="preserve"> </w:t>
      </w:r>
    </w:p>
    <w:p w14:paraId="53025E8F" w14:textId="77777777" w:rsidR="00152ED6" w:rsidRPr="00507FCF" w:rsidRDefault="00152ED6" w:rsidP="00507FCF"/>
    <w:p w14:paraId="31CB24F7" w14:textId="77777777" w:rsidR="003D7722" w:rsidRPr="003D7722" w:rsidRDefault="003D7722" w:rsidP="00D84756">
      <w:pPr>
        <w:pStyle w:val="Balk3"/>
        <w:numPr>
          <w:ilvl w:val="0"/>
          <w:numId w:val="9"/>
        </w:numPr>
        <w:ind w:hanging="578"/>
      </w:pPr>
      <w:bookmarkStart w:id="30" w:name="_Toc45265881"/>
      <w:bookmarkStart w:id="31" w:name="_Toc55727777"/>
      <w:r w:rsidRPr="003D7722">
        <w:t xml:space="preserve">Cerrahiye Bağlı </w:t>
      </w:r>
      <w:r w:rsidR="00694456">
        <w:t>K</w:t>
      </w:r>
      <w:r w:rsidRPr="003D7722">
        <w:t>omplikasyonlar</w:t>
      </w:r>
      <w:bookmarkEnd w:id="30"/>
      <w:bookmarkEnd w:id="31"/>
    </w:p>
    <w:p w14:paraId="7A6B9513" w14:textId="75A436F2" w:rsidR="00BA5C5E" w:rsidRDefault="003D7722" w:rsidP="000B1FC6">
      <w:pPr>
        <w:rPr>
          <w:b/>
          <w:color w:val="000000"/>
          <w:szCs w:val="24"/>
        </w:rPr>
      </w:pPr>
      <w:r w:rsidRPr="003D7722">
        <w:rPr>
          <w:color w:val="000000"/>
          <w:szCs w:val="24"/>
        </w:rPr>
        <w:t>Cerrahi teknikler çok standardize edilmiş olmasına rağmen, teknik</w:t>
      </w:r>
      <w:r w:rsidRPr="003D7722">
        <w:rPr>
          <w:color w:val="000000"/>
        </w:rPr>
        <w:br/>
      </w:r>
      <w:r w:rsidRPr="003D7722">
        <w:rPr>
          <w:color w:val="000000"/>
          <w:szCs w:val="24"/>
        </w:rPr>
        <w:t>komplikasyonlar karaciğer nakli hastalarında %5-10</w:t>
      </w:r>
      <w:r w:rsidR="00BA5C5E">
        <w:rPr>
          <w:color w:val="000000"/>
          <w:szCs w:val="24"/>
        </w:rPr>
        <w:t xml:space="preserve"> oranında</w:t>
      </w:r>
      <w:r w:rsidRPr="003D7722">
        <w:rPr>
          <w:color w:val="000000"/>
          <w:szCs w:val="24"/>
        </w:rPr>
        <w:t xml:space="preserve"> görül</w:t>
      </w:r>
      <w:r w:rsidR="00D876D1">
        <w:rPr>
          <w:color w:val="000000"/>
          <w:szCs w:val="24"/>
        </w:rPr>
        <w:t xml:space="preserve">mektedir </w:t>
      </w:r>
      <w:r>
        <w:rPr>
          <w:color w:val="000000"/>
          <w:szCs w:val="24"/>
        </w:rPr>
        <w:fldChar w:fldCharType="begin" w:fldLock="1"/>
      </w:r>
      <w:r w:rsidR="0085653B">
        <w:rPr>
          <w:color w:val="000000"/>
          <w:szCs w:val="24"/>
        </w:rPr>
        <w:instrText>ADDIN CSL_CITATION {"citationItems":[{"id":"ITEM-1","itemData":{"DOI":"10.1126/science.1215173","ISSN":"1040-8363","PMID":"18763277","abstract":"Sepsis is an unusual systemic reaction to what is sometimes an otherwise ordinary infection, and it probably represents a pattern of response by the immune system to injury. A hyper-inflammatory response is followed by an immunosuppressive phase during which multiple organ dysfunction is present and the patient is susceptible to nosocomial infection. Biomarkers to diagnose sepsis may allow early intervention which, although primarily supportive, can reduce the risk of death. Although lactate is currently the most commonly used biomarker to identify sepsis, other biomarkers may help to enhance lactate's effectiveness; these include markers of the hyper-inflammatory phase of sepsis, such as pro-inflammatory cytokines and chemokines; proteins such as C-reactive protein and procalcitonin which are synthesized in response to infection and inflammation; and markers of neutrophil and monocyte activation. Recently, markers of the immunosuppressive phase of sepsis, such as anti-inflammatory cytokines, and alterations of the cell surface markers of monocytes and lymphocytes have been examined. Combinations of pro- and anti-inflammatory biomarkers in a multi-marker panel may help identify patients who are developing severe sepsis before organ dysfunction has advanced too far. Combined with innovative approaches to treatment that target the immunosuppressive phase, these biomarkers may help to reduce the mortality rate associated with severe sepsis which, despite advances in supportive measures, remains high. © 2013 Informa UK Ltd All rights reserved: reproduction in whole or part not permitted.","author":[{"dropping-particle":"","family":"Faix","given":"James D.","non-dropping-particle":"","parse-names":false,"suffix":""},{"dropping-particle":"","family":"Gandhi","given":"Namita A.","non-dropping-particle":"","parse-names":false,"suffix":""},{"dropping-particle":"","family":"Pirozzi","given":"Gianluca","non-dropping-particle":"","parse-names":false,"suffix":""},{"dropping-particle":"","family":"Graham","given":"Neil M.H.","non-dropping-particle":"","parse-names":false,"suffix":""},{"dropping-particle":"","family":"Epstein","given":"Franklin H.","non-dropping-particle":"","parse-names":false,"suffix":""},{"dropping-particle":"","family":"Beutler","given":"Bruce","non-dropping-particle":"","parse-names":false,"suffix":""},{"dropping-particle":"","family":"Cerami","given":"Anthony","non-dropping-particle":"","parse-names":false,"suffix":""},{"dropping-particle":"","family":"Fijen","given":"J. W.","non-dropping-particle":"","parse-names":false,"suffix":""},{"dropping-particle":"","family":"Kobold","given":"A. C.Muller","non-dropping-particle":"","parse-names":false,"suffix":""},{"dropping-particle":"","family":"Boer","given":"P.","non-dropping-particle":"De","parse-names":false,"suffix":""},{"dropping-particle":"","family":"Jones","given":"C. R.","non-dropping-particle":"","parse-names":false,"suffix":""},{"dropping-particle":"","family":"Werf","given":"T. S.","non-dropping-particle":"Van Der","parse-names":false,"suffix":""},{"dropping-particle":"","family":"Tervaert","given":"J. W.Cohen","non-dropping-particle":"","parse-names":false,"suffix":""},{"dropping-particle":"","family":"Zijlstra","given":"J. G.","non-dropping-particle":"","parse-names":false,"suffix":""},{"dropping-particle":"","family":"Tulleken","given":"J. E.","non-dropping-particle":"","parse-names":false,"suffix":""},{"dropping-particle":"","family":"Ebong","given":"Samuel","non-dropping-particle":"","parse-names":false,"suffix":""},{"dropping-particle":"","family":"Call","given":"Douglas","non-dropping-particle":"","parse-names":false,"suffix":""},{"dropping-particle":"","family":"Nemzek","given":"Jean","non-dropping-particle":"","parse-names":false,"suffix":""},{"dropping-particle":"","family":"Bolgos","given":"Gerald","non-dropping-particle":"","parse-names":false,"suffix":""},{"dropping-particle":"","family":"Newcomb","given":"David","non-dropping-particle":"","parse-names":false,"suffix":""},{"dropping-particle":"","family":"Remick","given":"Daniel","non-dropping-particle":"","parse-names":false,"suffix":""},{"dropping-particle":"","family":"Gogos","given":"Charalambos A.","non-dropping-particle":"","parse-names":false,"suffix":""},{"dropping-particle":"","family":"Drosou","given":"Eugenia","non-dropping-particle":"","parse-names":false,"suffix":""},{"dropping-particle":"","family":"Bassaris","given":"Harry P.","non-dropping-particle":"","parse-names":false,"suffix":""},{"dropping-particle":"","family":"Skoutelis","given":"Athanassios","non-dropping-particle":"","parse-names":false,"suffix":""},{"dropping-particle":"","family":"Gaïni","given":"Shahin","non-dropping-particle":"","parse-names":false,"suffix":""},{"dropping-particle":"","family":"Koldkjær","given":"Ole Græbøll","non-dropping-particle":"","parse-names":false,"suffix":""},{"dropping-particle":"","family":"Pedersen","given":"Court","non-dropping-particle":"","parse-names":false,"suffix":""},{"dropping-particle":"","family":"Pedersen","given":"Svend Stenvang","non-dropping-particle":"","parse-names":false,"suffix":""},{"dropping-particle":"","family":"Andaluz-Ojeda","given":"David","non-dropping-particle":"","parse-names":false,"suffix":""},{"dropping-particle":"","family":"Bobillo","given":"Felipe","non-dropping-particle":"","parse-names":false,"suffix":""},{"dropping-particle":"","family":"Iglesias","given":"Verónica","non-dropping-particle":"","parse-names":false,"suffix":""},{"dropping-particle":"","family":"Almansa","given":"Raquel","non-dropping-particle":"","parse-names":false,"suffix":""},{"dropping-particle":"","family":"Rico","given":"Lucía","non-dropping-particle":"","parse-names":false,"suffix":""},{"dropping-particle":"","family":"Gandía","given":"Francisco","non-dropping-particle":"","parse-names":false,"suffix":""},{"dropping-particle":"","family":"Resino","given":"Salvador","non-dropping-particle":"","parse-names":false,"suffix":""},{"dropping-particle":"","family":"Tamayo","given":"Eduardo","non-dropping-particle":"","parse-names":false,"suffix":""},{"dropping-particle":"","family":"Lejarazu","given":"Raul Ortiz","non-dropping-particle":"de","parse-names":false,"suffix":""},{"dropping-particle":"","family":"Bermejo-Martin","given":"Jesús F.","non-dropping-particle":"","parse-names":false,"suffix":""},{"dropping-particle":"","family":"Nguyen","given":"H Bryant","non-dropping-particle":"","parse-names":false,"suffix":""},{"dropping-particle":"","family":"Rivers","given":"Emanuel P.","non-dropping-particle":"","parse-names":false,"suffix":""},{"dropping-particle":"","family":"Knoblich","given":"Bernhard P.","non-dropping-particle":"","parse-names":false,"suffix":""},{"dropping-particle":"","family":"Jacobsen","given":"Gordon","non-dropping-particle":"","parse-names":false,"suffix":""},{"dropping-particle":"","family":"Muzzin","given":"Alexandria","non-dropping-particle":"","parse-names":false,"suffix":""},{"dropping-particle":"","family":"Ressler","given":"Julie A.","non-dropping-particle":"","parse-names":false,"suffix":""},{"dropping-particle":"","family":"Tomlanovich","given":"Michael C.","non-dropping-particle":"","parse-names":false,"suffix":""},{"dropping-particle":"","family":"Gabay","given":"Cem","non-dropping-particle":"","parse-names":false,"suffix":""},{"dropping-particle":"","family":"Kushner","given":"Irving","non-dropping-particle":"","parse-names":false,"suffix":""},{"dropping-particle":"","family":"Pozo","given":"Jose Luis","non-dropping-particle":"del","parse-names":false,"suffix":""},{"dropping-particle":"","family":"Meisner","given":"M.","non-dropping-particle":"","parse-names":false,"suffix":""},{"dropping-particle":"","family":"Schmidt","given":"J.","non-dropping-particle":"","parse-names":false,"suffix":""},{"dropping-particle":"","family":"Hüttner","given":"H.","non-dropping-particle":"","parse-names":false,"suffix":""},{"dropping-particle":"","family":"Tschaikowsky","given":"K.","non-dropping-particle":"","parse-names":false,"suffix":""},{"dropping-particle":"","family":"Dandona","given":"P","non-dropping-particle":"","parse-names":false,"suffix":""},{"dropping-particle":"","family":"Nix","given":"D","non-dropping-particle":"","parse-names":false,"suffix":""},{"dropping-particle":"","family":"Wilson","given":"M F","non-dropping-particle":"","parse-names":false,"suffix":""},{"dropping-particle":"","family":"Aljada","given":"A","non-dropping-particle":"","parse-names":false,"suffix":""},{"dropping-particle":"","family":"Love","given":"J","non-dropping-particle":"","parse-names":false,"suffix":""},{"dropping-particle":"","family":"Assicot","given":"M","non-dropping-particle":"","parse-names":false,"suffix":""},{"dropping-particle":"","family":"Bohuon","given":"C","non-dropping-particle":"","parse-names":false,"suffix":""},{"dropping-particle":"","family":"Steel","given":"Diana M.","non-dropping-particle":"","parse-names":false,"suffix":""},{"dropping-particle":"","family":"Whitehead","given":"Alexander S.","non-dropping-particle":"","parse-names":false,"suffix":""},{"dropping-particle":"","family":"Póvoa","given":"Pedro","non-dropping-particle":"","parse-names":false,"suffix":""},{"dropping-particle":"","family":"Bouchon","given":"Axel","non-dropping-particle":"","parse-names":false,"suffix":""},{"dropping-particle":"","family":"Dietrich","given":"Jes","non-dropping-particle":"","parse-names":false,"suffix":""},{"dropping-particle":"","family":"Colonna","given":"Marco","non-dropping-particle":"","parse-names":false,"suffix":""},{"dropping-particle":"","family":"Facchetti","given":"Fabio","non-dropping-particle":"","parse-names":false,"suffix":""},{"dropping-particle":"","family":"Weigand","given":"Markus A.","non-dropping-particle":"","parse-names":false,"suffix":""},{"dropping-particle":"","family":"Colonna","given":"Marco","non-dropping-particle":"","parse-names":false,"suffix":""},{"dropping-particle":"","family":"Gibot","given":"Sébastien","non-dropping-particle":"","parse-names":false,"suffix":""},{"dropping-particle":"","family":"Kolopp-Sarda","given":"Marie Nathalie","non-dropping-particle":"","parse-names":false,"suffix":""},{"dropping-particle":"","family":"Béné","given":"Marie C.","non-dropping-particle":"","parse-names":false,"suffix":""},{"dropping-particle":"","family":"Cravoisy","given":"Aurélie","non-dropping-particle":"","parse-names":false,"suffix":""},{"dropping-particle":"","family":"Levy","given":"Bruno","non-dropping-particle":"","parse-names":false,"suffix":""},{"dropping-particle":"","family":"Faure","given":"Gilbert C.","non-dropping-particle":"","parse-names":false,"suffix":""},{"dropping-particle":"","family":"Bollaert","given":"Pierre Edouard","non-dropping-particle":"","parse-names":false,"suffix":""},{"dropping-particle":"","family":"Wong","given":"Connie H.Y.","non-dropping-particle":"","parse-names":false,"suffix":""},{"dropping-particle":"","family":"Jenne","given":"Craig N.","non-dropping-particle":"","parse-names":false,"suffix":""},{"dropping-particle":"","family":"Petri","given":"Björn","non-dropping-particle":"","parse-names":false,"suffix":""},{"dropping-particle":"","family":"Chrobok","given":"Navina L.","non-dropping-particle":"","parse-names":false,"suffix":""},{"dropping-particle":"","family":"Kubes","given":"Paul","non-dropping-particle":"","parse-names":false,"suffix":""},{"dropping-particle":"","family":"Rauch","given":"Philipp J.","non-dropping-particle":"","parse-names":false,"suffix":""},{"dropping-particle":"","family":"Chudnovskiy","given":"Aleksey","non-dropping-particle":"","parse-names":false,"suffix":""},{"dropping-particle":"","family":"Robbins","given":"Clinton S.","non-dropping-particle":"","parse-names":false,"suffix":""},{"dropping-particle":"","family":"Weber","given":"Georg F.","non-dropping-particle":"","parse-names":false,"suffix":""},{"dropping-particle":"","family":"Etzrodt","given":"Martin","non-dropping-particle":"","parse-names":false,"suffix":""},{"dropping-particle":"","family":"Hilgendorf","given":"Ingo","non-dropping-particle":"","parse-names":false,"suffix":""},{"dropping-particle":"","family":"Tiglao","given":"Elizabeth","non-dropping-particle":"","parse-names":false,"suffix":""},{"dropping-particle":"","family":"Figueiredo","given":"Jose Luiz","non-dropping-particle":"","parse-names":false,"suffix":""},{"dropping-particle":"","family":"Iwamoto","given":"Yoshiko","non-dropping-particle":"","parse-names":false,"suffix":""},{"dropping-particle":"","family":"Theurl","given":"Igor","non-dropping-particle":"","parse-names":false,"suffix":""},{"dropping-particle":"","family":"Gorbatov","given":"Rostic","non-dropping-particle":"","parse-names":false,"suffix":""},{"dropping-particle":"","family":"Waring","given":"Michael T.","non-dropping-particle":"","parse-names":false,"suffix":""},{"dropping-particle":"","family":"Chicoine","given":"Adam T.","non-dropping-particle":"","parse-names":false,"suffix":""},{"dropping-particle":"","family":"Mouded","given":"Majd","non-dropping-particle":"","parse-names":false,"suffix":""},{"dropping-particle":"","family":"Pittet","given":"Mikael J.","non-dropping-particle":"","parse-names":false,"suffix":""},{"dropping-particle":"","family":"Nahrendorf","given":"Matthias","non-dropping-particle":"","parse-names":false,"suffix":""},{"dropping-particle":"","family":"Weissleder","given":"Ralph","non-dropping-particle":"","parse-names":false,"suffix":""},{"dropping-particle":"","family":"Swirski","given":"Filip K.","non-dropping-particle":"","parse-names":false,"suffix":""},{"dropping-particle":"","family":"Jarrar","given":"Doraid","non-dropping-particle":"","parse-names":false,"suffix":""},{"dropping-particle":"","family":"Wang","given":"Ping","non-dropping-particle":"","parse-names":false,"suffix":""},{"dropping-particle":"","family":"Chaudry","given":"Irshad H","non-dropping-particle":"","parse-names":false,"suffix":""},{"dropping-particle":"","family":"Muftuoglu","given":"M. A.Tolga","non-dropping-particle":"","parse-names":false,"suffix":""},{"dropping-particle":"","family":"Aktekin","given":"Ali","non-dropping-particle":"","parse-names":false,"suffix":""},{"dropping-particle":"","family":"Ozdemir","given":"Nilgun C.","non-dropping-particle":"","parse-names":false,"suffix":""},{"dropping-particle":"","family":"Saglam","given":"Abdullah","non-dropping-particle":"","parse-names":false,"suffix":""}],"container-title":"New England Journal of Medicine","editor":[{"dropping-particle":"","family":"Epstein","given":"Franklin H.","non-dropping-particle":"","parse-names":false,"suffix":""}],"id":"ITEM-1","issue":"6","issued":{"date-parts":[["2001","2","12"]]},"page":"23-36","publisher":" Massachusetts Medical Society ","title":"Andrea R. Mueller Klaus-Peter Platz Bernd Kremer Universita tsklinikum Schleswig Holstein, Campus Kiel, Klinik fu r Allgemeine Chirurgie und Thoraxchirurgie, Arnold-Heller Str. 7, 24105 Kiel, Germany.","type":"article-journal","volume":"14"},"uris":["http://www.mendeley.com/documents/?uuid=51363f71-24f2-45d1-8b16-4108bae7a49b"]}],"mendeley":{"formattedCitation":"(26)","plainTextFormattedCitation":"(26)","previouslyFormattedCitation":"(26)"},"properties":{"noteIndex":0},"schema":"https://github.com/citation-style-language/schema/raw/master/csl-citation.json"}</w:instrText>
      </w:r>
      <w:r>
        <w:rPr>
          <w:color w:val="000000"/>
          <w:szCs w:val="24"/>
        </w:rPr>
        <w:fldChar w:fldCharType="separate"/>
      </w:r>
      <w:r w:rsidR="0085653B" w:rsidRPr="0085653B">
        <w:rPr>
          <w:noProof/>
          <w:color w:val="000000"/>
          <w:szCs w:val="24"/>
        </w:rPr>
        <w:t>(26)</w:t>
      </w:r>
      <w:r>
        <w:rPr>
          <w:color w:val="000000"/>
          <w:szCs w:val="24"/>
        </w:rPr>
        <w:fldChar w:fldCharType="end"/>
      </w:r>
      <w:r>
        <w:rPr>
          <w:color w:val="000000"/>
          <w:szCs w:val="24"/>
        </w:rPr>
        <w:t>.</w:t>
      </w:r>
      <w:r w:rsidRPr="003D7722">
        <w:rPr>
          <w:color w:val="000000"/>
        </w:rPr>
        <w:br/>
      </w:r>
      <w:r w:rsidRPr="003D7722">
        <w:rPr>
          <w:color w:val="000000"/>
          <w:szCs w:val="24"/>
        </w:rPr>
        <w:t>Şiddetli koagülopati ve önceki operasyonlar</w:t>
      </w:r>
      <w:r w:rsidR="000B1FC6">
        <w:rPr>
          <w:color w:val="000000"/>
          <w:szCs w:val="24"/>
        </w:rPr>
        <w:t>ın varlığı</w:t>
      </w:r>
      <w:r w:rsidRPr="003D7722">
        <w:rPr>
          <w:color w:val="000000"/>
          <w:szCs w:val="24"/>
        </w:rPr>
        <w:t xml:space="preserve"> postoperatif komplikasyonlara zemin</w:t>
      </w:r>
      <w:r>
        <w:rPr>
          <w:color w:val="000000"/>
          <w:szCs w:val="24"/>
        </w:rPr>
        <w:t xml:space="preserve"> </w:t>
      </w:r>
      <w:r w:rsidRPr="003D7722">
        <w:rPr>
          <w:color w:val="000000"/>
          <w:szCs w:val="24"/>
        </w:rPr>
        <w:t xml:space="preserve">oluşturabilir. Olası </w:t>
      </w:r>
      <w:r w:rsidR="00D876D1">
        <w:rPr>
          <w:color w:val="000000"/>
          <w:szCs w:val="24"/>
        </w:rPr>
        <w:t>cerrahi</w:t>
      </w:r>
      <w:r w:rsidRPr="003D7722">
        <w:rPr>
          <w:color w:val="000000"/>
          <w:szCs w:val="24"/>
        </w:rPr>
        <w:t xml:space="preserve"> komplikasyonlar</w:t>
      </w:r>
      <w:r w:rsidR="00D876D1">
        <w:rPr>
          <w:color w:val="000000"/>
          <w:szCs w:val="24"/>
        </w:rPr>
        <w:t>,</w:t>
      </w:r>
      <w:r w:rsidRPr="003D7722">
        <w:rPr>
          <w:color w:val="000000"/>
          <w:szCs w:val="24"/>
        </w:rPr>
        <w:t xml:space="preserve"> kanamaya bağlı basit reoperasyondan acil</w:t>
      </w:r>
      <w:r>
        <w:rPr>
          <w:color w:val="000000"/>
          <w:szCs w:val="24"/>
        </w:rPr>
        <w:t xml:space="preserve"> </w:t>
      </w:r>
      <w:r w:rsidRPr="003D7722">
        <w:rPr>
          <w:color w:val="000000"/>
          <w:szCs w:val="24"/>
        </w:rPr>
        <w:t xml:space="preserve">retransplantasyon ihtiyacına kadar uzanan geniş </w:t>
      </w:r>
      <w:r w:rsidR="00BA5C5E">
        <w:rPr>
          <w:color w:val="000000"/>
          <w:szCs w:val="24"/>
        </w:rPr>
        <w:t xml:space="preserve">bir </w:t>
      </w:r>
      <w:r w:rsidRPr="003D7722">
        <w:rPr>
          <w:color w:val="000000"/>
          <w:szCs w:val="24"/>
        </w:rPr>
        <w:t>spektrumu kapsamaktadır. Teknik</w:t>
      </w:r>
      <w:r>
        <w:rPr>
          <w:color w:val="000000"/>
          <w:szCs w:val="24"/>
        </w:rPr>
        <w:t xml:space="preserve"> </w:t>
      </w:r>
      <w:r w:rsidRPr="003D7722">
        <w:rPr>
          <w:color w:val="000000"/>
          <w:szCs w:val="24"/>
        </w:rPr>
        <w:t>komplikasyonların çoğu transplantasyon işlemi ile ilgilidir ama özellikle arter</w:t>
      </w:r>
      <w:r>
        <w:rPr>
          <w:color w:val="000000"/>
          <w:szCs w:val="24"/>
        </w:rPr>
        <w:t xml:space="preserve"> </w:t>
      </w:r>
      <w:r w:rsidRPr="003D7722">
        <w:rPr>
          <w:color w:val="000000"/>
          <w:szCs w:val="24"/>
        </w:rPr>
        <w:t>rekonstrüksiyonu</w:t>
      </w:r>
      <w:r w:rsidR="00D876D1">
        <w:rPr>
          <w:color w:val="000000"/>
          <w:szCs w:val="24"/>
        </w:rPr>
        <w:t xml:space="preserve"> gibi donör ile ilgili prosedürler </w:t>
      </w:r>
      <w:r w:rsidRPr="003D7722">
        <w:rPr>
          <w:color w:val="000000"/>
          <w:szCs w:val="24"/>
        </w:rPr>
        <w:t>de cerrahi sonuçlar üzerinde önemli bir</w:t>
      </w:r>
      <w:r>
        <w:rPr>
          <w:color w:val="000000"/>
          <w:szCs w:val="24"/>
        </w:rPr>
        <w:t xml:space="preserve"> </w:t>
      </w:r>
      <w:r w:rsidRPr="003D7722">
        <w:rPr>
          <w:color w:val="000000"/>
          <w:szCs w:val="24"/>
        </w:rPr>
        <w:t>etkiye sahip olabilir.</w:t>
      </w:r>
      <w:r w:rsidR="00BA5C5E">
        <w:rPr>
          <w:color w:val="000000"/>
          <w:szCs w:val="24"/>
        </w:rPr>
        <w:t xml:space="preserve"> Cerrahiye bağlı komplikasyonları kısaca kanama, kaçak, darlık, hepatik arter trombozu, portal ven trombozu gibi alt başlıklarda toplayabiliriz. </w:t>
      </w:r>
    </w:p>
    <w:p w14:paraId="31CB2511" w14:textId="77777777" w:rsidR="00CC753A" w:rsidRPr="003656DA" w:rsidRDefault="00CC753A" w:rsidP="00CC753A">
      <w:pPr>
        <w:ind w:firstLine="1276"/>
      </w:pPr>
    </w:p>
    <w:p w14:paraId="58044BAF" w14:textId="4F525529" w:rsidR="00FF3F6B" w:rsidRPr="00507FCF" w:rsidRDefault="00FF3F6B" w:rsidP="00FF3F6B">
      <w:pPr>
        <w:pStyle w:val="Balk3"/>
        <w:numPr>
          <w:ilvl w:val="0"/>
          <w:numId w:val="9"/>
        </w:numPr>
        <w:ind w:hanging="578"/>
      </w:pPr>
      <w:bookmarkStart w:id="32" w:name="_Toc55727778"/>
      <w:bookmarkStart w:id="33" w:name="_Toc45265882"/>
      <w:r w:rsidRPr="00507FCF">
        <w:t xml:space="preserve">Sepsiste Greft </w:t>
      </w:r>
      <w:r w:rsidR="00CC753A" w:rsidRPr="00507FCF">
        <w:t>R</w:t>
      </w:r>
      <w:r w:rsidR="00352D52" w:rsidRPr="00507FCF">
        <w:t>ejeksiyon</w:t>
      </w:r>
      <w:r w:rsidRPr="00507FCF">
        <w:t>u</w:t>
      </w:r>
      <w:bookmarkEnd w:id="32"/>
      <w:r w:rsidR="00CC753A" w:rsidRPr="00507FCF">
        <w:t xml:space="preserve"> </w:t>
      </w:r>
      <w:bookmarkEnd w:id="33"/>
    </w:p>
    <w:p w14:paraId="31CB2513" w14:textId="3D37E511" w:rsidR="00EC6FBD" w:rsidRDefault="00C56F2F" w:rsidP="00EC6FBD">
      <w:pPr>
        <w:rPr>
          <w:color w:val="000000"/>
          <w:szCs w:val="24"/>
        </w:rPr>
      </w:pPr>
      <w:r>
        <w:rPr>
          <w:color w:val="000000"/>
          <w:szCs w:val="24"/>
        </w:rPr>
        <w:t>İmmü</w:t>
      </w:r>
      <w:r w:rsidR="00EC6FBD" w:rsidRPr="00EC6FBD">
        <w:rPr>
          <w:color w:val="000000"/>
          <w:szCs w:val="24"/>
        </w:rPr>
        <w:t>ns</w:t>
      </w:r>
      <w:r>
        <w:rPr>
          <w:color w:val="000000"/>
          <w:szCs w:val="24"/>
        </w:rPr>
        <w:t>ü</w:t>
      </w:r>
      <w:r w:rsidR="00EC6FBD" w:rsidRPr="00EC6FBD">
        <w:rPr>
          <w:color w:val="000000"/>
          <w:szCs w:val="24"/>
        </w:rPr>
        <w:t>presyon tedavisindeki gelişmeler sayesinde karaciğer nakli sonrası akut</w:t>
      </w:r>
      <w:r w:rsidR="00EC6FBD" w:rsidRPr="00EC6FBD">
        <w:rPr>
          <w:color w:val="000000"/>
        </w:rPr>
        <w:br/>
      </w:r>
      <w:r w:rsidR="00EC6FBD" w:rsidRPr="00EC6FBD">
        <w:rPr>
          <w:color w:val="000000"/>
          <w:szCs w:val="24"/>
        </w:rPr>
        <w:t>rejeksiyon nadir görülmektedir ve çoğunlukla hafif seyretmektedir. Akut rejeksiyon</w:t>
      </w:r>
      <w:r w:rsidR="00EC6FBD" w:rsidRPr="00EC6FBD">
        <w:rPr>
          <w:color w:val="000000"/>
        </w:rPr>
        <w:br/>
      </w:r>
      <w:r w:rsidR="00EC6FBD" w:rsidRPr="00EC6FBD">
        <w:rPr>
          <w:color w:val="000000"/>
          <w:szCs w:val="24"/>
        </w:rPr>
        <w:t xml:space="preserve">sıklığı %10-30 arasında değişmektedir </w:t>
      </w:r>
      <w:r w:rsidR="00EC6FBD" w:rsidRPr="00EC6FBD">
        <w:rPr>
          <w:color w:val="000000"/>
          <w:szCs w:val="24"/>
        </w:rPr>
        <w:fldChar w:fldCharType="begin" w:fldLock="1"/>
      </w:r>
      <w:r w:rsidR="0085653B">
        <w:rPr>
          <w:color w:val="000000"/>
          <w:szCs w:val="24"/>
        </w:rPr>
        <w:instrText>ADDIN CSL_CITATION {"citationItems":[{"id":"ITEM-1","itemData":{"id":"ITEM-1","issued":{"date-parts":[["0"]]},"title":"Busuttil RW &amp; Lake JR. Role of tacrolimus in evolution of liver transplantation. Transplantation 2004; 77: S44–S51.","type":"article-journal"},"uris":["http://www.mendeley.com/documents/?uuid=932c037a-0e4f-4f25-ad02-73eac8c0c9b1"]}],"mendeley":{"formattedCitation":"(27)","plainTextFormattedCitation":"(27)","previouslyFormattedCitation":"(27)"},"properties":{"noteIndex":0},"schema":"https://github.com/citation-style-language/schema/raw/master/csl-citation.json"}</w:instrText>
      </w:r>
      <w:r w:rsidR="00EC6FBD" w:rsidRPr="00EC6FBD">
        <w:rPr>
          <w:color w:val="000000"/>
          <w:szCs w:val="24"/>
        </w:rPr>
        <w:fldChar w:fldCharType="separate"/>
      </w:r>
      <w:r w:rsidR="0085653B" w:rsidRPr="0085653B">
        <w:rPr>
          <w:noProof/>
          <w:color w:val="000000"/>
          <w:szCs w:val="24"/>
        </w:rPr>
        <w:t>(27)</w:t>
      </w:r>
      <w:r w:rsidR="00EC6FBD" w:rsidRPr="00EC6FBD">
        <w:rPr>
          <w:color w:val="000000"/>
          <w:szCs w:val="24"/>
        </w:rPr>
        <w:fldChar w:fldCharType="end"/>
      </w:r>
      <w:r w:rsidR="00EC6FBD" w:rsidRPr="00EC6FBD">
        <w:rPr>
          <w:color w:val="000000"/>
          <w:szCs w:val="24"/>
        </w:rPr>
        <w:t>.</w:t>
      </w:r>
    </w:p>
    <w:p w14:paraId="208E5692" w14:textId="48FA17B3" w:rsidR="00FF3F6B" w:rsidRDefault="001379AC" w:rsidP="002D4B87">
      <w:pPr>
        <w:rPr>
          <w:color w:val="000000"/>
          <w:szCs w:val="24"/>
        </w:rPr>
      </w:pPr>
      <w:r w:rsidRPr="00AE08EC">
        <w:t>Septik komplikasyonlar her zaman hasta ve greft sağkalımı ile ilişkilendirilmiştir.</w:t>
      </w:r>
      <w:r>
        <w:rPr>
          <w:color w:val="000000"/>
          <w:szCs w:val="24"/>
        </w:rPr>
        <w:t xml:space="preserve"> </w:t>
      </w:r>
      <w:r w:rsidR="00FF3F6B">
        <w:t>K</w:t>
      </w:r>
      <w:r w:rsidR="00FF3F6B" w:rsidRPr="00AE08EC">
        <w:t xml:space="preserve">araciğer nakli sonrası </w:t>
      </w:r>
      <w:r w:rsidR="00FF3F6B">
        <w:rPr>
          <w:color w:val="000000"/>
          <w:szCs w:val="24"/>
        </w:rPr>
        <w:t xml:space="preserve">sepsis gelişen hastalarda, rejeksiyon geliştiğinde </w:t>
      </w:r>
      <w:r w:rsidR="00FF3F6B" w:rsidRPr="00AE08EC">
        <w:t>greft sağkalımı önemli</w:t>
      </w:r>
      <w:r w:rsidR="00FF3F6B">
        <w:t xml:space="preserve"> oranda düşmektedir </w:t>
      </w:r>
      <w:r w:rsidR="00FF3F6B">
        <w:fldChar w:fldCharType="begin" w:fldLock="1"/>
      </w:r>
      <w:r w:rsidR="0085653B">
        <w:instrText>ADDIN CSL_CITATION {"citationItems":[{"id":"ITEM-1","itemData":{"DOI":"10.1016/S0041-1345(98)01306-2","ISSN":"00411345","author":[{"dropping-particle":"","family":"Avolio","given":"Alfonso W.","non-dropping-particle":"","parse-names":false,"suffix":""},{"dropping-particle":"","family":"Agnes","given":"S.","non-dropping-particle":"","parse-names":false,"suffix":""},{"dropping-particle":"","family":"Chirico","given":"A. S.A.","non-dropping-particle":"","parse-names":false,"suffix":""},{"dropping-particle":"","family":"Citterio","given":"F.","non-dropping-particle":"","parse-names":false,"suffix":""},{"dropping-particle":"","family":"Montemagno","given":"S.","non-dropping-particle":"","parse-names":false,"suffix":""},{"dropping-particle":"","family":"Castagneto","given":"M.","non-dropping-particle":"","parse-names":false,"suffix":""}],"container-title":"Transplantation Proceedings","id":"ITEM-1","issue":"8","issued":{"date-parts":[["1998","12","1"]]},"page":"3962-3966","publisher":"Elsevier","title":"Outcome of liver transplantation after acute rejection and sepsis","type":"paper-conference","volume":"30"},"uris":["http://www.mendeley.com/documents/?uuid=f1408e8c-f03b-33f8-a207-6899800073a7"]}],"mendeley":{"formattedCitation":"(28)","plainTextFormattedCitation":"(28)","previouslyFormattedCitation":"(28)"},"properties":{"noteIndex":0},"schema":"https://github.com/citation-style-language/schema/raw/master/csl-citation.json"}</w:instrText>
      </w:r>
      <w:r w:rsidR="00FF3F6B">
        <w:fldChar w:fldCharType="separate"/>
      </w:r>
      <w:r w:rsidR="0085653B" w:rsidRPr="0085653B">
        <w:rPr>
          <w:noProof/>
        </w:rPr>
        <w:t>(28)</w:t>
      </w:r>
      <w:r w:rsidR="00FF3F6B">
        <w:fldChar w:fldCharType="end"/>
      </w:r>
      <w:r w:rsidR="00FF3F6B">
        <w:t>.</w:t>
      </w:r>
      <w:r w:rsidR="00FF3F6B" w:rsidRPr="00AE08EC">
        <w:t> </w:t>
      </w:r>
    </w:p>
    <w:p w14:paraId="31CB2516" w14:textId="77777777" w:rsidR="0064270E" w:rsidRDefault="0064270E" w:rsidP="00C50692">
      <w:pPr>
        <w:pStyle w:val="Balk2"/>
        <w:numPr>
          <w:ilvl w:val="0"/>
          <w:numId w:val="12"/>
        </w:numPr>
      </w:pPr>
      <w:bookmarkStart w:id="34" w:name="_Toc45265883"/>
      <w:bookmarkStart w:id="35" w:name="_Toc55727779"/>
      <w:r w:rsidRPr="003656DA">
        <w:lastRenderedPageBreak/>
        <w:t>Sepsis Nedir? Tanımlamalar</w:t>
      </w:r>
      <w:bookmarkEnd w:id="34"/>
      <w:bookmarkEnd w:id="35"/>
    </w:p>
    <w:p w14:paraId="31CB2517" w14:textId="04358619" w:rsidR="007E13D2" w:rsidRDefault="007E13D2" w:rsidP="009E6A9E">
      <w:r>
        <w:rPr>
          <w:color w:val="000000"/>
          <w:shd w:val="clear" w:color="auto" w:fill="FFFFFF"/>
        </w:rPr>
        <w:t xml:space="preserve">Modern anlamda sepsis görüşüne 19. yüzyılda Semmelweis, Pasteur ve Lister öncülük etmiştir. </w:t>
      </w:r>
      <w:r w:rsidR="007749B5" w:rsidRPr="007749B5">
        <w:t>American College of Chest Physicians (ACCP)/SCCM komitesi</w:t>
      </w:r>
      <w:r w:rsidR="007749B5">
        <w:t xml:space="preserve"> ilk defa 1991 yılında toplanarak sepsis tanımlaması ve evr</w:t>
      </w:r>
      <w:r w:rsidR="00C56F2F">
        <w:t>e</w:t>
      </w:r>
      <w:r w:rsidR="007749B5">
        <w:t xml:space="preserve">lemesini yapmıştır. </w:t>
      </w:r>
    </w:p>
    <w:p w14:paraId="31CB2518" w14:textId="77777777" w:rsidR="007E13D2" w:rsidRDefault="007749B5" w:rsidP="009E6A9E">
      <w:r>
        <w:t xml:space="preserve">Sonraki yıllarda tanımlamaların yeterli kliniği yansıtmaması üzerine </w:t>
      </w:r>
      <w:r w:rsidRPr="007749B5">
        <w:t>2001, 2005,</w:t>
      </w:r>
      <w:r w:rsidR="00BA6B35">
        <w:t xml:space="preserve"> </w:t>
      </w:r>
      <w:r>
        <w:t xml:space="preserve">2008, 2012 ve en son </w:t>
      </w:r>
      <w:r w:rsidRPr="007749B5">
        <w:t xml:space="preserve">2016 yıllarında </w:t>
      </w:r>
      <w:r>
        <w:t>sepsiste belirli</w:t>
      </w:r>
      <w:r w:rsidRPr="007749B5">
        <w:t xml:space="preserve"> standartlar getirmek</w:t>
      </w:r>
      <w:r>
        <w:t xml:space="preserve"> için yeni toplantılar düzenlenmiştir </w:t>
      </w:r>
      <w:r w:rsidRPr="007749B5">
        <w:t xml:space="preserve">(19). </w:t>
      </w:r>
    </w:p>
    <w:p w14:paraId="31CB2519" w14:textId="4D46608F" w:rsidR="007E13D2" w:rsidRDefault="007749B5" w:rsidP="009E6A9E">
      <w:r w:rsidRPr="007749B5">
        <w:t>Bu toplantılar sonucunda</w:t>
      </w:r>
      <w:r w:rsidR="00BA6B35">
        <w:t xml:space="preserve"> </w:t>
      </w:r>
      <w:r w:rsidR="00D876D1">
        <w:t>s</w:t>
      </w:r>
      <w:r w:rsidR="00BA6B35">
        <w:t>epsis;</w:t>
      </w:r>
      <w:r w:rsidR="00D876D1">
        <w:t xml:space="preserve"> </w:t>
      </w:r>
      <w:r w:rsidR="00BA6B35" w:rsidRPr="00612583">
        <w:t xml:space="preserve">enfeksiyon, travma </w:t>
      </w:r>
      <w:r w:rsidR="00BA6B35">
        <w:t>veya</w:t>
      </w:r>
      <w:r w:rsidR="00BA6B35" w:rsidRPr="00612583">
        <w:t xml:space="preserve"> bir toksin tarafından tetiklenen, </w:t>
      </w:r>
      <w:r w:rsidR="00BA6B35">
        <w:t xml:space="preserve">düzensiz konak cevabıyla gelişen, organ disfonksiyonuyla seyreden </w:t>
      </w:r>
      <w:r w:rsidR="00BA6B35" w:rsidRPr="00612583">
        <w:t xml:space="preserve">sistemik </w:t>
      </w:r>
      <w:r w:rsidR="008419DB" w:rsidRPr="00612583">
        <w:t>i</w:t>
      </w:r>
      <w:r w:rsidR="008419DB">
        <w:t>nflamatuar</w:t>
      </w:r>
      <w:r w:rsidR="00BA6B35">
        <w:t xml:space="preserve"> </w:t>
      </w:r>
      <w:r w:rsidR="002C11F5">
        <w:t xml:space="preserve">bir </w:t>
      </w:r>
      <w:r w:rsidR="00BA6B35">
        <w:t>yanıt olarak değerlendirilmiştir</w:t>
      </w:r>
      <w:r w:rsidR="00706195">
        <w:t xml:space="preserve"> </w:t>
      </w:r>
      <w:r w:rsidR="00706195">
        <w:fldChar w:fldCharType="begin" w:fldLock="1"/>
      </w:r>
      <w:r w:rsidR="0085653B">
        <w:instrText>ADDIN CSL_CITATION {"citationItems":[{"id":"ITEM-1","itemData":{"id":"ITEM-1","issued":{"date-parts":[["0"]]},"title":"Dellinger RP, Levy MM, Rhodes A, et al. Surviving sepsis campaign: international guidelines for management of severe sepsis and septic shock: 2012. Crit Care Med 2013; 41:580","type":"article-journal"},"uris":["http://www.mendeley.com/documents/?uuid=ad1740b6-f0d0-4188-a515-670630ae25f1"]}],"mendeley":{"formattedCitation":"(29)","plainTextFormattedCitation":"(29)","previouslyFormattedCitation":"(29)"},"properties":{"noteIndex":0},"schema":"https://github.com/citation-style-language/schema/raw/master/csl-citation.json"}</w:instrText>
      </w:r>
      <w:r w:rsidR="00706195">
        <w:fldChar w:fldCharType="separate"/>
      </w:r>
      <w:r w:rsidR="0085653B" w:rsidRPr="0085653B">
        <w:rPr>
          <w:noProof/>
        </w:rPr>
        <w:t>(29)</w:t>
      </w:r>
      <w:r w:rsidR="00706195">
        <w:fldChar w:fldCharType="end"/>
      </w:r>
      <w:r w:rsidR="00BA6B35">
        <w:t xml:space="preserve">. </w:t>
      </w:r>
      <w:r w:rsidRPr="007749B5">
        <w:t>Sepsis tanısı</w:t>
      </w:r>
      <w:r w:rsidR="00485249">
        <w:t xml:space="preserve">nda </w:t>
      </w:r>
      <w:r w:rsidRPr="007749B5">
        <w:t>yeni kriterler arasında “kanıtlanmış</w:t>
      </w:r>
      <w:r w:rsidR="00BA6B35">
        <w:t xml:space="preserve"> </w:t>
      </w:r>
      <w:r w:rsidR="00485249">
        <w:t>enfeksiyonla birlikte,</w:t>
      </w:r>
      <w:r w:rsidRPr="007749B5">
        <w:t xml:space="preserve"> yaşamı tehdit eden organ yetmezliği” yer almıştır</w:t>
      </w:r>
      <w:r w:rsidR="007E13D2">
        <w:t>.</w:t>
      </w:r>
      <w:r w:rsidR="00B00718">
        <w:t xml:space="preserve"> </w:t>
      </w:r>
    </w:p>
    <w:p w14:paraId="6EFF2A95" w14:textId="14B2A872" w:rsidR="009A794E" w:rsidRDefault="002C11F5" w:rsidP="003A4709">
      <w:pPr>
        <w:rPr>
          <w:rFonts w:eastAsia="Times New Roman"/>
          <w:color w:val="000000"/>
          <w:szCs w:val="24"/>
          <w:lang w:eastAsia="tr-TR"/>
        </w:rPr>
      </w:pPr>
      <w:r>
        <w:rPr>
          <w:color w:val="000000"/>
          <w:szCs w:val="24"/>
        </w:rPr>
        <w:t>Yeni kriterlerde</w:t>
      </w:r>
      <w:r w:rsidR="00B00718">
        <w:rPr>
          <w:color w:val="000000"/>
          <w:szCs w:val="24"/>
        </w:rPr>
        <w:t xml:space="preserve"> septik şok diyebilmek için </w:t>
      </w:r>
      <w:r w:rsidR="00485249">
        <w:rPr>
          <w:color w:val="000000"/>
          <w:szCs w:val="24"/>
        </w:rPr>
        <w:t>“</w:t>
      </w:r>
      <w:r w:rsidR="00B00718">
        <w:rPr>
          <w:color w:val="000000"/>
          <w:szCs w:val="24"/>
        </w:rPr>
        <w:t>yeterli</w:t>
      </w:r>
      <w:r>
        <w:rPr>
          <w:color w:val="000000"/>
          <w:szCs w:val="24"/>
        </w:rPr>
        <w:t xml:space="preserve"> </w:t>
      </w:r>
      <w:r w:rsidR="00BA6B35">
        <w:rPr>
          <w:color w:val="000000"/>
          <w:szCs w:val="24"/>
        </w:rPr>
        <w:t xml:space="preserve">sıvı </w:t>
      </w:r>
      <w:r w:rsidR="00485249">
        <w:rPr>
          <w:color w:val="000000"/>
          <w:szCs w:val="24"/>
        </w:rPr>
        <w:t>desteğine rağmen</w:t>
      </w:r>
      <w:r w:rsidR="00BA6B35">
        <w:rPr>
          <w:color w:val="000000"/>
          <w:szCs w:val="24"/>
        </w:rPr>
        <w:t xml:space="preserve"> </w:t>
      </w:r>
      <w:r w:rsidR="00485249">
        <w:rPr>
          <w:color w:val="000000"/>
          <w:szCs w:val="24"/>
        </w:rPr>
        <w:t xml:space="preserve">ortalama </w:t>
      </w:r>
      <w:r w:rsidR="008419DB">
        <w:rPr>
          <w:color w:val="000000"/>
          <w:szCs w:val="24"/>
        </w:rPr>
        <w:t>arteriel</w:t>
      </w:r>
      <w:r w:rsidR="00485249">
        <w:rPr>
          <w:color w:val="000000"/>
          <w:szCs w:val="24"/>
        </w:rPr>
        <w:t xml:space="preserve"> basıncın 65 mmHg </w:t>
      </w:r>
      <w:r w:rsidR="00BA6B35" w:rsidRPr="00BA6B35">
        <w:rPr>
          <w:color w:val="000000"/>
          <w:szCs w:val="24"/>
        </w:rPr>
        <w:t xml:space="preserve">üzerinde tutulabilmesi için vazopressör </w:t>
      </w:r>
      <w:r w:rsidR="00485249">
        <w:rPr>
          <w:color w:val="000000"/>
          <w:szCs w:val="24"/>
        </w:rPr>
        <w:t xml:space="preserve">desteği ihtiyacı </w:t>
      </w:r>
      <w:r w:rsidR="00BA6B35" w:rsidRPr="00BA6B35">
        <w:rPr>
          <w:color w:val="000000"/>
          <w:szCs w:val="24"/>
        </w:rPr>
        <w:t>ve serum laktat düzeyinin 2 mmol/L üzerinde olması</w:t>
      </w:r>
      <w:r w:rsidR="00485249">
        <w:rPr>
          <w:color w:val="000000"/>
          <w:szCs w:val="24"/>
        </w:rPr>
        <w:t>”</w:t>
      </w:r>
      <w:r w:rsidR="00BA6B35" w:rsidRPr="00BA6B35">
        <w:rPr>
          <w:color w:val="000000"/>
          <w:szCs w:val="24"/>
        </w:rPr>
        <w:t xml:space="preserve"> </w:t>
      </w:r>
      <w:r w:rsidR="00706195">
        <w:rPr>
          <w:color w:val="000000"/>
          <w:szCs w:val="24"/>
        </w:rPr>
        <w:t>gerekmektedir</w:t>
      </w:r>
      <w:r w:rsidR="00BA6B35" w:rsidRPr="00BA6B35">
        <w:rPr>
          <w:color w:val="000000"/>
          <w:szCs w:val="24"/>
        </w:rPr>
        <w:t xml:space="preserve"> </w:t>
      </w:r>
      <w:r w:rsidR="002B0674">
        <w:rPr>
          <w:color w:val="000000"/>
          <w:szCs w:val="24"/>
        </w:rPr>
        <w:fldChar w:fldCharType="begin" w:fldLock="1"/>
      </w:r>
      <w:r w:rsidR="0085653B">
        <w:rPr>
          <w:color w:val="000000"/>
          <w:szCs w:val="24"/>
        </w:rPr>
        <w:instrText>ADDIN CSL_CITATION {"citationItems":[{"id":"ITEM-1","itemData":{"id":"ITEM-1","issued":{"date-parts":[["0"]]},"title":"Rhodes A, Evans LE, Alhazzani W et al. Surviving sepsis campaign: international guidelines for management of sepsis and septic shock: 2016. Intensive Care Med 2017; 43(3): 304-377.","type":"article-journal"},"uris":["http://www.mendeley.com/documents/?uuid=c6f549ae-fbcc-41cb-8d1f-b47bc8d114ca"]}],"mendeley":{"formattedCitation":"(30)","plainTextFormattedCitation":"(30)","previouslyFormattedCitation":"(30)"},"properties":{"noteIndex":0},"schema":"https://github.com/citation-style-language/schema/raw/master/csl-citation.json"}</w:instrText>
      </w:r>
      <w:r w:rsidR="002B0674">
        <w:rPr>
          <w:color w:val="000000"/>
          <w:szCs w:val="24"/>
        </w:rPr>
        <w:fldChar w:fldCharType="separate"/>
      </w:r>
      <w:r w:rsidR="0085653B" w:rsidRPr="0085653B">
        <w:rPr>
          <w:noProof/>
          <w:color w:val="000000"/>
          <w:szCs w:val="24"/>
        </w:rPr>
        <w:t>(30)</w:t>
      </w:r>
      <w:r w:rsidR="002B0674">
        <w:rPr>
          <w:color w:val="000000"/>
          <w:szCs w:val="24"/>
        </w:rPr>
        <w:fldChar w:fldCharType="end"/>
      </w:r>
      <w:r w:rsidR="00BA6B35" w:rsidRPr="00BA6B35">
        <w:rPr>
          <w:color w:val="000000"/>
          <w:szCs w:val="24"/>
        </w:rPr>
        <w:t>.</w:t>
      </w:r>
      <w:r w:rsidR="009A794E">
        <w:rPr>
          <w:color w:val="000000"/>
          <w:szCs w:val="24"/>
        </w:rPr>
        <w:t xml:space="preserve"> Bu tanımlamalar aşağıdaki tabloda gösterilmektedir.</w:t>
      </w:r>
      <w:bookmarkStart w:id="36" w:name="_Toc45383386"/>
    </w:p>
    <w:p w14:paraId="14175FAD" w14:textId="77777777" w:rsidR="009A794E" w:rsidRDefault="009A794E" w:rsidP="003A4709">
      <w:pPr>
        <w:rPr>
          <w:rFonts w:eastAsia="Times New Roman"/>
          <w:color w:val="000000"/>
          <w:szCs w:val="24"/>
          <w:lang w:eastAsia="tr-TR"/>
        </w:rPr>
      </w:pPr>
    </w:p>
    <w:p w14:paraId="31CB251D" w14:textId="675DE010" w:rsidR="00682B8E" w:rsidRPr="00B1750E" w:rsidRDefault="00B1750E" w:rsidP="003A4709">
      <w:pPr>
        <w:rPr>
          <w:i/>
          <w:szCs w:val="24"/>
        </w:rPr>
      </w:pPr>
      <w:bookmarkStart w:id="37" w:name="_Toc49818007"/>
      <w:r w:rsidRPr="00042CE7">
        <w:rPr>
          <w:szCs w:val="24"/>
        </w:rPr>
        <w:t xml:space="preserve">Tablo </w:t>
      </w:r>
      <w:r w:rsidR="002B4CBE">
        <w:rPr>
          <w:szCs w:val="24"/>
        </w:rPr>
        <w:fldChar w:fldCharType="begin"/>
      </w:r>
      <w:r w:rsidR="002B4CBE">
        <w:rPr>
          <w:szCs w:val="24"/>
        </w:rPr>
        <w:instrText xml:space="preserve"> STYLEREF 1 \s </w:instrText>
      </w:r>
      <w:r w:rsidR="002B4CBE">
        <w:rPr>
          <w:szCs w:val="24"/>
        </w:rPr>
        <w:fldChar w:fldCharType="separate"/>
      </w:r>
      <w:r w:rsidR="00063441">
        <w:rPr>
          <w:noProof/>
          <w:szCs w:val="24"/>
        </w:rPr>
        <w:t>2</w:t>
      </w:r>
      <w:r w:rsidR="002B4CBE">
        <w:rPr>
          <w:szCs w:val="24"/>
        </w:rPr>
        <w:fldChar w:fldCharType="end"/>
      </w:r>
      <w:r w:rsidR="002B4CBE">
        <w:rPr>
          <w:szCs w:val="24"/>
        </w:rPr>
        <w:t>.</w:t>
      </w:r>
      <w:r w:rsidR="002B4CBE">
        <w:rPr>
          <w:szCs w:val="24"/>
        </w:rPr>
        <w:fldChar w:fldCharType="begin"/>
      </w:r>
      <w:r w:rsidR="002B4CBE">
        <w:rPr>
          <w:szCs w:val="24"/>
        </w:rPr>
        <w:instrText xml:space="preserve"> SEQ Tablo \* ARABIC \s 1 </w:instrText>
      </w:r>
      <w:r w:rsidR="002B4CBE">
        <w:rPr>
          <w:szCs w:val="24"/>
        </w:rPr>
        <w:fldChar w:fldCharType="separate"/>
      </w:r>
      <w:r w:rsidR="00063441">
        <w:rPr>
          <w:noProof/>
          <w:szCs w:val="24"/>
        </w:rPr>
        <w:t>1</w:t>
      </w:r>
      <w:r w:rsidR="002B4CBE">
        <w:rPr>
          <w:szCs w:val="24"/>
        </w:rPr>
        <w:fldChar w:fldCharType="end"/>
      </w:r>
      <w:r w:rsidRPr="00042CE7">
        <w:rPr>
          <w:szCs w:val="24"/>
        </w:rPr>
        <w:t xml:space="preserve"> </w:t>
      </w:r>
      <w:r w:rsidR="00485249">
        <w:rPr>
          <w:szCs w:val="24"/>
        </w:rPr>
        <w:t xml:space="preserve"> </w:t>
      </w:r>
      <w:r w:rsidR="00485249" w:rsidRPr="00042CE7">
        <w:rPr>
          <w:szCs w:val="24"/>
        </w:rPr>
        <w:t>2016</w:t>
      </w:r>
      <w:r w:rsidR="00485249">
        <w:rPr>
          <w:szCs w:val="24"/>
        </w:rPr>
        <w:t xml:space="preserve"> yılı</w:t>
      </w:r>
      <w:r w:rsidRPr="00042CE7">
        <w:rPr>
          <w:szCs w:val="24"/>
        </w:rPr>
        <w:t xml:space="preserve"> Sepsis Uzlaşı</w:t>
      </w:r>
      <w:r w:rsidR="002840FF">
        <w:rPr>
          <w:szCs w:val="24"/>
        </w:rPr>
        <w:t xml:space="preserve"> </w:t>
      </w:r>
      <w:r w:rsidRPr="00042CE7">
        <w:rPr>
          <w:szCs w:val="24"/>
        </w:rPr>
        <w:t>Toplantısı</w:t>
      </w:r>
      <w:r w:rsidR="002840FF">
        <w:rPr>
          <w:szCs w:val="24"/>
        </w:rPr>
        <w:t>ndaki</w:t>
      </w:r>
      <w:r w:rsidRPr="00042CE7">
        <w:rPr>
          <w:szCs w:val="24"/>
        </w:rPr>
        <w:t xml:space="preserve"> Tanımlamala</w:t>
      </w:r>
      <w:r w:rsidR="002840FF">
        <w:rPr>
          <w:szCs w:val="24"/>
        </w:rPr>
        <w:t>r</w:t>
      </w:r>
      <w:bookmarkEnd w:id="36"/>
      <w:bookmarkEnd w:id="37"/>
    </w:p>
    <w:tbl>
      <w:tblPr>
        <w:tblStyle w:val="TabloKlavuzuAk"/>
        <w:tblW w:w="8735" w:type="dxa"/>
        <w:tblLayout w:type="fixed"/>
        <w:tblLook w:val="04A0" w:firstRow="1" w:lastRow="0" w:firstColumn="1" w:lastColumn="0" w:noHBand="0" w:noVBand="1"/>
      </w:tblPr>
      <w:tblGrid>
        <w:gridCol w:w="8735"/>
      </w:tblGrid>
      <w:tr w:rsidR="00682B8E" w:rsidRPr="008D0EF5" w14:paraId="31CB2520" w14:textId="77777777" w:rsidTr="00FA28BF">
        <w:trPr>
          <w:trHeight w:val="627"/>
        </w:trPr>
        <w:tc>
          <w:tcPr>
            <w:tcW w:w="8735" w:type="dxa"/>
            <w:hideMark/>
          </w:tcPr>
          <w:p w14:paraId="31CB251E" w14:textId="77777777" w:rsidR="00682B8E" w:rsidRDefault="00682B8E" w:rsidP="00682B8E">
            <w:pPr>
              <w:ind w:firstLine="0"/>
              <w:jc w:val="left"/>
              <w:rPr>
                <w:rFonts w:eastAsia="Times New Roman"/>
                <w:b/>
                <w:bCs/>
                <w:color w:val="000000"/>
                <w:szCs w:val="24"/>
                <w:lang w:eastAsia="tr-TR"/>
              </w:rPr>
            </w:pPr>
            <w:r>
              <w:rPr>
                <w:rFonts w:eastAsia="Times New Roman"/>
                <w:b/>
                <w:bCs/>
                <w:color w:val="000000"/>
                <w:szCs w:val="24"/>
                <w:lang w:eastAsia="tr-TR"/>
              </w:rPr>
              <w:t>E</w:t>
            </w:r>
            <w:r w:rsidRPr="008D0EF5">
              <w:rPr>
                <w:rFonts w:eastAsia="Times New Roman"/>
                <w:b/>
                <w:bCs/>
                <w:color w:val="000000"/>
                <w:szCs w:val="24"/>
                <w:lang w:eastAsia="tr-TR"/>
              </w:rPr>
              <w:t xml:space="preserve">nfeksiyon: </w:t>
            </w:r>
          </w:p>
          <w:p w14:paraId="31CB251F" w14:textId="4F80B416" w:rsidR="00682B8E" w:rsidRPr="008D0EF5" w:rsidRDefault="00682B8E" w:rsidP="003C761B">
            <w:pPr>
              <w:ind w:left="708" w:firstLine="0"/>
              <w:jc w:val="left"/>
              <w:rPr>
                <w:rFonts w:eastAsia="Times New Roman"/>
                <w:szCs w:val="24"/>
                <w:lang w:eastAsia="tr-TR"/>
              </w:rPr>
            </w:pPr>
            <w:r w:rsidRPr="008D0EF5">
              <w:rPr>
                <w:rFonts w:eastAsia="Times New Roman"/>
                <w:color w:val="000000"/>
                <w:szCs w:val="24"/>
                <w:lang w:eastAsia="tr-TR"/>
              </w:rPr>
              <w:t>Mikroorganizma varlığında ve/veya steril olan dokuların</w:t>
            </w:r>
            <w:r w:rsidR="003C761B">
              <w:rPr>
                <w:rFonts w:eastAsia="Times New Roman"/>
                <w:color w:val="000000"/>
                <w:szCs w:val="24"/>
                <w:lang w:eastAsia="tr-TR"/>
              </w:rPr>
              <w:t>,</w:t>
            </w:r>
            <w:r>
              <w:rPr>
                <w:rFonts w:eastAsia="Times New Roman"/>
                <w:color w:val="000000"/>
                <w:szCs w:val="24"/>
                <w:lang w:eastAsia="tr-TR"/>
              </w:rPr>
              <w:t xml:space="preserve"> </w:t>
            </w:r>
            <w:r w:rsidRPr="008D0EF5">
              <w:rPr>
                <w:rFonts w:eastAsia="Times New Roman"/>
                <w:color w:val="000000"/>
                <w:szCs w:val="24"/>
                <w:lang w:eastAsia="tr-TR"/>
              </w:rPr>
              <w:t>mikroorganizmalar tarafından invaz</w:t>
            </w:r>
            <w:r w:rsidR="003C761B">
              <w:rPr>
                <w:rFonts w:eastAsia="Times New Roman"/>
                <w:color w:val="000000"/>
                <w:szCs w:val="24"/>
                <w:lang w:eastAsia="tr-TR"/>
              </w:rPr>
              <w:t>yonu ile</w:t>
            </w:r>
            <w:r w:rsidRPr="008D0EF5">
              <w:rPr>
                <w:rFonts w:eastAsia="Times New Roman"/>
                <w:color w:val="000000"/>
                <w:szCs w:val="24"/>
                <w:lang w:eastAsia="tr-TR"/>
              </w:rPr>
              <w:t xml:space="preserve"> ortaya çıkan </w:t>
            </w:r>
            <w:r w:rsidR="008419DB" w:rsidRPr="008D0EF5">
              <w:rPr>
                <w:rFonts w:eastAsia="Times New Roman"/>
                <w:color w:val="000000"/>
                <w:szCs w:val="24"/>
                <w:lang w:eastAsia="tr-TR"/>
              </w:rPr>
              <w:t>inflamatuar</w:t>
            </w:r>
            <w:r>
              <w:rPr>
                <w:rFonts w:eastAsia="Times New Roman"/>
                <w:color w:val="000000"/>
                <w:szCs w:val="24"/>
                <w:lang w:eastAsia="tr-TR"/>
              </w:rPr>
              <w:t xml:space="preserve"> </w:t>
            </w:r>
            <w:r w:rsidRPr="008D0EF5">
              <w:rPr>
                <w:rFonts w:eastAsia="Times New Roman"/>
                <w:color w:val="000000"/>
                <w:szCs w:val="24"/>
                <w:lang w:eastAsia="tr-TR"/>
              </w:rPr>
              <w:t>cevaptır.</w:t>
            </w:r>
          </w:p>
        </w:tc>
      </w:tr>
      <w:tr w:rsidR="00682B8E" w:rsidRPr="008D0EF5" w14:paraId="31CB2525" w14:textId="77777777" w:rsidTr="00FA28BF">
        <w:trPr>
          <w:trHeight w:val="1271"/>
        </w:trPr>
        <w:tc>
          <w:tcPr>
            <w:tcW w:w="8735" w:type="dxa"/>
            <w:hideMark/>
          </w:tcPr>
          <w:p w14:paraId="31CB2521" w14:textId="77777777" w:rsidR="00682B8E" w:rsidRDefault="00682B8E" w:rsidP="00682B8E">
            <w:pPr>
              <w:ind w:firstLine="0"/>
              <w:jc w:val="left"/>
              <w:rPr>
                <w:rFonts w:eastAsia="Times New Roman"/>
                <w:b/>
                <w:bCs/>
                <w:color w:val="000000"/>
                <w:szCs w:val="24"/>
                <w:lang w:eastAsia="tr-TR"/>
              </w:rPr>
            </w:pPr>
            <w:r w:rsidRPr="008D0EF5">
              <w:rPr>
                <w:rFonts w:eastAsia="Times New Roman"/>
                <w:b/>
                <w:bCs/>
                <w:color w:val="000000"/>
                <w:szCs w:val="24"/>
                <w:lang w:eastAsia="tr-TR"/>
              </w:rPr>
              <w:t xml:space="preserve">Sepsis: </w:t>
            </w:r>
          </w:p>
          <w:p w14:paraId="31CB2522" w14:textId="77777777" w:rsidR="003C761B" w:rsidRDefault="003C761B" w:rsidP="003C761B">
            <w:pPr>
              <w:ind w:left="708" w:firstLine="0"/>
              <w:jc w:val="left"/>
              <w:rPr>
                <w:rFonts w:eastAsia="Times New Roman"/>
                <w:color w:val="000000"/>
                <w:szCs w:val="24"/>
                <w:lang w:eastAsia="tr-TR"/>
              </w:rPr>
            </w:pPr>
            <w:r>
              <w:rPr>
                <w:rFonts w:eastAsia="Times New Roman"/>
                <w:color w:val="000000"/>
                <w:szCs w:val="24"/>
                <w:lang w:eastAsia="tr-TR"/>
              </w:rPr>
              <w:t>E</w:t>
            </w:r>
            <w:r w:rsidRPr="008D0EF5">
              <w:rPr>
                <w:rFonts w:eastAsia="Times New Roman"/>
                <w:color w:val="000000"/>
                <w:szCs w:val="24"/>
                <w:lang w:eastAsia="tr-TR"/>
              </w:rPr>
              <w:t xml:space="preserve">nfeksiyon </w:t>
            </w:r>
            <w:r>
              <w:rPr>
                <w:rFonts w:eastAsia="Times New Roman"/>
                <w:color w:val="000000"/>
                <w:szCs w:val="24"/>
                <w:lang w:eastAsia="tr-TR"/>
              </w:rPr>
              <w:t xml:space="preserve">tanısı </w:t>
            </w:r>
          </w:p>
          <w:p w14:paraId="31CB2523" w14:textId="77777777" w:rsidR="00682B8E" w:rsidRDefault="00682B8E" w:rsidP="003C761B">
            <w:pPr>
              <w:ind w:left="708" w:firstLine="0"/>
              <w:jc w:val="left"/>
              <w:rPr>
                <w:rFonts w:eastAsia="Times New Roman"/>
                <w:color w:val="000000"/>
                <w:szCs w:val="24"/>
                <w:lang w:eastAsia="tr-TR"/>
              </w:rPr>
            </w:pPr>
            <w:r>
              <w:rPr>
                <w:rFonts w:eastAsia="Times New Roman"/>
                <w:color w:val="000000"/>
                <w:szCs w:val="24"/>
                <w:lang w:eastAsia="tr-TR"/>
              </w:rPr>
              <w:t>Konağın enfeksiyona karş</w:t>
            </w:r>
            <w:r w:rsidRPr="008D0EF5">
              <w:rPr>
                <w:rFonts w:eastAsia="Times New Roman"/>
                <w:color w:val="000000"/>
                <w:szCs w:val="24"/>
                <w:lang w:eastAsia="tr-TR"/>
              </w:rPr>
              <w:t>ı düzensiz yanı</w:t>
            </w:r>
            <w:r>
              <w:rPr>
                <w:rFonts w:eastAsia="Times New Roman"/>
                <w:color w:val="000000"/>
                <w:szCs w:val="24"/>
                <w:lang w:eastAsia="tr-TR"/>
              </w:rPr>
              <w:t xml:space="preserve">tına bağlı organ disfonksiyonu </w:t>
            </w:r>
          </w:p>
          <w:p w14:paraId="31CB2524" w14:textId="77777777" w:rsidR="00682B8E" w:rsidRPr="008D0EF5" w:rsidRDefault="00682B8E" w:rsidP="005579CD">
            <w:pPr>
              <w:ind w:left="708" w:firstLine="0"/>
              <w:jc w:val="left"/>
              <w:rPr>
                <w:rFonts w:eastAsia="Times New Roman"/>
                <w:szCs w:val="24"/>
                <w:lang w:eastAsia="tr-TR"/>
              </w:rPr>
            </w:pPr>
            <w:r w:rsidRPr="008D0EF5">
              <w:rPr>
                <w:rFonts w:eastAsia="Times New Roman"/>
                <w:color w:val="000000"/>
                <w:szCs w:val="24"/>
                <w:lang w:eastAsia="tr-TR"/>
              </w:rPr>
              <w:t>Hipotansiyon</w:t>
            </w:r>
            <w:r>
              <w:rPr>
                <w:rFonts w:eastAsia="Times New Roman"/>
                <w:color w:val="000000"/>
                <w:szCs w:val="24"/>
                <w:lang w:eastAsia="tr-TR"/>
              </w:rPr>
              <w:t xml:space="preserve">      </w:t>
            </w:r>
            <w:r w:rsidR="00485249">
              <w:rPr>
                <w:rFonts w:eastAsia="Times New Roman"/>
                <w:color w:val="000000"/>
                <w:szCs w:val="24"/>
                <w:lang w:eastAsia="tr-TR"/>
              </w:rPr>
              <w:t xml:space="preserve">  </w:t>
            </w:r>
            <w:r w:rsidR="005579CD">
              <w:rPr>
                <w:rFonts w:eastAsia="Times New Roman"/>
                <w:color w:val="000000"/>
                <w:szCs w:val="24"/>
                <w:lang w:eastAsia="tr-TR"/>
              </w:rPr>
              <w:t xml:space="preserve">       </w:t>
            </w:r>
            <w:r w:rsidRPr="008D0EF5">
              <w:rPr>
                <w:rFonts w:eastAsia="Times New Roman"/>
                <w:color w:val="000000"/>
                <w:szCs w:val="24"/>
                <w:lang w:eastAsia="tr-TR"/>
              </w:rPr>
              <w:t xml:space="preserve"> </w:t>
            </w:r>
            <w:r w:rsidR="005579CD">
              <w:rPr>
                <w:rFonts w:eastAsia="Times New Roman"/>
                <w:color w:val="000000"/>
                <w:szCs w:val="24"/>
                <w:lang w:eastAsia="tr-TR"/>
              </w:rPr>
              <w:t xml:space="preserve">      </w:t>
            </w:r>
            <w:r w:rsidRPr="008D0EF5">
              <w:rPr>
                <w:rFonts w:eastAsia="Times New Roman"/>
                <w:color w:val="000000"/>
                <w:szCs w:val="24"/>
                <w:lang w:eastAsia="tr-TR"/>
              </w:rPr>
              <w:t>≤ 100 mmHg</w:t>
            </w:r>
            <w:r>
              <w:rPr>
                <w:rFonts w:eastAsia="Times New Roman"/>
                <w:color w:val="000000"/>
                <w:szCs w:val="24"/>
                <w:lang w:eastAsia="tr-TR"/>
              </w:rPr>
              <w:t xml:space="preserve"> (sistolik)</w:t>
            </w:r>
            <w:r w:rsidRPr="008D0EF5">
              <w:rPr>
                <w:rFonts w:eastAsia="Times New Roman"/>
                <w:color w:val="000000"/>
                <w:szCs w:val="24"/>
                <w:lang w:eastAsia="tr-TR"/>
              </w:rPr>
              <w:br/>
              <w:t xml:space="preserve">Bilinç </w:t>
            </w:r>
            <w:r w:rsidR="005579CD" w:rsidRPr="008D0EF5">
              <w:rPr>
                <w:rFonts w:eastAsia="Times New Roman"/>
                <w:color w:val="000000"/>
                <w:szCs w:val="24"/>
                <w:lang w:eastAsia="tr-TR"/>
              </w:rPr>
              <w:t>bozukluğu</w:t>
            </w:r>
            <w:r w:rsidR="005579CD">
              <w:rPr>
                <w:rFonts w:eastAsia="Times New Roman"/>
                <w:color w:val="000000"/>
                <w:szCs w:val="24"/>
                <w:lang w:eastAsia="tr-TR"/>
              </w:rPr>
              <w:t xml:space="preserve"> (GKS)</w:t>
            </w:r>
            <w:r w:rsidRPr="008D0EF5">
              <w:rPr>
                <w:rFonts w:eastAsia="Times New Roman"/>
                <w:color w:val="000000"/>
                <w:szCs w:val="24"/>
                <w:lang w:eastAsia="tr-TR"/>
              </w:rPr>
              <w:t xml:space="preserve"> </w:t>
            </w:r>
            <w:r w:rsidR="005579CD">
              <w:rPr>
                <w:rFonts w:eastAsia="Times New Roman"/>
                <w:color w:val="000000"/>
                <w:szCs w:val="24"/>
                <w:lang w:eastAsia="tr-TR"/>
              </w:rPr>
              <w:t xml:space="preserve">    </w:t>
            </w:r>
            <w:r w:rsidRPr="008D0EF5">
              <w:rPr>
                <w:rFonts w:eastAsia="Times New Roman"/>
                <w:color w:val="000000"/>
                <w:szCs w:val="24"/>
                <w:lang w:eastAsia="tr-TR"/>
              </w:rPr>
              <w:t>≤ 13</w:t>
            </w:r>
            <w:r w:rsidRPr="008D0EF5">
              <w:rPr>
                <w:rFonts w:eastAsia="Times New Roman"/>
                <w:color w:val="000000"/>
                <w:szCs w:val="24"/>
                <w:lang w:eastAsia="tr-TR"/>
              </w:rPr>
              <w:br/>
              <w:t xml:space="preserve">Takipne </w:t>
            </w:r>
            <w:r>
              <w:rPr>
                <w:rFonts w:eastAsia="Times New Roman"/>
                <w:color w:val="000000"/>
                <w:szCs w:val="24"/>
                <w:lang w:eastAsia="tr-TR"/>
              </w:rPr>
              <w:t xml:space="preserve">             </w:t>
            </w:r>
            <w:r w:rsidR="00485249">
              <w:rPr>
                <w:rFonts w:eastAsia="Times New Roman"/>
                <w:color w:val="000000"/>
                <w:szCs w:val="24"/>
                <w:lang w:eastAsia="tr-TR"/>
              </w:rPr>
              <w:t xml:space="preserve"> </w:t>
            </w:r>
            <w:r>
              <w:rPr>
                <w:rFonts w:eastAsia="Times New Roman"/>
                <w:color w:val="000000"/>
                <w:szCs w:val="24"/>
                <w:lang w:eastAsia="tr-TR"/>
              </w:rPr>
              <w:t xml:space="preserve">   </w:t>
            </w:r>
            <w:r w:rsidR="005579CD">
              <w:rPr>
                <w:rFonts w:eastAsia="Times New Roman"/>
                <w:color w:val="000000"/>
                <w:szCs w:val="24"/>
                <w:lang w:eastAsia="tr-TR"/>
              </w:rPr>
              <w:t xml:space="preserve">             </w:t>
            </w:r>
            <w:r w:rsidRPr="008D0EF5">
              <w:rPr>
                <w:rFonts w:eastAsia="Times New Roman"/>
                <w:color w:val="000000"/>
                <w:szCs w:val="24"/>
                <w:lang w:eastAsia="tr-TR"/>
              </w:rPr>
              <w:t>≥22/dk</w:t>
            </w:r>
          </w:p>
        </w:tc>
      </w:tr>
      <w:tr w:rsidR="00682B8E" w:rsidRPr="008D0EF5" w14:paraId="31CB2529" w14:textId="77777777" w:rsidTr="00FA28BF">
        <w:trPr>
          <w:trHeight w:val="410"/>
        </w:trPr>
        <w:tc>
          <w:tcPr>
            <w:tcW w:w="8735" w:type="dxa"/>
            <w:hideMark/>
          </w:tcPr>
          <w:p w14:paraId="31CB2526" w14:textId="77777777" w:rsidR="00682B8E" w:rsidRDefault="00682B8E" w:rsidP="00682B8E">
            <w:pPr>
              <w:ind w:firstLine="0"/>
              <w:jc w:val="left"/>
              <w:rPr>
                <w:rFonts w:eastAsia="Times New Roman"/>
                <w:b/>
                <w:bCs/>
                <w:color w:val="000000"/>
                <w:szCs w:val="24"/>
                <w:lang w:eastAsia="tr-TR"/>
              </w:rPr>
            </w:pPr>
            <w:r w:rsidRPr="008D0EF5">
              <w:rPr>
                <w:rFonts w:eastAsia="Times New Roman"/>
                <w:b/>
                <w:bCs/>
                <w:color w:val="000000"/>
                <w:szCs w:val="24"/>
                <w:lang w:eastAsia="tr-TR"/>
              </w:rPr>
              <w:t xml:space="preserve">Septik </w:t>
            </w:r>
            <w:r>
              <w:rPr>
                <w:rFonts w:eastAsia="Times New Roman"/>
                <w:b/>
                <w:bCs/>
                <w:color w:val="000000"/>
                <w:szCs w:val="24"/>
                <w:lang w:eastAsia="tr-TR"/>
              </w:rPr>
              <w:t>Ş</w:t>
            </w:r>
            <w:r w:rsidRPr="008D0EF5">
              <w:rPr>
                <w:rFonts w:eastAsia="Times New Roman"/>
                <w:b/>
                <w:bCs/>
                <w:color w:val="000000"/>
                <w:szCs w:val="24"/>
                <w:lang w:eastAsia="tr-TR"/>
              </w:rPr>
              <w:t xml:space="preserve">ok: </w:t>
            </w:r>
          </w:p>
          <w:p w14:paraId="31CB2527" w14:textId="77777777" w:rsidR="00682B8E" w:rsidRDefault="00706195" w:rsidP="003C761B">
            <w:pPr>
              <w:ind w:left="708" w:firstLine="0"/>
              <w:jc w:val="left"/>
              <w:rPr>
                <w:rFonts w:eastAsia="Times New Roman"/>
                <w:color w:val="000000"/>
                <w:szCs w:val="24"/>
                <w:lang w:eastAsia="tr-TR"/>
              </w:rPr>
            </w:pPr>
            <w:r>
              <w:rPr>
                <w:rFonts w:eastAsia="Times New Roman"/>
                <w:color w:val="000000"/>
                <w:szCs w:val="24"/>
                <w:lang w:eastAsia="tr-TR"/>
              </w:rPr>
              <w:t>Sepsis + O</w:t>
            </w:r>
            <w:r w:rsidR="00682B8E" w:rsidRPr="008D0EF5">
              <w:rPr>
                <w:rFonts w:eastAsia="Times New Roman"/>
                <w:color w:val="000000"/>
                <w:szCs w:val="24"/>
                <w:lang w:eastAsia="tr-TR"/>
              </w:rPr>
              <w:t>A</w:t>
            </w:r>
            <w:r>
              <w:rPr>
                <w:rFonts w:eastAsia="Times New Roman"/>
                <w:color w:val="000000"/>
                <w:szCs w:val="24"/>
                <w:lang w:eastAsia="tr-TR"/>
              </w:rPr>
              <w:t>B</w:t>
            </w:r>
            <w:r w:rsidR="00430077">
              <w:rPr>
                <w:rFonts w:eastAsia="Times New Roman"/>
                <w:color w:val="000000"/>
                <w:szCs w:val="24"/>
                <w:lang w:eastAsia="tr-TR"/>
              </w:rPr>
              <w:t xml:space="preserve"> </w:t>
            </w:r>
            <w:r w:rsidR="00682B8E" w:rsidRPr="008D0EF5">
              <w:rPr>
                <w:rFonts w:eastAsia="Times New Roman"/>
                <w:color w:val="000000"/>
                <w:szCs w:val="24"/>
                <w:lang w:eastAsia="tr-TR"/>
              </w:rPr>
              <w:t>&gt;</w:t>
            </w:r>
            <w:r w:rsidR="00430077">
              <w:rPr>
                <w:rFonts w:eastAsia="Times New Roman"/>
                <w:color w:val="000000"/>
                <w:szCs w:val="24"/>
                <w:lang w:eastAsia="tr-TR"/>
              </w:rPr>
              <w:t xml:space="preserve"> </w:t>
            </w:r>
            <w:r w:rsidR="00682B8E" w:rsidRPr="008D0EF5">
              <w:rPr>
                <w:rFonts w:eastAsia="Times New Roman"/>
                <w:color w:val="000000"/>
                <w:szCs w:val="24"/>
                <w:lang w:eastAsia="tr-TR"/>
              </w:rPr>
              <w:t>65 mmHg için Vazopressör ihtiyacı</w:t>
            </w:r>
          </w:p>
          <w:p w14:paraId="31CB2528" w14:textId="77777777" w:rsidR="00682B8E" w:rsidRPr="008D0EF5" w:rsidRDefault="00682B8E" w:rsidP="003C761B">
            <w:pPr>
              <w:ind w:left="708" w:firstLine="0"/>
              <w:jc w:val="left"/>
              <w:rPr>
                <w:rFonts w:eastAsia="Times New Roman"/>
                <w:szCs w:val="24"/>
                <w:lang w:eastAsia="tr-TR"/>
              </w:rPr>
            </w:pPr>
            <w:r w:rsidRPr="008D0EF5">
              <w:rPr>
                <w:rFonts w:eastAsia="Times New Roman"/>
                <w:color w:val="000000"/>
                <w:szCs w:val="24"/>
                <w:lang w:eastAsia="tr-TR"/>
              </w:rPr>
              <w:t>Laktat &gt;</w:t>
            </w:r>
            <w:r>
              <w:rPr>
                <w:rFonts w:eastAsia="Times New Roman"/>
                <w:color w:val="000000"/>
                <w:szCs w:val="24"/>
                <w:lang w:eastAsia="tr-TR"/>
              </w:rPr>
              <w:t xml:space="preserve"> 2 </w:t>
            </w:r>
            <w:r w:rsidRPr="008D0EF5">
              <w:rPr>
                <w:rFonts w:eastAsia="Times New Roman"/>
                <w:color w:val="000000"/>
                <w:szCs w:val="24"/>
                <w:lang w:eastAsia="tr-TR"/>
              </w:rPr>
              <w:t>mmol/L</w:t>
            </w:r>
          </w:p>
        </w:tc>
      </w:tr>
    </w:tbl>
    <w:p w14:paraId="31CB252A" w14:textId="63205CE8" w:rsidR="00682B8E" w:rsidRDefault="00682B8E" w:rsidP="00682B8E">
      <w:pPr>
        <w:rPr>
          <w:rFonts w:eastAsia="Times New Roman"/>
          <w:sz w:val="20"/>
          <w:szCs w:val="20"/>
          <w:lang w:eastAsia="tr-TR"/>
        </w:rPr>
      </w:pPr>
      <w:r w:rsidRPr="003C761B">
        <w:rPr>
          <w:rFonts w:eastAsia="Times New Roman"/>
          <w:sz w:val="20"/>
          <w:szCs w:val="20"/>
          <w:lang w:eastAsia="tr-TR"/>
        </w:rPr>
        <w:t xml:space="preserve">GKS: </w:t>
      </w:r>
      <w:r w:rsidR="005579CD" w:rsidRPr="003C761B">
        <w:rPr>
          <w:rFonts w:eastAsia="Times New Roman"/>
          <w:sz w:val="20"/>
          <w:szCs w:val="20"/>
          <w:lang w:eastAsia="tr-TR"/>
        </w:rPr>
        <w:t>Glasgow</w:t>
      </w:r>
      <w:r w:rsidRPr="003C761B">
        <w:rPr>
          <w:rFonts w:eastAsia="Times New Roman"/>
          <w:sz w:val="20"/>
          <w:szCs w:val="20"/>
          <w:lang w:eastAsia="tr-TR"/>
        </w:rPr>
        <w:t xml:space="preserve"> Koma Skoru,  </w:t>
      </w:r>
      <w:r w:rsidR="00706195">
        <w:rPr>
          <w:rFonts w:eastAsia="Times New Roman"/>
          <w:sz w:val="20"/>
          <w:szCs w:val="20"/>
          <w:lang w:eastAsia="tr-TR"/>
        </w:rPr>
        <w:t>OAB</w:t>
      </w:r>
      <w:r w:rsidRPr="003C761B">
        <w:rPr>
          <w:rFonts w:eastAsia="Times New Roman"/>
          <w:sz w:val="20"/>
          <w:szCs w:val="20"/>
          <w:lang w:eastAsia="tr-TR"/>
        </w:rPr>
        <w:t xml:space="preserve">: Ortalama </w:t>
      </w:r>
      <w:r w:rsidR="008419DB" w:rsidRPr="003C761B">
        <w:rPr>
          <w:rFonts w:eastAsia="Times New Roman"/>
          <w:sz w:val="20"/>
          <w:szCs w:val="20"/>
          <w:lang w:eastAsia="tr-TR"/>
        </w:rPr>
        <w:t>Arteriel</w:t>
      </w:r>
      <w:r w:rsidRPr="003C761B">
        <w:rPr>
          <w:rFonts w:eastAsia="Times New Roman"/>
          <w:sz w:val="20"/>
          <w:szCs w:val="20"/>
          <w:lang w:eastAsia="tr-TR"/>
        </w:rPr>
        <w:t xml:space="preserve"> Basınç</w:t>
      </w:r>
    </w:p>
    <w:p w14:paraId="31CB252B" w14:textId="77777777" w:rsidR="007E13D2" w:rsidRDefault="007E13D2" w:rsidP="00682B8E">
      <w:pPr>
        <w:rPr>
          <w:rFonts w:eastAsia="Times New Roman"/>
          <w:sz w:val="20"/>
          <w:szCs w:val="20"/>
          <w:lang w:eastAsia="tr-TR"/>
        </w:rPr>
      </w:pPr>
    </w:p>
    <w:p w14:paraId="2C266EB2" w14:textId="77777777" w:rsidR="00A81EDF" w:rsidRPr="003C761B" w:rsidRDefault="00A81EDF" w:rsidP="00682B8E">
      <w:pPr>
        <w:rPr>
          <w:rFonts w:eastAsia="Times New Roman"/>
          <w:sz w:val="20"/>
          <w:szCs w:val="20"/>
          <w:lang w:eastAsia="tr-TR"/>
        </w:rPr>
      </w:pPr>
    </w:p>
    <w:p w14:paraId="31CB252C" w14:textId="77777777" w:rsidR="0064270E" w:rsidRDefault="00D60F63" w:rsidP="00C50692">
      <w:pPr>
        <w:pStyle w:val="Balk2"/>
        <w:numPr>
          <w:ilvl w:val="0"/>
          <w:numId w:val="12"/>
        </w:numPr>
        <w:rPr>
          <w:rFonts w:eastAsiaTheme="minorHAnsi"/>
        </w:rPr>
      </w:pPr>
      <w:bookmarkStart w:id="38" w:name="_Toc45265884"/>
      <w:bookmarkStart w:id="39" w:name="_Toc55727780"/>
      <w:r w:rsidRPr="003656DA">
        <w:t xml:space="preserve">Sepsis Epidemiyolojisi ve </w:t>
      </w:r>
      <w:r w:rsidRPr="003656DA">
        <w:rPr>
          <w:rFonts w:eastAsiaTheme="minorHAnsi"/>
        </w:rPr>
        <w:t>Etiyolojisi</w:t>
      </w:r>
      <w:bookmarkEnd w:id="38"/>
      <w:bookmarkEnd w:id="39"/>
    </w:p>
    <w:p w14:paraId="31CB252D" w14:textId="2EE9F583" w:rsidR="00706195" w:rsidRDefault="00706195" w:rsidP="009E6A9E">
      <w:r w:rsidRPr="00E20864">
        <w:t xml:space="preserve">Sepsis YBÜ mortalitesinin en yaygın nedenidir. </w:t>
      </w:r>
      <w:r w:rsidR="00485249">
        <w:t>İdeal</w:t>
      </w:r>
      <w:r w:rsidRPr="00CF62FB">
        <w:t xml:space="preserve"> tedavilere rağmen sepsis ve septik</w:t>
      </w:r>
      <w:r>
        <w:t xml:space="preserve"> </w:t>
      </w:r>
      <w:r w:rsidRPr="00CF62FB">
        <w:t xml:space="preserve">şokun mortalite </w:t>
      </w:r>
      <w:r w:rsidR="00485249">
        <w:t>oranı</w:t>
      </w:r>
      <w:r w:rsidR="00B0144B">
        <w:t xml:space="preserve"> yaklaşık %40’t</w:t>
      </w:r>
      <w:r w:rsidRPr="00CF62FB">
        <w:t xml:space="preserve">ır </w:t>
      </w:r>
      <w:r>
        <w:fldChar w:fldCharType="begin" w:fldLock="1"/>
      </w:r>
      <w:r w:rsidR="0085653B">
        <w:instrText>ADDIN CSL_CITATION {"citationItems":[{"id":"ITEM-1","itemData":{"id":"ITEM-1","issued":{"date-parts":[["0"]]},"title":"Harris RL, Musher K, Bloom K et al. Manifestations of sepsis. Archives of Internal Medicine 1987; 147(11): 1895-1906.","type":"article-journal"},"uris":["http://www.mendeley.com/documents/?uuid=fd6a6736-b15c-401a-af4c-c73839ced9c4"]}],"mendeley":{"formattedCitation":"(31)","plainTextFormattedCitation":"(31)","previouslyFormattedCitation":"(31)"},"properties":{"noteIndex":0},"schema":"https://github.com/citation-style-language/schema/raw/master/csl-citation.json"}</w:instrText>
      </w:r>
      <w:r>
        <w:fldChar w:fldCharType="separate"/>
      </w:r>
      <w:r w:rsidR="0085653B" w:rsidRPr="0085653B">
        <w:rPr>
          <w:noProof/>
        </w:rPr>
        <w:t>(31)</w:t>
      </w:r>
      <w:r>
        <w:fldChar w:fldCharType="end"/>
      </w:r>
      <w:r>
        <w:t xml:space="preserve">. </w:t>
      </w:r>
    </w:p>
    <w:p w14:paraId="31CB252E" w14:textId="4FC5FE7B" w:rsidR="00CF62FB" w:rsidRDefault="007061DF" w:rsidP="009E6A9E">
      <w:r w:rsidRPr="007061DF">
        <w:rPr>
          <w:szCs w:val="24"/>
        </w:rPr>
        <w:t>Karaciğer nakli</w:t>
      </w:r>
      <w:r w:rsidR="00706195">
        <w:rPr>
          <w:szCs w:val="24"/>
        </w:rPr>
        <w:t xml:space="preserve"> sonrası sepsis sıklığının</w:t>
      </w:r>
      <w:r w:rsidR="00C27667">
        <w:rPr>
          <w:szCs w:val="24"/>
        </w:rPr>
        <w:t xml:space="preserve"> </w:t>
      </w:r>
      <w:r w:rsidR="00706195">
        <w:rPr>
          <w:szCs w:val="24"/>
        </w:rPr>
        <w:t>%</w:t>
      </w:r>
      <w:r w:rsidR="00C27667">
        <w:rPr>
          <w:shd w:val="clear" w:color="auto" w:fill="FFFFFF"/>
        </w:rPr>
        <w:t>1</w:t>
      </w:r>
      <w:r w:rsidR="00275AF1">
        <w:rPr>
          <w:shd w:val="clear" w:color="auto" w:fill="FFFFFF"/>
        </w:rPr>
        <w:t>5</w:t>
      </w:r>
      <w:r w:rsidR="00706195">
        <w:rPr>
          <w:shd w:val="clear" w:color="auto" w:fill="FFFFFF"/>
        </w:rPr>
        <w:t>-</w:t>
      </w:r>
      <w:r w:rsidR="00C27667">
        <w:rPr>
          <w:shd w:val="clear" w:color="auto" w:fill="FFFFFF"/>
        </w:rPr>
        <w:t xml:space="preserve">52 arasında değiştiği bildirilmiştir </w:t>
      </w:r>
      <w:r w:rsidR="00C27667">
        <w:rPr>
          <w:shd w:val="clear" w:color="auto" w:fill="FFFFFF"/>
        </w:rPr>
        <w:fldChar w:fldCharType="begin" w:fldLock="1"/>
      </w:r>
      <w:r w:rsidR="0085653B">
        <w:rPr>
          <w:shd w:val="clear" w:color="auto" w:fill="FFFFFF"/>
        </w:rPr>
        <w:instrText>ADDIN CSL_CITATION {"citationItems":[{"id":"ITEM-1","itemData":{"DOI":"10.1016/j.trre.2014.02.001","ISSN":"15579816","abstract":"Bloodstream infections (BSIs) remain important causes of morbidity and mortality among solid organ transplant (SOT) recipients and still threaten the success of SOT. In general, among SOT recipients, risk factors for BSIs are associated with prior ICU admission, catheterization, older recipient or donor age...etc. Pulmonary focus, nosocomial source of BSIs, lack of appropriate antibiotic therapy and other variables have significant impacts on BSIs-related mortality in SOT. Most of BSIs in SOT are caused by gram-negative bacteria. However, all aspects including microbiological spectrum, morbidity and mortality rates, risk factors of BSIs and BSIs-related death depend on the type of transplantation. The purpose of this review is to summarize the epidemiology, microbiologic features including antimicrobial resistance of organisms, and associated risk factors for morbidity and mortality of BSIs according to different type of transplantation to better understand the characteristics of BSIs and improve the outcomes after SOT.","author":[{"dropping-particle":"","family":"Shao","given":"Mingjie","non-dropping-particle":"","parse-names":false,"suffix":""},{"dropping-particle":"","family":"Wan","given":"Qiquan","non-dropping-particle":"","parse-names":false,"suffix":""},{"dropping-particle":"","family":"Xie","given":"Wenzhao","non-dropping-particle":"","parse-names":false,"suffix":""},{"dropping-particle":"","family":"Ye","given":"Qifa","non-dropping-particle":"","parse-names":false,"suffix":""}],"container-title":"Transplantation Reviews","id":"ITEM-1","issue":"4","issued":{"date-parts":[["2014","10","1"]]},"page":"176-181","publisher":"W.B. Saunders","title":"Bloodstream infections among solid organ transplant recipients: Epidemiology, microbiology, associated risk factors for morbility and mortality","type":"article","volume":"28"},"uris":["http://www.mendeley.com/documents/?uuid=bc74c4a0-647e-3153-92b4-bb403bb5c281"]}],"mendeley":{"formattedCitation":"(32)","plainTextFormattedCitation":"(32)","previouslyFormattedCitation":"(32)"},"properties":{"noteIndex":0},"schema":"https://github.com/citation-style-language/schema/raw/master/csl-citation.json"}</w:instrText>
      </w:r>
      <w:r w:rsidR="00C27667">
        <w:rPr>
          <w:shd w:val="clear" w:color="auto" w:fill="FFFFFF"/>
        </w:rPr>
        <w:fldChar w:fldCharType="separate"/>
      </w:r>
      <w:r w:rsidR="0085653B" w:rsidRPr="0085653B">
        <w:rPr>
          <w:noProof/>
          <w:shd w:val="clear" w:color="auto" w:fill="FFFFFF"/>
        </w:rPr>
        <w:t>(32)</w:t>
      </w:r>
      <w:r w:rsidR="00C27667">
        <w:rPr>
          <w:shd w:val="clear" w:color="auto" w:fill="FFFFFF"/>
        </w:rPr>
        <w:fldChar w:fldCharType="end"/>
      </w:r>
      <w:r w:rsidR="00C27667">
        <w:rPr>
          <w:shd w:val="clear" w:color="auto" w:fill="FFFFFF"/>
        </w:rPr>
        <w:t>.</w:t>
      </w:r>
      <w:r w:rsidR="00706195">
        <w:rPr>
          <w:szCs w:val="24"/>
        </w:rPr>
        <w:t xml:space="preserve"> </w:t>
      </w:r>
      <w:r w:rsidR="00485249">
        <w:rPr>
          <w:szCs w:val="24"/>
        </w:rPr>
        <w:t>D</w:t>
      </w:r>
      <w:r w:rsidR="00485249" w:rsidRPr="007061DF">
        <w:rPr>
          <w:szCs w:val="24"/>
        </w:rPr>
        <w:t>ünya gene</w:t>
      </w:r>
      <w:r w:rsidR="00485249">
        <w:rPr>
          <w:szCs w:val="24"/>
        </w:rPr>
        <w:t>linde her yıl milyonlarca insan s</w:t>
      </w:r>
      <w:r w:rsidRPr="007061DF">
        <w:rPr>
          <w:szCs w:val="24"/>
        </w:rPr>
        <w:t>epsis ve</w:t>
      </w:r>
      <w:r w:rsidR="00485249">
        <w:rPr>
          <w:szCs w:val="24"/>
        </w:rPr>
        <w:t>ya</w:t>
      </w:r>
      <w:r w:rsidRPr="007061DF">
        <w:rPr>
          <w:szCs w:val="24"/>
        </w:rPr>
        <w:t xml:space="preserve"> septik </w:t>
      </w:r>
      <w:r w:rsidR="00C56F2F">
        <w:rPr>
          <w:szCs w:val="24"/>
        </w:rPr>
        <w:t>ş</w:t>
      </w:r>
      <w:r w:rsidRPr="007061DF">
        <w:rPr>
          <w:szCs w:val="24"/>
        </w:rPr>
        <w:t xml:space="preserve">ok </w:t>
      </w:r>
      <w:r w:rsidR="005579CD">
        <w:rPr>
          <w:szCs w:val="24"/>
        </w:rPr>
        <w:t>tablosuna</w:t>
      </w:r>
      <w:r w:rsidR="00485249">
        <w:rPr>
          <w:szCs w:val="24"/>
        </w:rPr>
        <w:t xml:space="preserve"> girmekte </w:t>
      </w:r>
      <w:r w:rsidR="00485249">
        <w:rPr>
          <w:szCs w:val="24"/>
        </w:rPr>
        <w:lastRenderedPageBreak/>
        <w:t>olup</w:t>
      </w:r>
      <w:r w:rsidRPr="007061DF">
        <w:rPr>
          <w:szCs w:val="24"/>
        </w:rPr>
        <w:t xml:space="preserve"> bunların da </w:t>
      </w:r>
      <w:r w:rsidR="00B0144B">
        <w:rPr>
          <w:szCs w:val="24"/>
        </w:rPr>
        <w:t>%25’</w:t>
      </w:r>
      <w:r w:rsidR="00706195">
        <w:rPr>
          <w:szCs w:val="24"/>
        </w:rPr>
        <w:t>inden f</w:t>
      </w:r>
      <w:r w:rsidRPr="007061DF">
        <w:rPr>
          <w:szCs w:val="24"/>
        </w:rPr>
        <w:t>azlası hayatını kaybetmektedir.</w:t>
      </w:r>
      <w:r w:rsidR="00C27667">
        <w:rPr>
          <w:szCs w:val="24"/>
        </w:rPr>
        <w:t xml:space="preserve"> </w:t>
      </w:r>
      <w:r w:rsidR="00485249">
        <w:rPr>
          <w:szCs w:val="24"/>
        </w:rPr>
        <w:t>İnsanların</w:t>
      </w:r>
      <w:r w:rsidRPr="007061DF">
        <w:rPr>
          <w:szCs w:val="24"/>
        </w:rPr>
        <w:t xml:space="preserve"> ya</w:t>
      </w:r>
      <w:r w:rsidR="00B62330">
        <w:rPr>
          <w:szCs w:val="24"/>
        </w:rPr>
        <w:t>ş</w:t>
      </w:r>
      <w:r w:rsidR="00485249">
        <w:rPr>
          <w:szCs w:val="24"/>
        </w:rPr>
        <w:t xml:space="preserve">am süresinin artması, </w:t>
      </w:r>
      <w:r w:rsidRPr="007061DF">
        <w:rPr>
          <w:szCs w:val="24"/>
        </w:rPr>
        <w:t>e</w:t>
      </w:r>
      <w:r w:rsidR="00B62330">
        <w:rPr>
          <w:szCs w:val="24"/>
        </w:rPr>
        <w:t>ş</w:t>
      </w:r>
      <w:r w:rsidRPr="007061DF">
        <w:rPr>
          <w:szCs w:val="24"/>
        </w:rPr>
        <w:t>lik eden</w:t>
      </w:r>
      <w:r w:rsidR="00B62330">
        <w:rPr>
          <w:szCs w:val="24"/>
        </w:rPr>
        <w:t xml:space="preserve"> </w:t>
      </w:r>
      <w:r w:rsidR="00485249">
        <w:rPr>
          <w:szCs w:val="24"/>
        </w:rPr>
        <w:t xml:space="preserve">ek hastalıkların çoğalmasıyla </w:t>
      </w:r>
      <w:r w:rsidRPr="007061DF">
        <w:rPr>
          <w:szCs w:val="24"/>
        </w:rPr>
        <w:t xml:space="preserve">birlikte sepsis sıklığı </w:t>
      </w:r>
      <w:r w:rsidR="00706195">
        <w:rPr>
          <w:szCs w:val="24"/>
        </w:rPr>
        <w:t xml:space="preserve">da </w:t>
      </w:r>
      <w:r w:rsidRPr="007061DF">
        <w:rPr>
          <w:szCs w:val="24"/>
        </w:rPr>
        <w:t>artmaktadır. Ya</w:t>
      </w:r>
      <w:r w:rsidR="00B62330">
        <w:rPr>
          <w:szCs w:val="24"/>
        </w:rPr>
        <w:t>ş</w:t>
      </w:r>
      <w:r w:rsidRPr="007061DF">
        <w:rPr>
          <w:szCs w:val="24"/>
        </w:rPr>
        <w:t>,</w:t>
      </w:r>
      <w:r w:rsidR="00B62330">
        <w:rPr>
          <w:szCs w:val="24"/>
        </w:rPr>
        <w:t xml:space="preserve"> </w:t>
      </w:r>
      <w:r w:rsidRPr="007061DF">
        <w:rPr>
          <w:szCs w:val="24"/>
        </w:rPr>
        <w:t>sepsis için ba</w:t>
      </w:r>
      <w:r w:rsidR="00B62330">
        <w:rPr>
          <w:szCs w:val="24"/>
        </w:rPr>
        <w:t>ş</w:t>
      </w:r>
      <w:r w:rsidRPr="007061DF">
        <w:rPr>
          <w:szCs w:val="24"/>
        </w:rPr>
        <w:t>lı ba</w:t>
      </w:r>
      <w:r w:rsidR="00B62330">
        <w:rPr>
          <w:szCs w:val="24"/>
        </w:rPr>
        <w:t>ş</w:t>
      </w:r>
      <w:r w:rsidRPr="007061DF">
        <w:rPr>
          <w:szCs w:val="24"/>
        </w:rPr>
        <w:t>ın</w:t>
      </w:r>
      <w:r w:rsidR="00B62330">
        <w:rPr>
          <w:szCs w:val="24"/>
        </w:rPr>
        <w:t>a bir risk faktörüdür. Bunun dış</w:t>
      </w:r>
      <w:r w:rsidRPr="007061DF">
        <w:rPr>
          <w:szCs w:val="24"/>
        </w:rPr>
        <w:t>ında böbrek yetmezliği,</w:t>
      </w:r>
      <w:r w:rsidR="00B62330">
        <w:rPr>
          <w:szCs w:val="24"/>
        </w:rPr>
        <w:t xml:space="preserve"> </w:t>
      </w:r>
      <w:r w:rsidRPr="007061DF">
        <w:rPr>
          <w:szCs w:val="24"/>
        </w:rPr>
        <w:t xml:space="preserve">diyabet, </w:t>
      </w:r>
      <w:r w:rsidR="00485249">
        <w:rPr>
          <w:szCs w:val="24"/>
        </w:rPr>
        <w:t>huzur</w:t>
      </w:r>
      <w:r w:rsidR="00706195">
        <w:rPr>
          <w:szCs w:val="24"/>
        </w:rPr>
        <w:t xml:space="preserve"> evinde kalmak</w:t>
      </w:r>
      <w:r w:rsidRPr="007061DF">
        <w:rPr>
          <w:szCs w:val="24"/>
        </w:rPr>
        <w:t>, karaciğer yetmezliği, invaziv i</w:t>
      </w:r>
      <w:r w:rsidR="00B62330">
        <w:rPr>
          <w:szCs w:val="24"/>
        </w:rPr>
        <w:t>ş</w:t>
      </w:r>
      <w:r w:rsidRPr="007061DF">
        <w:rPr>
          <w:szCs w:val="24"/>
        </w:rPr>
        <w:t>lem</w:t>
      </w:r>
      <w:r w:rsidR="00B62330">
        <w:rPr>
          <w:szCs w:val="24"/>
        </w:rPr>
        <w:t xml:space="preserve"> </w:t>
      </w:r>
      <w:r w:rsidRPr="007061DF">
        <w:rPr>
          <w:szCs w:val="24"/>
        </w:rPr>
        <w:t>yapılmı</w:t>
      </w:r>
      <w:r w:rsidR="00B62330">
        <w:rPr>
          <w:szCs w:val="24"/>
        </w:rPr>
        <w:t>ş</w:t>
      </w:r>
      <w:r w:rsidRPr="007061DF">
        <w:rPr>
          <w:szCs w:val="24"/>
        </w:rPr>
        <w:t xml:space="preserve"> olması, immün sistemin baskılanmasına sebep olan hastalıklar ve</w:t>
      </w:r>
      <w:r w:rsidR="00C27667">
        <w:rPr>
          <w:szCs w:val="24"/>
        </w:rPr>
        <w:t xml:space="preserve"> </w:t>
      </w:r>
      <w:r w:rsidR="00485249">
        <w:rPr>
          <w:szCs w:val="24"/>
        </w:rPr>
        <w:t xml:space="preserve">ilaçlar da sepsis </w:t>
      </w:r>
      <w:r w:rsidR="00B62330">
        <w:rPr>
          <w:szCs w:val="24"/>
        </w:rPr>
        <w:t>risk</w:t>
      </w:r>
      <w:r w:rsidR="00485249">
        <w:rPr>
          <w:szCs w:val="24"/>
        </w:rPr>
        <w:t>ini</w:t>
      </w:r>
      <w:r w:rsidR="00B62330">
        <w:rPr>
          <w:szCs w:val="24"/>
        </w:rPr>
        <w:t xml:space="preserve"> </w:t>
      </w:r>
      <w:r w:rsidR="00485249">
        <w:rPr>
          <w:szCs w:val="24"/>
        </w:rPr>
        <w:t>arttırmaktadır</w:t>
      </w:r>
      <w:r w:rsidR="00D97A43">
        <w:rPr>
          <w:szCs w:val="24"/>
        </w:rPr>
        <w:t xml:space="preserve"> </w:t>
      </w:r>
      <w:r w:rsidR="00D97A43">
        <w:rPr>
          <w:szCs w:val="24"/>
        </w:rPr>
        <w:fldChar w:fldCharType="begin" w:fldLock="1"/>
      </w:r>
      <w:r w:rsidR="0085653B">
        <w:rPr>
          <w:szCs w:val="24"/>
        </w:rPr>
        <w:instrText>ADDIN CSL_CITATION {"citationItems":[{"id":"ITEM-1","itemData":{"id":"ITEM-1","issued":{"date-parts":[["0"]]},"title":"Khwannimit, B., &amp; Bhurayanontachai, R. (2009). The epidemiology of, and risk factors for, mortality from severe sepsis and septic shock in a tertiary-care university hospital setting. Epidemiology &amp; Infection, 137(9), 1333-1341.","type":"article-journal"},"uris":["http://www.mendeley.com/documents/?uuid=49ac309d-fc51-415f-af94-829a8c1d225b"]},{"id":"ITEM-2","itemData":{"id":"ITEM-2","issued":{"date-parts":[["0"]]},"title":"Tsertsvadze, A., Royle, P., &amp; McCarthy, N. (2015). Community-onset sepsis and its public health burden: protocol of a systematic review. Systematic reviews, 4(1), 119.","type":"article-journal"},"uris":["http://www.mendeley.com/documents/?uuid=6c358ce6-72da-44ef-a454-fea020e159ba"]}],"mendeley":{"formattedCitation":"(33,34)","plainTextFormattedCitation":"(33,34)","previouslyFormattedCitation":"(33,34)"},"properties":{"noteIndex":0},"schema":"https://github.com/citation-style-language/schema/raw/master/csl-citation.json"}</w:instrText>
      </w:r>
      <w:r w:rsidR="00D97A43">
        <w:rPr>
          <w:szCs w:val="24"/>
        </w:rPr>
        <w:fldChar w:fldCharType="separate"/>
      </w:r>
      <w:r w:rsidR="0085653B" w:rsidRPr="0085653B">
        <w:rPr>
          <w:noProof/>
          <w:szCs w:val="24"/>
        </w:rPr>
        <w:t>(33,34)</w:t>
      </w:r>
      <w:r w:rsidR="00D97A43">
        <w:rPr>
          <w:szCs w:val="24"/>
        </w:rPr>
        <w:fldChar w:fldCharType="end"/>
      </w:r>
      <w:r w:rsidRPr="007061DF">
        <w:rPr>
          <w:szCs w:val="24"/>
        </w:rPr>
        <w:t>.</w:t>
      </w:r>
      <w:r w:rsidRPr="007061DF">
        <w:t xml:space="preserve"> </w:t>
      </w:r>
    </w:p>
    <w:p w14:paraId="2AE98313" w14:textId="77777777" w:rsidR="00A81EDF" w:rsidRDefault="00A81EDF" w:rsidP="009E6A9E">
      <w:pPr>
        <w:rPr>
          <w:color w:val="FF0000"/>
          <w:szCs w:val="24"/>
        </w:rPr>
      </w:pPr>
    </w:p>
    <w:p w14:paraId="31CB252F" w14:textId="77777777" w:rsidR="0064270E" w:rsidRPr="003656DA" w:rsidRDefault="003E11CA" w:rsidP="00557076">
      <w:pPr>
        <w:pStyle w:val="Balk2"/>
        <w:numPr>
          <w:ilvl w:val="0"/>
          <w:numId w:val="12"/>
        </w:numPr>
      </w:pPr>
      <w:bookmarkStart w:id="40" w:name="_Toc45265885"/>
      <w:bookmarkStart w:id="41" w:name="_Toc55727781"/>
      <w:r>
        <w:t>Sepsis Fizyop</w:t>
      </w:r>
      <w:r w:rsidR="0064270E" w:rsidRPr="003656DA">
        <w:t>ato</w:t>
      </w:r>
      <w:r>
        <w:t>lojisi</w:t>
      </w:r>
      <w:bookmarkEnd w:id="40"/>
      <w:bookmarkEnd w:id="41"/>
    </w:p>
    <w:p w14:paraId="31CB2530" w14:textId="34B9A51B" w:rsidR="008A36B7" w:rsidRDefault="00911F24" w:rsidP="003E11CA">
      <w:r>
        <w:rPr>
          <w:rStyle w:val="fontstyle11"/>
          <w:rFonts w:ascii="Times New Roman" w:hAnsi="Times New Roman"/>
        </w:rPr>
        <w:t xml:space="preserve">Sepsiste oldukça karmaşık </w:t>
      </w:r>
      <w:r w:rsidR="009E49C1" w:rsidRPr="003656DA">
        <w:rPr>
          <w:rStyle w:val="fontstyle11"/>
          <w:rFonts w:ascii="Times New Roman" w:hAnsi="Times New Roman"/>
        </w:rPr>
        <w:t xml:space="preserve">fizyopatolojik olaylar </w:t>
      </w:r>
      <w:r w:rsidR="0071008A">
        <w:rPr>
          <w:rStyle w:val="fontstyle11"/>
          <w:rFonts w:ascii="Times New Roman" w:hAnsi="Times New Roman"/>
        </w:rPr>
        <w:t>olmaktadır</w:t>
      </w:r>
      <w:r w:rsidR="009E49C1" w:rsidRPr="003656DA">
        <w:rPr>
          <w:rStyle w:val="fontstyle11"/>
          <w:rFonts w:ascii="Times New Roman" w:hAnsi="Times New Roman"/>
        </w:rPr>
        <w:t xml:space="preserve">. </w:t>
      </w:r>
      <w:r w:rsidR="0071008A">
        <w:t>D</w:t>
      </w:r>
      <w:r w:rsidR="0071008A" w:rsidRPr="0094706F">
        <w:t>okularda oluşan enfeksiyon ve</w:t>
      </w:r>
      <w:r w:rsidR="0071008A">
        <w:t>ya</w:t>
      </w:r>
      <w:r w:rsidR="0071008A" w:rsidRPr="0094706F">
        <w:t xml:space="preserve"> travmatik hasar sonucu vücutta humoral</w:t>
      </w:r>
      <w:r w:rsidR="0071008A">
        <w:t xml:space="preserve"> sistem aktive olur</w:t>
      </w:r>
      <w:r w:rsidR="0071008A" w:rsidRPr="0094706F">
        <w:t xml:space="preserve"> ve </w:t>
      </w:r>
      <w:r w:rsidR="0071008A">
        <w:t>birçok sitokin</w:t>
      </w:r>
      <w:r w:rsidR="0071008A" w:rsidRPr="0094706F">
        <w:t xml:space="preserve"> salın</w:t>
      </w:r>
      <w:r w:rsidR="0071008A">
        <w:t xml:space="preserve">ır. </w:t>
      </w:r>
      <w:r w:rsidR="009E49C1" w:rsidRPr="003656DA">
        <w:rPr>
          <w:rStyle w:val="fontstyle11"/>
          <w:rFonts w:ascii="Times New Roman" w:hAnsi="Times New Roman"/>
        </w:rPr>
        <w:t>Bakteri</w:t>
      </w:r>
      <w:r w:rsidR="003E11CA">
        <w:rPr>
          <w:rStyle w:val="fontstyle11"/>
          <w:rFonts w:ascii="Times New Roman" w:hAnsi="Times New Roman"/>
        </w:rPr>
        <w:t>lerin</w:t>
      </w:r>
      <w:r w:rsidR="009E49C1" w:rsidRPr="003656DA">
        <w:rPr>
          <w:rStyle w:val="fontstyle11"/>
          <w:rFonts w:ascii="Times New Roman" w:hAnsi="Times New Roman"/>
        </w:rPr>
        <w:t xml:space="preserve"> hücre</w:t>
      </w:r>
      <w:r w:rsidR="003E11CA">
        <w:rPr>
          <w:rStyle w:val="fontstyle11"/>
          <w:rFonts w:ascii="Times New Roman" w:hAnsi="Times New Roman"/>
        </w:rPr>
        <w:t xml:space="preserve"> </w:t>
      </w:r>
      <w:r w:rsidR="009E49C1" w:rsidRPr="003656DA">
        <w:rPr>
          <w:rStyle w:val="fontstyle11"/>
          <w:rFonts w:ascii="Times New Roman" w:hAnsi="Times New Roman"/>
        </w:rPr>
        <w:t>duvar</w:t>
      </w:r>
      <w:r w:rsidR="0071008A">
        <w:rPr>
          <w:rStyle w:val="fontstyle11"/>
          <w:rFonts w:ascii="Times New Roman" w:hAnsi="Times New Roman"/>
        </w:rPr>
        <w:t>lar</w:t>
      </w:r>
      <w:r w:rsidR="009E49C1" w:rsidRPr="003656DA">
        <w:rPr>
          <w:rStyle w:val="fontstyle11"/>
          <w:rFonts w:ascii="Times New Roman" w:hAnsi="Times New Roman"/>
        </w:rPr>
        <w:t>ında yer alan antijenik yapı</w:t>
      </w:r>
      <w:r w:rsidR="0071008A">
        <w:rPr>
          <w:rStyle w:val="fontstyle11"/>
          <w:rFonts w:ascii="Times New Roman" w:hAnsi="Times New Roman"/>
        </w:rPr>
        <w:t>lar</w:t>
      </w:r>
      <w:r w:rsidR="009E49C1" w:rsidRPr="003656DA">
        <w:rPr>
          <w:rStyle w:val="fontstyle11"/>
          <w:rFonts w:ascii="Times New Roman" w:hAnsi="Times New Roman"/>
        </w:rPr>
        <w:t xml:space="preserve"> ve toksinler</w:t>
      </w:r>
      <w:r w:rsidR="003E11CA">
        <w:rPr>
          <w:rStyle w:val="fontstyle11"/>
          <w:rFonts w:ascii="Times New Roman" w:hAnsi="Times New Roman"/>
        </w:rPr>
        <w:t>;</w:t>
      </w:r>
      <w:r w:rsidR="009E49C1" w:rsidRPr="003656DA">
        <w:rPr>
          <w:rStyle w:val="fontstyle11"/>
          <w:rFonts w:ascii="Times New Roman" w:hAnsi="Times New Roman"/>
        </w:rPr>
        <w:t xml:space="preserve"> </w:t>
      </w:r>
      <w:r w:rsidR="0071008A">
        <w:rPr>
          <w:rStyle w:val="fontstyle11"/>
          <w:rFonts w:ascii="Times New Roman" w:hAnsi="Times New Roman"/>
        </w:rPr>
        <w:t xml:space="preserve">kan </w:t>
      </w:r>
      <w:r w:rsidR="009E49C1" w:rsidRPr="003656DA">
        <w:rPr>
          <w:rStyle w:val="fontstyle11"/>
          <w:rFonts w:ascii="Times New Roman" w:hAnsi="Times New Roman"/>
        </w:rPr>
        <w:t>dolaşım</w:t>
      </w:r>
      <w:r w:rsidR="0071008A">
        <w:rPr>
          <w:rStyle w:val="fontstyle11"/>
          <w:rFonts w:ascii="Times New Roman" w:hAnsi="Times New Roman"/>
        </w:rPr>
        <w:t>ın</w:t>
      </w:r>
      <w:r w:rsidR="009E49C1" w:rsidRPr="003656DA">
        <w:rPr>
          <w:rStyle w:val="fontstyle11"/>
          <w:rFonts w:ascii="Times New Roman" w:hAnsi="Times New Roman"/>
        </w:rPr>
        <w:t>daki mononükleer</w:t>
      </w:r>
      <w:r w:rsidR="00557076">
        <w:rPr>
          <w:rStyle w:val="fontstyle11"/>
          <w:rFonts w:ascii="Times New Roman" w:hAnsi="Times New Roman"/>
        </w:rPr>
        <w:t xml:space="preserve"> </w:t>
      </w:r>
      <w:r w:rsidR="009E49C1" w:rsidRPr="003656DA">
        <w:rPr>
          <w:rStyle w:val="fontstyle11"/>
          <w:rFonts w:ascii="Times New Roman" w:hAnsi="Times New Roman"/>
        </w:rPr>
        <w:t>fagositler</w:t>
      </w:r>
      <w:r w:rsidR="0071008A">
        <w:rPr>
          <w:rStyle w:val="fontstyle11"/>
          <w:rFonts w:ascii="Times New Roman" w:hAnsi="Times New Roman"/>
        </w:rPr>
        <w:t>den</w:t>
      </w:r>
      <w:r w:rsidR="009E49C1" w:rsidRPr="003656DA">
        <w:rPr>
          <w:rStyle w:val="fontstyle11"/>
          <w:rFonts w:ascii="Times New Roman" w:hAnsi="Times New Roman"/>
        </w:rPr>
        <w:t>, endotel hücreleri</w:t>
      </w:r>
      <w:r w:rsidR="0071008A">
        <w:rPr>
          <w:rStyle w:val="fontstyle11"/>
          <w:rFonts w:ascii="Times New Roman" w:hAnsi="Times New Roman"/>
        </w:rPr>
        <w:t>nden</w:t>
      </w:r>
      <w:r w:rsidR="009E49C1" w:rsidRPr="003656DA">
        <w:rPr>
          <w:rStyle w:val="fontstyle11"/>
          <w:rFonts w:ascii="Times New Roman" w:hAnsi="Times New Roman"/>
        </w:rPr>
        <w:t xml:space="preserve"> ve diğer hücrelerden birçok </w:t>
      </w:r>
      <w:r w:rsidR="0071008A">
        <w:rPr>
          <w:rStyle w:val="fontstyle11"/>
          <w:rFonts w:ascii="Times New Roman" w:hAnsi="Times New Roman"/>
        </w:rPr>
        <w:t>mediyatörün</w:t>
      </w:r>
      <w:r w:rsidR="00557076">
        <w:rPr>
          <w:rStyle w:val="fontstyle11"/>
          <w:rFonts w:ascii="Times New Roman" w:hAnsi="Times New Roman"/>
        </w:rPr>
        <w:t xml:space="preserve"> </w:t>
      </w:r>
      <w:r w:rsidR="009E49C1" w:rsidRPr="003656DA">
        <w:rPr>
          <w:rStyle w:val="fontstyle11"/>
          <w:rFonts w:ascii="Times New Roman" w:hAnsi="Times New Roman"/>
        </w:rPr>
        <w:t xml:space="preserve">salınımını başlatırlar. </w:t>
      </w:r>
      <w:r w:rsidR="000C3554" w:rsidRPr="009E6A9E">
        <w:rPr>
          <w:color w:val="000000" w:themeColor="text1"/>
        </w:rPr>
        <w:t>Sepsisin k</w:t>
      </w:r>
      <w:r w:rsidR="000C3554" w:rsidRPr="00426146">
        <w:t>linik özellikleri</w:t>
      </w:r>
      <w:r w:rsidR="000C3554">
        <w:t>,</w:t>
      </w:r>
      <w:r w:rsidR="000C3554" w:rsidRPr="00426146">
        <w:t xml:space="preserve"> </w:t>
      </w:r>
      <w:r w:rsidR="000C3554">
        <w:t xml:space="preserve">etken </w:t>
      </w:r>
      <w:r w:rsidR="00C56F2F">
        <w:t xml:space="preserve">mikroorganizmanın </w:t>
      </w:r>
      <w:r w:rsidR="00354DA3">
        <w:t>g</w:t>
      </w:r>
      <w:r w:rsidR="00C56F2F" w:rsidRPr="00426146">
        <w:t>ram</w:t>
      </w:r>
      <w:r w:rsidR="000C3554">
        <w:t xml:space="preserve"> </w:t>
      </w:r>
      <w:r w:rsidR="000C3554" w:rsidRPr="00426146">
        <w:t xml:space="preserve">(+) ya da </w:t>
      </w:r>
      <w:r w:rsidR="000C3554">
        <w:t>(</w:t>
      </w:r>
      <w:r w:rsidR="000C3554" w:rsidRPr="00426146">
        <w:t>-)</w:t>
      </w:r>
      <w:r w:rsidR="000C3554">
        <w:t xml:space="preserve"> o</w:t>
      </w:r>
      <w:r w:rsidR="00426146" w:rsidRPr="00426146">
        <w:t>lma</w:t>
      </w:r>
      <w:r w:rsidR="000C3554">
        <w:t xml:space="preserve">sından </w:t>
      </w:r>
      <w:r w:rsidR="00426146" w:rsidRPr="00426146">
        <w:t>bağımsız</w:t>
      </w:r>
      <w:r w:rsidR="000C3554">
        <w:t xml:space="preserve"> olarak</w:t>
      </w:r>
      <w:r w:rsidR="00426146" w:rsidRPr="00426146">
        <w:t xml:space="preserve"> benzer</w:t>
      </w:r>
      <w:r w:rsidR="000C3554">
        <w:t>dir</w:t>
      </w:r>
      <w:r w:rsidR="002D4B87">
        <w:t xml:space="preserve"> </w:t>
      </w:r>
      <w:r w:rsidR="002D4B87">
        <w:fldChar w:fldCharType="begin" w:fldLock="1"/>
      </w:r>
      <w:r w:rsidR="0085653B">
        <w:instrText>ADDIN CSL_CITATION {"citationItems":[{"id":"ITEM-1","itemData":{"DOI":"10.1056/NEJMra021333","ISSN":"00284793","PMID":"12519925","abstract":"Sepsis is the leading cause of death in critically ill patients in the United States. Yet the individual host response to septicemia is variable, depending on the patient's immune response, age, nu...","author":[{"dropping-particle":"","family":"Hotchkiss","given":"Richard S.","non-dropping-particle":"","parse-names":false,"suffix":""},{"dropping-particle":"","family":"Karl","given":"Irene E.","non-dropping-particle":"","parse-names":false,"suffix":""}],"container-title":"New England Journal of Medicine","id":"ITEM-1","issue":"2","issued":{"date-parts":[["2003","1","9"]]},"page":"138-150","publisher":" Massachusetts Medical Society ","title":"The pathophysiology and treatment of sepsis","type":"article","volume":"348"},"uris":["http://www.mendeley.com/documents/?uuid=0072e74d-9c40-35fa-b4dd-a22a30b24fcd"]},{"id":"ITEM-2","itemData":{"id":"ITEM-2","issued":{"date-parts":[["0"]]},"title":"Bone RC, Grodzin CJ, Balk RA. Sepsis: a new hypothesis for pathogenesis of the disease process. Chest. 1997 Jul; 112(1):235-43","type":"article-journal"},"uris":["http://www.mendeley.com/documents/?uuid=dafebeff-27e7-416b-bc3e-7d4139dc4613"]}],"mendeley":{"formattedCitation":"(35,36)","plainTextFormattedCitation":"(35,36)","previouslyFormattedCitation":"(35,36)"},"properties":{"noteIndex":0},"schema":"https://github.com/citation-style-language/schema/raw/master/csl-citation.json"}</w:instrText>
      </w:r>
      <w:r w:rsidR="002D4B87">
        <w:fldChar w:fldCharType="separate"/>
      </w:r>
      <w:r w:rsidR="0085653B" w:rsidRPr="0085653B">
        <w:rPr>
          <w:noProof/>
        </w:rPr>
        <w:t>(35,36)</w:t>
      </w:r>
      <w:r w:rsidR="002D4B87">
        <w:fldChar w:fldCharType="end"/>
      </w:r>
      <w:r w:rsidR="000C3554">
        <w:t>.</w:t>
      </w:r>
      <w:r w:rsidR="00426146" w:rsidRPr="00426146">
        <w:t xml:space="preserve"> </w:t>
      </w:r>
    </w:p>
    <w:p w14:paraId="31CB2531" w14:textId="77777777" w:rsidR="008A36B7" w:rsidRDefault="003E11CA" w:rsidP="009E6A9E">
      <w:r>
        <w:t xml:space="preserve">Enflamasyonu başlatan bakteriyel </w:t>
      </w:r>
      <w:r w:rsidR="008A36B7" w:rsidRPr="0094706F">
        <w:t>bazı antijenik yapıları ve toksinler</w:t>
      </w:r>
      <w:r>
        <w:t xml:space="preserve"> tablo 2.3 te göster</w:t>
      </w:r>
      <w:r w:rsidR="008A36B7" w:rsidRPr="0094706F">
        <w:t>i</w:t>
      </w:r>
      <w:r>
        <w:t>lmiştir.</w:t>
      </w:r>
      <w:r w:rsidR="00557076">
        <w:t xml:space="preserve"> </w:t>
      </w:r>
      <w:r w:rsidR="00426146" w:rsidRPr="00426146">
        <w:t>Gram (+)'lere bağlı sepsisi</w:t>
      </w:r>
      <w:r w:rsidR="0045549B">
        <w:t xml:space="preserve"> </w:t>
      </w:r>
      <w:r w:rsidR="00426146" w:rsidRPr="00426146">
        <w:t>bakteri yüzeyindeki peptidoglikan ve teikoik asit ile kompleman aktivasyonu yaparak</w:t>
      </w:r>
      <w:r w:rsidR="0045549B">
        <w:t xml:space="preserve"> </w:t>
      </w:r>
      <w:r w:rsidR="00426146" w:rsidRPr="00426146">
        <w:t>ba</w:t>
      </w:r>
      <w:r w:rsidR="000C3554">
        <w:t>ş</w:t>
      </w:r>
      <w:r w:rsidR="00426146" w:rsidRPr="00426146">
        <w:t>latır, monositlerden IL-1 salınımı gerçekle</w:t>
      </w:r>
      <w:r w:rsidR="000C3554">
        <w:t>ş</w:t>
      </w:r>
      <w:r w:rsidR="00426146" w:rsidRPr="00426146">
        <w:t xml:space="preserve">ir. </w:t>
      </w:r>
    </w:p>
    <w:p w14:paraId="31CB2532" w14:textId="5EED6F2D" w:rsidR="008A36B7" w:rsidRDefault="008A36B7" w:rsidP="009E6A9E">
      <w:r w:rsidRPr="0094706F">
        <w:t>Mikrobiyal patojenler içinde gram (-) hücre duvarı komponentleri (endotoksinler),</w:t>
      </w:r>
      <w:r>
        <w:t xml:space="preserve"> </w:t>
      </w:r>
      <w:r w:rsidRPr="0094706F">
        <w:t xml:space="preserve">sepsisi tetikleyen moleküllerin başında gelmektedir. </w:t>
      </w:r>
      <w:r w:rsidR="002D4B87">
        <w:t>Sepsise sebep olan bakteriyel yapılar aşağıdaki tabloda özetlenmiştir.</w:t>
      </w:r>
    </w:p>
    <w:p w14:paraId="31CB2533" w14:textId="77777777" w:rsidR="003E11CA" w:rsidRDefault="003E11CA" w:rsidP="009E6A9E"/>
    <w:p w14:paraId="31CB2534" w14:textId="3E106AAC" w:rsidR="003E11CA" w:rsidRPr="00B1750E" w:rsidRDefault="003E11CA" w:rsidP="003E11CA">
      <w:pPr>
        <w:pStyle w:val="ResimYazs"/>
        <w:rPr>
          <w:i w:val="0"/>
          <w:color w:val="auto"/>
          <w:sz w:val="24"/>
          <w:szCs w:val="24"/>
        </w:rPr>
      </w:pPr>
      <w:bookmarkStart w:id="42" w:name="_Toc45383387"/>
      <w:bookmarkStart w:id="43" w:name="_Toc49818008"/>
      <w:r w:rsidRPr="00E7732D">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2</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2</w:t>
      </w:r>
      <w:r w:rsidR="002B4CBE">
        <w:rPr>
          <w:i w:val="0"/>
          <w:color w:val="auto"/>
          <w:sz w:val="24"/>
          <w:szCs w:val="24"/>
        </w:rPr>
        <w:fldChar w:fldCharType="end"/>
      </w:r>
      <w:r w:rsidRPr="00E7732D">
        <w:rPr>
          <w:i w:val="0"/>
          <w:color w:val="auto"/>
          <w:sz w:val="24"/>
          <w:szCs w:val="24"/>
        </w:rPr>
        <w:t xml:space="preserve"> Septik </w:t>
      </w:r>
      <w:r w:rsidR="0048467D" w:rsidRPr="00E7732D">
        <w:rPr>
          <w:i w:val="0"/>
          <w:color w:val="auto"/>
          <w:sz w:val="24"/>
          <w:szCs w:val="24"/>
        </w:rPr>
        <w:t>Şok</w:t>
      </w:r>
      <w:r w:rsidR="0048467D">
        <w:rPr>
          <w:i w:val="0"/>
          <w:color w:val="auto"/>
          <w:sz w:val="24"/>
          <w:szCs w:val="24"/>
        </w:rPr>
        <w:t>ta</w:t>
      </w:r>
      <w:r w:rsidR="0048467D" w:rsidRPr="00E7732D">
        <w:rPr>
          <w:i w:val="0"/>
          <w:color w:val="auto"/>
          <w:sz w:val="24"/>
          <w:szCs w:val="24"/>
        </w:rPr>
        <w:t xml:space="preserve"> Rol </w:t>
      </w:r>
      <w:r w:rsidR="0048467D">
        <w:rPr>
          <w:i w:val="0"/>
          <w:color w:val="auto"/>
          <w:sz w:val="24"/>
          <w:szCs w:val="24"/>
        </w:rPr>
        <w:t>Alan</w:t>
      </w:r>
      <w:r w:rsidR="0048467D" w:rsidRPr="00E7732D">
        <w:rPr>
          <w:i w:val="0"/>
          <w:color w:val="auto"/>
          <w:sz w:val="24"/>
          <w:szCs w:val="24"/>
        </w:rPr>
        <w:t xml:space="preserve"> </w:t>
      </w:r>
      <w:r w:rsidR="0048467D">
        <w:rPr>
          <w:i w:val="0"/>
          <w:color w:val="auto"/>
          <w:sz w:val="24"/>
          <w:szCs w:val="24"/>
        </w:rPr>
        <w:t>Antijenik</w:t>
      </w:r>
      <w:r w:rsidR="0048467D" w:rsidRPr="00E7732D">
        <w:rPr>
          <w:i w:val="0"/>
          <w:color w:val="auto"/>
          <w:sz w:val="24"/>
          <w:szCs w:val="24"/>
        </w:rPr>
        <w:t xml:space="preserve"> Yapılar</w:t>
      </w:r>
      <w:bookmarkEnd w:id="42"/>
      <w:bookmarkEnd w:id="43"/>
    </w:p>
    <w:tbl>
      <w:tblPr>
        <w:tblStyle w:val="TabloKlavuzuAk"/>
        <w:tblW w:w="0" w:type="auto"/>
        <w:tblLayout w:type="fixed"/>
        <w:tblLook w:val="04A0" w:firstRow="1" w:lastRow="0" w:firstColumn="1" w:lastColumn="0" w:noHBand="0" w:noVBand="1"/>
      </w:tblPr>
      <w:tblGrid>
        <w:gridCol w:w="2603"/>
        <w:gridCol w:w="3504"/>
      </w:tblGrid>
      <w:tr w:rsidR="003E11CA" w:rsidRPr="006718D0" w14:paraId="31CB2537" w14:textId="77777777" w:rsidTr="00FA28BF">
        <w:trPr>
          <w:trHeight w:val="278"/>
        </w:trPr>
        <w:tc>
          <w:tcPr>
            <w:tcW w:w="2603" w:type="dxa"/>
            <w:hideMark/>
          </w:tcPr>
          <w:p w14:paraId="31CB2535" w14:textId="77777777" w:rsidR="003E11CA" w:rsidRPr="00FA28BF" w:rsidRDefault="003E11CA" w:rsidP="003E11CA">
            <w:pPr>
              <w:rPr>
                <w:rFonts w:eastAsia="Times New Roman"/>
                <w:b/>
                <w:szCs w:val="24"/>
                <w:lang w:eastAsia="tr-TR"/>
              </w:rPr>
            </w:pPr>
            <w:r w:rsidRPr="00FA28BF">
              <w:rPr>
                <w:rFonts w:eastAsia="Times New Roman"/>
                <w:b/>
                <w:color w:val="000000"/>
                <w:szCs w:val="24"/>
                <w:lang w:eastAsia="tr-TR"/>
              </w:rPr>
              <w:t xml:space="preserve">Bakteriyel yapı </w:t>
            </w:r>
          </w:p>
        </w:tc>
        <w:tc>
          <w:tcPr>
            <w:tcW w:w="3504" w:type="dxa"/>
            <w:hideMark/>
          </w:tcPr>
          <w:p w14:paraId="31CB2536" w14:textId="77777777" w:rsidR="003E11CA" w:rsidRPr="00FA28BF" w:rsidRDefault="003E11CA" w:rsidP="003E11CA">
            <w:pPr>
              <w:rPr>
                <w:rFonts w:eastAsia="Times New Roman"/>
                <w:b/>
                <w:szCs w:val="24"/>
                <w:lang w:eastAsia="tr-TR"/>
              </w:rPr>
            </w:pPr>
            <w:r w:rsidRPr="00FA28BF">
              <w:rPr>
                <w:rFonts w:eastAsia="Times New Roman"/>
                <w:b/>
                <w:color w:val="000000"/>
                <w:szCs w:val="24"/>
                <w:lang w:eastAsia="tr-TR"/>
              </w:rPr>
              <w:t xml:space="preserve">Kaynak </w:t>
            </w:r>
          </w:p>
        </w:tc>
      </w:tr>
      <w:tr w:rsidR="003E11CA" w:rsidRPr="006718D0" w14:paraId="31CB253C" w14:textId="77777777" w:rsidTr="00FA28BF">
        <w:trPr>
          <w:trHeight w:val="278"/>
        </w:trPr>
        <w:tc>
          <w:tcPr>
            <w:tcW w:w="2603" w:type="dxa"/>
          </w:tcPr>
          <w:p w14:paraId="31CB2538" w14:textId="77777777" w:rsidR="003E11CA" w:rsidRDefault="003E11CA" w:rsidP="003E11CA">
            <w:pPr>
              <w:rPr>
                <w:rFonts w:eastAsia="Times New Roman"/>
                <w:b/>
                <w:color w:val="000000"/>
                <w:szCs w:val="24"/>
                <w:lang w:eastAsia="tr-TR"/>
              </w:rPr>
            </w:pPr>
            <w:r w:rsidRPr="00E726DA">
              <w:rPr>
                <w:rFonts w:eastAsia="Times New Roman"/>
                <w:color w:val="000000"/>
                <w:szCs w:val="24"/>
                <w:lang w:eastAsia="tr-TR"/>
              </w:rPr>
              <w:t xml:space="preserve">Endotoksin </w:t>
            </w:r>
          </w:p>
          <w:p w14:paraId="31CB2539" w14:textId="77777777" w:rsidR="003E11CA" w:rsidRPr="0071008A" w:rsidRDefault="003E11CA" w:rsidP="003E11CA">
            <w:pPr>
              <w:rPr>
                <w:rFonts w:eastAsia="Times New Roman"/>
                <w:b/>
                <w:color w:val="000000"/>
                <w:sz w:val="22"/>
                <w:lang w:eastAsia="tr-TR"/>
              </w:rPr>
            </w:pPr>
            <w:r w:rsidRPr="0071008A">
              <w:rPr>
                <w:rFonts w:eastAsia="Times New Roman"/>
                <w:color w:val="000000"/>
                <w:sz w:val="22"/>
                <w:lang w:eastAsia="tr-TR"/>
              </w:rPr>
              <w:t xml:space="preserve">(LPS, lipid A) </w:t>
            </w:r>
          </w:p>
          <w:p w14:paraId="31CB253A" w14:textId="77777777" w:rsidR="003E11CA" w:rsidRPr="00E726DA" w:rsidRDefault="003E11CA" w:rsidP="0071008A">
            <w:pPr>
              <w:ind w:firstLine="0"/>
              <w:rPr>
                <w:rFonts w:eastAsia="Times New Roman"/>
                <w:b/>
                <w:szCs w:val="24"/>
                <w:lang w:eastAsia="tr-TR"/>
              </w:rPr>
            </w:pPr>
          </w:p>
        </w:tc>
        <w:tc>
          <w:tcPr>
            <w:tcW w:w="3504" w:type="dxa"/>
          </w:tcPr>
          <w:p w14:paraId="31CB253B" w14:textId="77777777" w:rsidR="003E11CA" w:rsidRPr="006718D0" w:rsidRDefault="003E11CA" w:rsidP="003E11CA">
            <w:pPr>
              <w:rPr>
                <w:rFonts w:eastAsia="Times New Roman"/>
                <w:szCs w:val="24"/>
                <w:lang w:eastAsia="tr-TR"/>
              </w:rPr>
            </w:pPr>
            <w:r w:rsidRPr="006718D0">
              <w:rPr>
                <w:rFonts w:eastAsia="Times New Roman"/>
                <w:color w:val="000000"/>
                <w:szCs w:val="24"/>
                <w:lang w:eastAsia="tr-TR"/>
              </w:rPr>
              <w:t xml:space="preserve">Gram (-) bakteri </w:t>
            </w:r>
          </w:p>
        </w:tc>
      </w:tr>
      <w:tr w:rsidR="003E11CA" w:rsidRPr="006718D0" w14:paraId="31CB2540" w14:textId="77777777" w:rsidTr="00FA28BF">
        <w:trPr>
          <w:trHeight w:val="278"/>
        </w:trPr>
        <w:tc>
          <w:tcPr>
            <w:tcW w:w="2603" w:type="dxa"/>
          </w:tcPr>
          <w:p w14:paraId="31CB253D" w14:textId="77777777" w:rsidR="003E11CA" w:rsidRPr="006718D0" w:rsidRDefault="003E11CA" w:rsidP="003E11CA">
            <w:pPr>
              <w:rPr>
                <w:rFonts w:eastAsia="Times New Roman"/>
                <w:b/>
                <w:bCs/>
                <w:color w:val="000000"/>
                <w:szCs w:val="24"/>
                <w:lang w:eastAsia="tr-TR"/>
              </w:rPr>
            </w:pPr>
            <w:r>
              <w:rPr>
                <w:rFonts w:eastAsia="Times New Roman"/>
                <w:color w:val="000000"/>
                <w:szCs w:val="24"/>
                <w:lang w:eastAsia="tr-TR"/>
              </w:rPr>
              <w:t>Peptidoglikan</w:t>
            </w:r>
          </w:p>
        </w:tc>
        <w:tc>
          <w:tcPr>
            <w:tcW w:w="3504" w:type="dxa"/>
          </w:tcPr>
          <w:p w14:paraId="31CB253E" w14:textId="77777777" w:rsidR="003E11CA" w:rsidRDefault="003E11CA" w:rsidP="0071008A">
            <w:pPr>
              <w:rPr>
                <w:rFonts w:eastAsia="Times New Roman"/>
                <w:color w:val="000000"/>
                <w:szCs w:val="24"/>
                <w:lang w:eastAsia="tr-TR"/>
              </w:rPr>
            </w:pPr>
            <w:r w:rsidRPr="006718D0">
              <w:rPr>
                <w:rFonts w:eastAsia="Times New Roman"/>
                <w:color w:val="000000"/>
                <w:szCs w:val="24"/>
                <w:lang w:eastAsia="tr-TR"/>
              </w:rPr>
              <w:t xml:space="preserve">Gram (+) ve (-) </w:t>
            </w:r>
            <w:r w:rsidR="0071008A" w:rsidRPr="006718D0">
              <w:rPr>
                <w:rFonts w:eastAsia="Times New Roman"/>
                <w:color w:val="000000"/>
                <w:szCs w:val="24"/>
                <w:lang w:eastAsia="tr-TR"/>
              </w:rPr>
              <w:t>B</w:t>
            </w:r>
            <w:r w:rsidRPr="006718D0">
              <w:rPr>
                <w:rFonts w:eastAsia="Times New Roman"/>
                <w:color w:val="000000"/>
                <w:szCs w:val="24"/>
                <w:lang w:eastAsia="tr-TR"/>
              </w:rPr>
              <w:t>akteriler</w:t>
            </w:r>
          </w:p>
          <w:p w14:paraId="31CB253F" w14:textId="77777777" w:rsidR="0071008A" w:rsidRPr="006718D0" w:rsidRDefault="0071008A" w:rsidP="0071008A">
            <w:pPr>
              <w:rPr>
                <w:rFonts w:eastAsia="Times New Roman"/>
                <w:b/>
                <w:bCs/>
                <w:color w:val="000000"/>
                <w:szCs w:val="24"/>
                <w:lang w:eastAsia="tr-TR"/>
              </w:rPr>
            </w:pPr>
          </w:p>
        </w:tc>
      </w:tr>
      <w:tr w:rsidR="0071008A" w:rsidRPr="006718D0" w14:paraId="31CB2544" w14:textId="77777777" w:rsidTr="00FA28BF">
        <w:trPr>
          <w:trHeight w:val="278"/>
        </w:trPr>
        <w:tc>
          <w:tcPr>
            <w:tcW w:w="2603" w:type="dxa"/>
          </w:tcPr>
          <w:p w14:paraId="31CB2541" w14:textId="77777777" w:rsidR="0071008A" w:rsidRPr="00E726DA" w:rsidRDefault="0071008A" w:rsidP="0071008A">
            <w:pPr>
              <w:rPr>
                <w:rFonts w:eastAsia="Times New Roman"/>
                <w:b/>
                <w:szCs w:val="24"/>
                <w:lang w:eastAsia="tr-TR"/>
              </w:rPr>
            </w:pPr>
            <w:r w:rsidRPr="00E726DA">
              <w:rPr>
                <w:rFonts w:eastAsia="Times New Roman"/>
                <w:color w:val="000000"/>
                <w:szCs w:val="24"/>
                <w:lang w:eastAsia="tr-TR"/>
              </w:rPr>
              <w:t>Lipoteikoikasit</w:t>
            </w:r>
          </w:p>
        </w:tc>
        <w:tc>
          <w:tcPr>
            <w:tcW w:w="3504" w:type="dxa"/>
          </w:tcPr>
          <w:p w14:paraId="31CB2542" w14:textId="77777777" w:rsidR="0071008A" w:rsidRDefault="0071008A" w:rsidP="0071008A">
            <w:pPr>
              <w:rPr>
                <w:rFonts w:eastAsia="Times New Roman"/>
                <w:color w:val="000000"/>
                <w:szCs w:val="24"/>
                <w:lang w:eastAsia="tr-TR"/>
              </w:rPr>
            </w:pPr>
            <w:r w:rsidRPr="006718D0">
              <w:rPr>
                <w:rFonts w:eastAsia="Times New Roman"/>
                <w:color w:val="000000"/>
                <w:szCs w:val="24"/>
                <w:lang w:eastAsia="tr-TR"/>
              </w:rPr>
              <w:t>Gram(+) bakteri</w:t>
            </w:r>
          </w:p>
          <w:p w14:paraId="31CB2543" w14:textId="77777777" w:rsidR="0071008A" w:rsidRPr="006718D0" w:rsidRDefault="0071008A" w:rsidP="0071008A">
            <w:pPr>
              <w:rPr>
                <w:rFonts w:eastAsia="Times New Roman"/>
                <w:szCs w:val="24"/>
                <w:lang w:eastAsia="tr-TR"/>
              </w:rPr>
            </w:pPr>
          </w:p>
        </w:tc>
      </w:tr>
    </w:tbl>
    <w:p w14:paraId="31CB2545" w14:textId="77777777" w:rsidR="003E11CA" w:rsidRPr="003C761B" w:rsidRDefault="003E11CA" w:rsidP="003E11CA">
      <w:pPr>
        <w:rPr>
          <w:sz w:val="20"/>
          <w:szCs w:val="20"/>
        </w:rPr>
      </w:pPr>
      <w:r>
        <w:rPr>
          <w:rFonts w:eastAsia="Times New Roman"/>
          <w:color w:val="000000"/>
          <w:sz w:val="20"/>
          <w:szCs w:val="20"/>
          <w:lang w:eastAsia="tr-TR"/>
        </w:rPr>
        <w:t>LPS: Lipopolisakkarid</w:t>
      </w:r>
    </w:p>
    <w:p w14:paraId="31CB2546" w14:textId="77777777" w:rsidR="003E11CA" w:rsidRDefault="003E11CA" w:rsidP="009E6A9E"/>
    <w:p w14:paraId="5CDD039A" w14:textId="77777777" w:rsidR="00A81EDF" w:rsidRDefault="00A81EDF" w:rsidP="009E6A9E"/>
    <w:p w14:paraId="31CB2548" w14:textId="77777777" w:rsidR="009E49C1" w:rsidRDefault="00426146" w:rsidP="00C547F4">
      <w:r w:rsidRPr="00426146">
        <w:t>Gr</w:t>
      </w:r>
      <w:r w:rsidR="003E11CA">
        <w:t>am</w:t>
      </w:r>
      <w:r w:rsidRPr="00426146">
        <w:t xml:space="preserve"> (-)</w:t>
      </w:r>
      <w:r w:rsidR="009E49C1">
        <w:t xml:space="preserve"> </w:t>
      </w:r>
      <w:r w:rsidR="009E49C1" w:rsidRPr="003656DA">
        <w:rPr>
          <w:rStyle w:val="fontstyle11"/>
          <w:rFonts w:ascii="Times New Roman" w:hAnsi="Times New Roman"/>
        </w:rPr>
        <w:t xml:space="preserve">mikroorganizmaların dış membranındaki </w:t>
      </w:r>
      <w:r w:rsidRPr="00426146">
        <w:t>lipopolisakkari</w:t>
      </w:r>
      <w:r w:rsidR="008A36B7">
        <w:t>d</w:t>
      </w:r>
      <w:r w:rsidRPr="00426146">
        <w:t xml:space="preserve"> (LPS) yapılı </w:t>
      </w:r>
      <w:r w:rsidR="008A36B7" w:rsidRPr="0094706F">
        <w:t>endotoksinin lipid A bölümü, toksisiteden</w:t>
      </w:r>
      <w:r w:rsidR="008A36B7">
        <w:t xml:space="preserve"> </w:t>
      </w:r>
      <w:r w:rsidR="008A36B7" w:rsidRPr="0094706F">
        <w:t>sorumludur.</w:t>
      </w:r>
      <w:r w:rsidR="008A36B7">
        <w:t xml:space="preserve"> </w:t>
      </w:r>
      <w:r w:rsidR="008E5BF7" w:rsidRPr="0045549B">
        <w:t>Endotoksin</w:t>
      </w:r>
      <w:r w:rsidR="0071008A">
        <w:t>ler</w:t>
      </w:r>
      <w:r w:rsidR="008E5BF7">
        <w:t>,</w:t>
      </w:r>
      <w:r w:rsidR="008E5BF7" w:rsidRPr="0045549B">
        <w:t xml:space="preserve"> mononükleer </w:t>
      </w:r>
      <w:r w:rsidR="0071008A">
        <w:t>hücreler</w:t>
      </w:r>
      <w:r w:rsidR="008E5BF7" w:rsidRPr="0045549B">
        <w:t xml:space="preserve"> (monosit ve makrofajlar) üzerinde</w:t>
      </w:r>
      <w:r w:rsidR="0071008A">
        <w:t>ki</w:t>
      </w:r>
      <w:r w:rsidR="008E5BF7" w:rsidRPr="0045549B">
        <w:t xml:space="preserve"> </w:t>
      </w:r>
      <w:r w:rsidR="008E5BF7" w:rsidRPr="00426146">
        <w:t>CD14</w:t>
      </w:r>
      <w:r w:rsidR="008E5BF7">
        <w:t xml:space="preserve"> </w:t>
      </w:r>
      <w:r w:rsidR="008E5BF7" w:rsidRPr="0045549B">
        <w:t>reseptörler</w:t>
      </w:r>
      <w:r w:rsidR="008E5BF7">
        <w:t>in</w:t>
      </w:r>
      <w:r w:rsidR="008E5BF7" w:rsidRPr="0045549B">
        <w:t xml:space="preserve">e bağlanır. Bu </w:t>
      </w:r>
      <w:r w:rsidR="0071008A">
        <w:t>etkileşim</w:t>
      </w:r>
      <w:r w:rsidR="008E5BF7" w:rsidRPr="0045549B">
        <w:t xml:space="preserve"> </w:t>
      </w:r>
      <w:r w:rsidR="008E5BF7" w:rsidRPr="0045549B">
        <w:lastRenderedPageBreak/>
        <w:t>sonucunda, çeşitli</w:t>
      </w:r>
      <w:r w:rsidR="0071008A">
        <w:t xml:space="preserve"> sitokinler salınır</w:t>
      </w:r>
      <w:r w:rsidR="008E5BF7" w:rsidRPr="0045549B">
        <w:t xml:space="preserve">. </w:t>
      </w:r>
      <w:r w:rsidR="00275AF1" w:rsidRPr="00275AF1">
        <w:t>Sepsis sırasında bakteriyel LPS, sitokin üretimini indükleyen ana moleküldür.</w:t>
      </w:r>
      <w:r w:rsidR="00275AF1">
        <w:rPr>
          <w:rFonts w:ascii="Tahoma" w:hAnsi="Tahoma" w:cs="Tahoma"/>
          <w:color w:val="333333"/>
          <w:sz w:val="21"/>
          <w:szCs w:val="21"/>
          <w:shd w:val="clear" w:color="auto" w:fill="FFFFFF"/>
        </w:rPr>
        <w:t> </w:t>
      </w:r>
    </w:p>
    <w:p w14:paraId="31CB2549" w14:textId="7AD5D90D" w:rsidR="009E49C1" w:rsidRDefault="009E49C1" w:rsidP="00C547F4">
      <w:pPr>
        <w:rPr>
          <w:color w:val="FF0000"/>
        </w:rPr>
      </w:pPr>
      <w:r w:rsidRPr="0094706F">
        <w:t>Monositlerden IL-1, IL-6,</w:t>
      </w:r>
      <w:r>
        <w:t xml:space="preserve"> </w:t>
      </w:r>
      <w:r w:rsidRPr="0094706F">
        <w:t>IL-8</w:t>
      </w:r>
      <w:r w:rsidR="0071008A">
        <w:t xml:space="preserve">, </w:t>
      </w:r>
      <w:r w:rsidR="0071008A" w:rsidRPr="0094706F">
        <w:t>TNF</w:t>
      </w:r>
      <w:r w:rsidR="005579CD">
        <w:t>-α</w:t>
      </w:r>
      <w:r w:rsidR="0071008A" w:rsidRPr="0094706F">
        <w:t>,</w:t>
      </w:r>
      <w:r w:rsidRPr="0094706F">
        <w:t xml:space="preserve"> ve </w:t>
      </w:r>
      <w:r w:rsidR="003E11CA" w:rsidRPr="0094706F">
        <w:t xml:space="preserve">PAF </w:t>
      </w:r>
      <w:r w:rsidRPr="0094706F">
        <w:t>(</w:t>
      </w:r>
      <w:r w:rsidR="003E11CA" w:rsidRPr="0094706F">
        <w:t>trombosit aktive ed</w:t>
      </w:r>
      <w:r w:rsidR="0071008A">
        <w:t>ici</w:t>
      </w:r>
      <w:r w:rsidR="003E11CA" w:rsidRPr="0094706F">
        <w:t xml:space="preserve"> faktör</w:t>
      </w:r>
      <w:r w:rsidRPr="0094706F">
        <w:t xml:space="preserve">) salınır. </w:t>
      </w:r>
      <w:r w:rsidR="0071008A">
        <w:t xml:space="preserve">Salınan </w:t>
      </w:r>
      <w:r w:rsidRPr="0094706F">
        <w:t>IL-1 ve IL-6</w:t>
      </w:r>
      <w:r w:rsidR="00C3504D">
        <w:t>;</w:t>
      </w:r>
      <w:r w:rsidRPr="0094706F">
        <w:t xml:space="preserve"> T hücrelerini aktive</w:t>
      </w:r>
      <w:r>
        <w:t xml:space="preserve"> </w:t>
      </w:r>
      <w:r w:rsidRPr="0094706F">
        <w:t>ederek, interferon</w:t>
      </w:r>
      <w:r w:rsidR="008E5BF7">
        <w:t>-</w:t>
      </w:r>
      <w:r w:rsidR="008E5BF7" w:rsidRPr="0094706F">
        <w:t>γ</w:t>
      </w:r>
      <w:r w:rsidRPr="0094706F">
        <w:t xml:space="preserve">, IL-2, IL-4, </w:t>
      </w:r>
      <w:r w:rsidR="003E11CA" w:rsidRPr="0094706F">
        <w:t xml:space="preserve">GM-CSF </w:t>
      </w:r>
      <w:r w:rsidRPr="0094706F">
        <w:t>(</w:t>
      </w:r>
      <w:r w:rsidR="003E11CA" w:rsidRPr="0094706F">
        <w:t>granulosit-monosit-koloni</w:t>
      </w:r>
      <w:r w:rsidR="0071008A">
        <w:t xml:space="preserve"> </w:t>
      </w:r>
      <w:r w:rsidR="0031392F">
        <w:t>stimu</w:t>
      </w:r>
      <w:r w:rsidR="0031392F" w:rsidRPr="0094706F">
        <w:t>l</w:t>
      </w:r>
      <w:r w:rsidR="0031392F">
        <w:t>e</w:t>
      </w:r>
      <w:r w:rsidR="0071008A">
        <w:t xml:space="preserve"> edici faktör</w:t>
      </w:r>
      <w:r w:rsidRPr="0094706F">
        <w:t>)</w:t>
      </w:r>
      <w:r>
        <w:t xml:space="preserve"> </w:t>
      </w:r>
      <w:r w:rsidRPr="0094706F">
        <w:t>sal</w:t>
      </w:r>
      <w:r w:rsidR="0071008A">
        <w:t>ınmasını</w:t>
      </w:r>
      <w:r w:rsidRPr="0094706F">
        <w:t xml:space="preserve"> sağlarlar </w:t>
      </w:r>
      <w:r w:rsidR="009E6A9E">
        <w:fldChar w:fldCharType="begin" w:fldLock="1"/>
      </w:r>
      <w:r w:rsidR="0085653B">
        <w:instrText>ADDIN CSL_CITATION {"citationItems":[{"id":"ITEM-1","itemData":{"DOI":"10.1038/nature01326","ISSN":"00280836","PMID":"12490963","abstract":"Sepsis is a condition that results from a harmful or damaging host response to infection. Many of the components of the innate immune response that the normally concerned with host defences against infection can, under some circumstances, cause cell and tissue damage and hence multiple organ failure, the clinical hallmark of sepsis. Because of high mortality of sepsis in the face of standard treatment, many efforts have been made to improve understanding of the dysregulation of the host response in sepsis. As a result much has been learnt of the basic principles governing bacterial-host infections, and new opportunities for therapeutic intervention have been revealed.","author":[{"dropping-particle":"","family":"Cohen","given":"Jonathan","non-dropping-particle":"","parse-names":false,"suffix":""}],"container-title":"Nature","id":"ITEM-1","issue":"6917","issued":{"date-parts":[["2002","12","26"]]},"page":"885-891","publisher":"Nature Publishing Group","title":"The immunopathogenesis of sepsis","type":"article","volume":"420"},"uris":["http://www.mendeley.com/documents/?uuid=86f5d885-bd1c-3530-b9bc-e7d884a9750e"]}],"mendeley":{"formattedCitation":"(37)","plainTextFormattedCitation":"(37)","previouslyFormattedCitation":"(37)"},"properties":{"noteIndex":0},"schema":"https://github.com/citation-style-language/schema/raw/master/csl-citation.json"}</w:instrText>
      </w:r>
      <w:r w:rsidR="009E6A9E">
        <w:fldChar w:fldCharType="separate"/>
      </w:r>
      <w:r w:rsidR="0085653B" w:rsidRPr="0085653B">
        <w:rPr>
          <w:noProof/>
        </w:rPr>
        <w:t>(37)</w:t>
      </w:r>
      <w:r w:rsidR="009E6A9E">
        <w:fldChar w:fldCharType="end"/>
      </w:r>
      <w:r w:rsidRPr="0094706F">
        <w:t xml:space="preserve">. </w:t>
      </w:r>
      <w:r>
        <w:rPr>
          <w:color w:val="FF0000"/>
        </w:rPr>
        <w:t xml:space="preserve"> </w:t>
      </w:r>
    </w:p>
    <w:p w14:paraId="31CB254A" w14:textId="17089847" w:rsidR="00E7732D" w:rsidRDefault="008E5BF7" w:rsidP="00C547F4">
      <w:r w:rsidRPr="0045549B">
        <w:t xml:space="preserve">Bu patofizyolojik olaylar, </w:t>
      </w:r>
      <w:r w:rsidR="00C3504D">
        <w:t>Gr (+) şokta da gelişebilir. S</w:t>
      </w:r>
      <w:r w:rsidRPr="0045549B">
        <w:t>epsis sırasında gelişen ola</w:t>
      </w:r>
      <w:r w:rsidR="00C3504D">
        <w:t>ylardan, tek başına endotoksin</w:t>
      </w:r>
      <w:r w:rsidRPr="0045549B">
        <w:t xml:space="preserve"> değil, esas olarak sitokinlerin</w:t>
      </w:r>
      <w:r w:rsidR="00C3504D">
        <w:t xml:space="preserve"> kendisi de</w:t>
      </w:r>
      <w:r w:rsidRPr="0045549B">
        <w:t xml:space="preserve"> mediyatör olarak sorumlu</w:t>
      </w:r>
      <w:r w:rsidR="00C3504D">
        <w:t>dur</w:t>
      </w:r>
      <w:r w:rsidR="00123A98">
        <w:t xml:space="preserve"> </w:t>
      </w:r>
      <w:r w:rsidR="00123A98">
        <w:fldChar w:fldCharType="begin" w:fldLock="1"/>
      </w:r>
      <w:r w:rsidR="0085653B">
        <w:instrText>ADDIN CSL_CITATION {"citationItems":[{"id":"ITEM-1","itemData":{"DOI":"10.1038/nature01326","ISSN":"00280836","PMID":"12490963","abstract":"Sepsis is a condition that results from a harmful or damaging host response to infection. Many of the components of the innate immune response that the normally concerned with host defences against infection can, under some circumstances, cause cell and tissue damage and hence multiple organ failure, the clinical hallmark of sepsis. Because of high mortality of sepsis in the face of standard treatment, many efforts have been made to improve understanding of the dysregulation of the host response in sepsis. As a result much has been learnt of the basic principles governing bacterial-host infections, and new opportunities for therapeutic intervention have been revealed.","author":[{"dropping-particle":"","family":"Cohen","given":"Jonathan","non-dropping-particle":"","parse-names":false,"suffix":""}],"container-title":"Nature","id":"ITEM-1","issue":"6917","issued":{"date-parts":[["2002","12","26"]]},"page":"885-891","publisher":"Nature Publishing Group","title":"The immunopathogenesis of sepsis","type":"article","volume":"420"},"uris":["http://www.mendeley.com/documents/?uuid=86f5d885-bd1c-3530-b9bc-e7d884a9750e"]}],"mendeley":{"formattedCitation":"(37)","plainTextFormattedCitation":"(37)","previouslyFormattedCitation":"(37)"},"properties":{"noteIndex":0},"schema":"https://github.com/citation-style-language/schema/raw/master/csl-citation.json"}</w:instrText>
      </w:r>
      <w:r w:rsidR="00123A98">
        <w:fldChar w:fldCharType="separate"/>
      </w:r>
      <w:r w:rsidR="0085653B" w:rsidRPr="0085653B">
        <w:rPr>
          <w:noProof/>
        </w:rPr>
        <w:t>(37)</w:t>
      </w:r>
      <w:r w:rsidR="00123A98">
        <w:fldChar w:fldCharType="end"/>
      </w:r>
      <w:r w:rsidR="00C3504D">
        <w:t>.</w:t>
      </w:r>
    </w:p>
    <w:p w14:paraId="31CB254B" w14:textId="6A6C8DF0" w:rsidR="00C547F4" w:rsidRDefault="009E49C1" w:rsidP="00C547F4">
      <w:r w:rsidRPr="003656DA">
        <w:rPr>
          <w:rStyle w:val="fontstyle11"/>
          <w:rFonts w:ascii="Times New Roman" w:hAnsi="Times New Roman"/>
        </w:rPr>
        <w:t>Sepsis patofizyolojisi</w:t>
      </w:r>
      <w:r w:rsidR="00E7732D">
        <w:rPr>
          <w:rStyle w:val="fontstyle11"/>
          <w:rFonts w:ascii="Times New Roman" w:hAnsi="Times New Roman"/>
        </w:rPr>
        <w:t xml:space="preserve"> esasında</w:t>
      </w:r>
      <w:r>
        <w:rPr>
          <w:rStyle w:val="fontstyle11"/>
          <w:rFonts w:ascii="Times New Roman" w:hAnsi="Times New Roman"/>
        </w:rPr>
        <w:t xml:space="preserve"> </w:t>
      </w:r>
      <w:r w:rsidR="00CE4583">
        <w:rPr>
          <w:rStyle w:val="fontstyle11"/>
          <w:rFonts w:ascii="Times New Roman" w:hAnsi="Times New Roman"/>
        </w:rPr>
        <w:t>enflamasy</w:t>
      </w:r>
      <w:r w:rsidRPr="003656DA">
        <w:rPr>
          <w:rStyle w:val="fontstyle11"/>
          <w:rFonts w:ascii="Times New Roman" w:hAnsi="Times New Roman"/>
        </w:rPr>
        <w:t>on reaksiyon</w:t>
      </w:r>
      <w:r w:rsidR="00E7732D">
        <w:rPr>
          <w:rStyle w:val="fontstyle11"/>
          <w:rFonts w:ascii="Times New Roman" w:hAnsi="Times New Roman"/>
        </w:rPr>
        <w:t>ları</w:t>
      </w:r>
      <w:r w:rsidRPr="003656DA">
        <w:rPr>
          <w:rStyle w:val="fontstyle11"/>
          <w:rFonts w:ascii="Times New Roman" w:hAnsi="Times New Roman"/>
        </w:rPr>
        <w:t xml:space="preserve"> zinciridir. Bu </w:t>
      </w:r>
      <w:r w:rsidR="00C3504D">
        <w:rPr>
          <w:rStyle w:val="fontstyle11"/>
          <w:rFonts w:ascii="Times New Roman" w:hAnsi="Times New Roman"/>
        </w:rPr>
        <w:t>olaylarda</w:t>
      </w:r>
      <w:r w:rsidRPr="003656DA">
        <w:rPr>
          <w:rStyle w:val="fontstyle11"/>
          <w:rFonts w:ascii="Times New Roman" w:hAnsi="Times New Roman"/>
        </w:rPr>
        <w:t xml:space="preserve"> başlıca rol oynayan mediyatör</w:t>
      </w:r>
      <w:r>
        <w:rPr>
          <w:rStyle w:val="fontstyle11"/>
          <w:rFonts w:ascii="Times New Roman" w:hAnsi="Times New Roman"/>
        </w:rPr>
        <w:t xml:space="preserve"> </w:t>
      </w:r>
      <w:r w:rsidRPr="003656DA">
        <w:rPr>
          <w:rStyle w:val="fontstyle11"/>
          <w:rFonts w:ascii="Times New Roman" w:hAnsi="Times New Roman"/>
        </w:rPr>
        <w:t>Tümör Nekroz</w:t>
      </w:r>
      <w:r w:rsidR="00E7732D">
        <w:rPr>
          <w:rStyle w:val="fontstyle11"/>
          <w:rFonts w:ascii="Times New Roman" w:hAnsi="Times New Roman"/>
        </w:rPr>
        <w:t>is</w:t>
      </w:r>
      <w:r w:rsidRPr="003656DA">
        <w:rPr>
          <w:rStyle w:val="fontstyle11"/>
          <w:rFonts w:ascii="Times New Roman" w:hAnsi="Times New Roman"/>
        </w:rPr>
        <w:t xml:space="preserve"> Faktör</w:t>
      </w:r>
      <w:r w:rsidR="00E7732D">
        <w:rPr>
          <w:rStyle w:val="fontstyle11"/>
          <w:rFonts w:ascii="Times New Roman" w:hAnsi="Times New Roman"/>
        </w:rPr>
        <w:t>-a</w:t>
      </w:r>
      <w:r w:rsidRPr="003656DA">
        <w:rPr>
          <w:rStyle w:val="fontstyle11"/>
          <w:rFonts w:ascii="Times New Roman" w:hAnsi="Times New Roman"/>
        </w:rPr>
        <w:t>lfa (TNF-α)’dır.</w:t>
      </w:r>
      <w:r w:rsidR="008E5BF7" w:rsidRPr="008E5BF7">
        <w:rPr>
          <w:rStyle w:val="fontstyle11"/>
          <w:rFonts w:ascii="Times New Roman" w:hAnsi="Times New Roman"/>
          <w:color w:val="FF0000"/>
        </w:rPr>
        <w:t xml:space="preserve"> </w:t>
      </w:r>
      <w:r w:rsidR="00C3504D">
        <w:rPr>
          <w:rStyle w:val="fontstyle11"/>
          <w:rFonts w:ascii="Times New Roman" w:hAnsi="Times New Roman"/>
        </w:rPr>
        <w:t xml:space="preserve">IL-1 ve </w:t>
      </w:r>
      <w:r w:rsidR="00C547F4" w:rsidRPr="003656DA">
        <w:rPr>
          <w:rStyle w:val="fontstyle11"/>
          <w:rFonts w:ascii="Times New Roman" w:hAnsi="Times New Roman"/>
        </w:rPr>
        <w:t>TNF-α</w:t>
      </w:r>
      <w:r w:rsidR="00C3504D">
        <w:rPr>
          <w:rStyle w:val="fontstyle11"/>
          <w:rFonts w:ascii="Times New Roman" w:hAnsi="Times New Roman"/>
        </w:rPr>
        <w:t>’nı</w:t>
      </w:r>
      <w:r w:rsidR="00C547F4" w:rsidRPr="003656DA">
        <w:rPr>
          <w:rStyle w:val="fontstyle11"/>
          <w:rFonts w:ascii="Times New Roman" w:hAnsi="Times New Roman"/>
        </w:rPr>
        <w:t>n, birçok biyolojik etkileri ortak olup sinerjik etki</w:t>
      </w:r>
      <w:r w:rsidR="00C547F4">
        <w:rPr>
          <w:rStyle w:val="fontstyle11"/>
          <w:rFonts w:ascii="Times New Roman" w:hAnsi="Times New Roman"/>
        </w:rPr>
        <w:t xml:space="preserve"> </w:t>
      </w:r>
      <w:r w:rsidR="00C3504D">
        <w:rPr>
          <w:rStyle w:val="fontstyle11"/>
          <w:rFonts w:ascii="Times New Roman" w:hAnsi="Times New Roman"/>
        </w:rPr>
        <w:t>gösterirler. Sepsiste</w:t>
      </w:r>
      <w:r w:rsidR="00C547F4" w:rsidRPr="003656DA">
        <w:rPr>
          <w:rStyle w:val="fontstyle11"/>
          <w:rFonts w:ascii="Times New Roman" w:hAnsi="Times New Roman"/>
        </w:rPr>
        <w:t xml:space="preserve"> </w:t>
      </w:r>
      <w:r w:rsidR="00C3504D">
        <w:rPr>
          <w:rStyle w:val="fontstyle11"/>
          <w:rFonts w:ascii="Times New Roman" w:hAnsi="Times New Roman"/>
        </w:rPr>
        <w:t xml:space="preserve">hipotermi, </w:t>
      </w:r>
      <w:r w:rsidR="00C547F4" w:rsidRPr="003656DA">
        <w:rPr>
          <w:rStyle w:val="fontstyle11"/>
          <w:rFonts w:ascii="Times New Roman" w:hAnsi="Times New Roman"/>
        </w:rPr>
        <w:t>ateş</w:t>
      </w:r>
      <w:r w:rsidR="00C3504D">
        <w:rPr>
          <w:rStyle w:val="fontstyle11"/>
          <w:rFonts w:ascii="Times New Roman" w:hAnsi="Times New Roman"/>
        </w:rPr>
        <w:t xml:space="preserve"> yüksekliği</w:t>
      </w:r>
      <w:r w:rsidR="00C547F4" w:rsidRPr="003656DA">
        <w:rPr>
          <w:rStyle w:val="fontstyle11"/>
          <w:rFonts w:ascii="Times New Roman" w:hAnsi="Times New Roman"/>
        </w:rPr>
        <w:t>,</w:t>
      </w:r>
      <w:r w:rsidR="00C547F4">
        <w:rPr>
          <w:rStyle w:val="fontstyle11"/>
          <w:rFonts w:ascii="Times New Roman" w:hAnsi="Times New Roman"/>
        </w:rPr>
        <w:t xml:space="preserve"> </w:t>
      </w:r>
      <w:r w:rsidR="00C3504D">
        <w:rPr>
          <w:rStyle w:val="fontstyle11"/>
          <w:rFonts w:ascii="Times New Roman" w:hAnsi="Times New Roman"/>
        </w:rPr>
        <w:t>l</w:t>
      </w:r>
      <w:r w:rsidR="00C547F4" w:rsidRPr="0045549B">
        <w:t>ökositoz</w:t>
      </w:r>
      <w:r w:rsidR="00C3504D">
        <w:t xml:space="preserve"> yapıp;</w:t>
      </w:r>
      <w:r w:rsidR="00C547F4" w:rsidRPr="0045549B">
        <w:t xml:space="preserve"> </w:t>
      </w:r>
      <w:r w:rsidR="00C3504D" w:rsidRPr="0045549B">
        <w:t xml:space="preserve">laktat dehidrogenaz </w:t>
      </w:r>
      <w:r w:rsidR="00C3504D">
        <w:t xml:space="preserve">gibi </w:t>
      </w:r>
      <w:r w:rsidR="00C547F4" w:rsidRPr="0045549B">
        <w:t>bazı enzimler</w:t>
      </w:r>
      <w:r w:rsidR="00C3504D">
        <w:t xml:space="preserve">e </w:t>
      </w:r>
      <w:r w:rsidR="00C547F4" w:rsidRPr="0045549B">
        <w:t xml:space="preserve">etki </w:t>
      </w:r>
      <w:r w:rsidR="00C3504D">
        <w:t>ederek</w:t>
      </w:r>
      <w:r w:rsidR="00C547F4" w:rsidRPr="0045549B">
        <w:t xml:space="preserve"> dokuların enerji kullanımında değişiklikler</w:t>
      </w:r>
      <w:r w:rsidR="00C3504D">
        <w:t xml:space="preserve"> yaparlar. </w:t>
      </w:r>
      <w:r w:rsidR="005579CD">
        <w:t>Ayrıca</w:t>
      </w:r>
      <w:r w:rsidR="005579CD">
        <w:rPr>
          <w:rStyle w:val="fontstyle11"/>
          <w:rFonts w:ascii="Times New Roman" w:hAnsi="Times New Roman"/>
        </w:rPr>
        <w:t xml:space="preserve"> </w:t>
      </w:r>
      <w:r w:rsidR="005579CD" w:rsidRPr="003656DA">
        <w:rPr>
          <w:rStyle w:val="fontstyle11"/>
          <w:rFonts w:ascii="Times New Roman" w:hAnsi="Times New Roman"/>
        </w:rPr>
        <w:t>hipotansiyon</w:t>
      </w:r>
      <w:r w:rsidR="00C547F4">
        <w:rPr>
          <w:rStyle w:val="fontstyle11"/>
          <w:rFonts w:ascii="Times New Roman" w:hAnsi="Times New Roman"/>
        </w:rPr>
        <w:t xml:space="preserve"> ve </w:t>
      </w:r>
      <w:r w:rsidR="00C547F4" w:rsidRPr="003656DA">
        <w:rPr>
          <w:rStyle w:val="fontstyle11"/>
          <w:rFonts w:ascii="Times New Roman" w:hAnsi="Times New Roman"/>
        </w:rPr>
        <w:t>şok patogenezinde rol oyna</w:t>
      </w:r>
      <w:r w:rsidR="00C3504D">
        <w:rPr>
          <w:rStyle w:val="fontstyle11"/>
          <w:rFonts w:ascii="Times New Roman" w:hAnsi="Times New Roman"/>
        </w:rPr>
        <w:t>rlar</w:t>
      </w:r>
      <w:r w:rsidR="00C547F4">
        <w:rPr>
          <w:rStyle w:val="fontstyle11"/>
          <w:rFonts w:ascii="Times New Roman" w:hAnsi="Times New Roman"/>
        </w:rPr>
        <w:t xml:space="preserve"> </w:t>
      </w:r>
      <w:r w:rsidR="008E5BF7" w:rsidRPr="0045549B">
        <w:fldChar w:fldCharType="begin" w:fldLock="1"/>
      </w:r>
      <w:r w:rsidR="0085653B">
        <w:instrText>ADDIN CSL_CITATION {"citationItems":[{"id":"ITEM-1","itemData":{"id":"ITEM-1","issued":{"date-parts":[["0"]]},"title":"Uzun O. Nozokomiyal sepsis: Patogenezi ve Klinik özellikleri. Hastane Enfeksiyonları Dergisi. 1998; 2(4):188-93.","type":"article-journal"},"uris":["http://www.mendeley.com/documents/?uuid=e2f667c2-b257-45f9-84ec-3cbecbc4db34"]}],"mendeley":{"formattedCitation":"(38)","plainTextFormattedCitation":"(38)","previouslyFormattedCitation":"(38)"},"properties":{"noteIndex":0},"schema":"https://github.com/citation-style-language/schema/raw/master/csl-citation.json"}</w:instrText>
      </w:r>
      <w:r w:rsidR="008E5BF7" w:rsidRPr="0045549B">
        <w:fldChar w:fldCharType="separate"/>
      </w:r>
      <w:r w:rsidR="0085653B" w:rsidRPr="0085653B">
        <w:rPr>
          <w:noProof/>
        </w:rPr>
        <w:t>(38)</w:t>
      </w:r>
      <w:r w:rsidR="008E5BF7" w:rsidRPr="0045549B">
        <w:fldChar w:fldCharType="end"/>
      </w:r>
      <w:r w:rsidR="008E5BF7" w:rsidRPr="0045549B">
        <w:t xml:space="preserve">. </w:t>
      </w:r>
    </w:p>
    <w:p w14:paraId="31CB254C" w14:textId="4F60F5BA" w:rsidR="00C547F4" w:rsidRPr="00C547F4" w:rsidRDefault="00C547F4" w:rsidP="005F7E6A">
      <w:pPr>
        <w:rPr>
          <w:rStyle w:val="fontstyle01"/>
          <w:rFonts w:ascii="Times New Roman" w:hAnsi="Times New Roman"/>
          <w:b w:val="0"/>
          <w:bCs w:val="0"/>
          <w:color w:val="auto"/>
          <w:szCs w:val="22"/>
        </w:rPr>
      </w:pPr>
      <w:r>
        <w:t xml:space="preserve"> </w:t>
      </w:r>
      <w:r w:rsidRPr="003656DA">
        <w:rPr>
          <w:rStyle w:val="fontstyle11"/>
          <w:rFonts w:ascii="Times New Roman" w:hAnsi="Times New Roman"/>
        </w:rPr>
        <w:t>IL-6</w:t>
      </w:r>
      <w:r w:rsidR="00A24AD9">
        <w:rPr>
          <w:rStyle w:val="fontstyle11"/>
          <w:rFonts w:ascii="Times New Roman" w:hAnsi="Times New Roman"/>
        </w:rPr>
        <w:t xml:space="preserve"> ve IL-10, proinflamatuvar sitokin olan TNF-α’nın sentezini önleyerek</w:t>
      </w:r>
      <w:r w:rsidRPr="003656DA">
        <w:rPr>
          <w:rStyle w:val="fontstyle11"/>
          <w:rFonts w:ascii="Times New Roman" w:hAnsi="Times New Roman"/>
        </w:rPr>
        <w:t>, akut faz reaktanlarının ve</w:t>
      </w:r>
      <w:r>
        <w:rPr>
          <w:rStyle w:val="fontstyle11"/>
          <w:rFonts w:ascii="Times New Roman" w:hAnsi="Times New Roman"/>
        </w:rPr>
        <w:t xml:space="preserve"> </w:t>
      </w:r>
      <w:r w:rsidR="008419DB">
        <w:rPr>
          <w:rStyle w:val="fontstyle11"/>
          <w:rFonts w:ascii="Times New Roman" w:hAnsi="Times New Roman"/>
        </w:rPr>
        <w:t>immü</w:t>
      </w:r>
      <w:r w:rsidRPr="003656DA">
        <w:rPr>
          <w:rStyle w:val="fontstyle11"/>
          <w:rFonts w:ascii="Times New Roman" w:hAnsi="Times New Roman"/>
        </w:rPr>
        <w:t>nglobulinlerin etkisini artırır</w:t>
      </w:r>
      <w:r w:rsidR="00A24AD9">
        <w:rPr>
          <w:rStyle w:val="fontstyle11"/>
          <w:rFonts w:ascii="Times New Roman" w:hAnsi="Times New Roman"/>
        </w:rPr>
        <w:t xml:space="preserve">lar. Böylece </w:t>
      </w:r>
      <w:r w:rsidRPr="003656DA">
        <w:rPr>
          <w:rStyle w:val="fontstyle11"/>
          <w:rFonts w:ascii="Times New Roman" w:hAnsi="Times New Roman"/>
        </w:rPr>
        <w:t>T lenfositlerin ve makrofajların</w:t>
      </w:r>
      <w:r>
        <w:rPr>
          <w:rStyle w:val="fontstyle11"/>
          <w:rFonts w:ascii="Times New Roman" w:hAnsi="Times New Roman"/>
        </w:rPr>
        <w:t xml:space="preserve"> </w:t>
      </w:r>
      <w:r w:rsidRPr="003656DA">
        <w:rPr>
          <w:rStyle w:val="fontstyle11"/>
          <w:rFonts w:ascii="Times New Roman" w:hAnsi="Times New Roman"/>
        </w:rPr>
        <w:t>fonksiyonlarını inhibe eder</w:t>
      </w:r>
      <w:r w:rsidR="00A24AD9">
        <w:rPr>
          <w:rStyle w:val="fontstyle11"/>
          <w:rFonts w:ascii="Times New Roman" w:hAnsi="Times New Roman"/>
        </w:rPr>
        <w:t xml:space="preserve">ler. Bu sitokinler, bu özellikleriyle </w:t>
      </w:r>
      <w:r w:rsidR="005579CD">
        <w:rPr>
          <w:rStyle w:val="fontstyle11"/>
          <w:rFonts w:ascii="Times New Roman" w:hAnsi="Times New Roman"/>
        </w:rPr>
        <w:t>enflamasy</w:t>
      </w:r>
      <w:r w:rsidR="005579CD" w:rsidRPr="003656DA">
        <w:rPr>
          <w:rStyle w:val="fontstyle11"/>
          <w:rFonts w:ascii="Times New Roman" w:hAnsi="Times New Roman"/>
        </w:rPr>
        <w:t>on</w:t>
      </w:r>
      <w:r w:rsidR="005579CD">
        <w:rPr>
          <w:rStyle w:val="fontstyle11"/>
          <w:rFonts w:ascii="Times New Roman" w:hAnsi="Times New Roman"/>
        </w:rPr>
        <w:t>a</w:t>
      </w:r>
      <w:r>
        <w:rPr>
          <w:rStyle w:val="fontstyle11"/>
          <w:rFonts w:ascii="Times New Roman" w:hAnsi="Times New Roman"/>
        </w:rPr>
        <w:t xml:space="preserve"> </w:t>
      </w:r>
      <w:r w:rsidRPr="003656DA">
        <w:rPr>
          <w:rStyle w:val="fontstyle11"/>
          <w:rFonts w:ascii="Times New Roman" w:hAnsi="Times New Roman"/>
        </w:rPr>
        <w:t xml:space="preserve">düzenleyici ve antiinflamatuvar rol oynarlar </w:t>
      </w:r>
      <w:r>
        <w:rPr>
          <w:rStyle w:val="fontstyle11"/>
          <w:rFonts w:ascii="Times New Roman" w:hAnsi="Times New Roman"/>
        </w:rPr>
        <w:fldChar w:fldCharType="begin" w:fldLock="1"/>
      </w:r>
      <w:r w:rsidR="0085653B">
        <w:rPr>
          <w:rStyle w:val="fontstyle11"/>
          <w:rFonts w:ascii="Times New Roman" w:hAnsi="Times New Roman"/>
        </w:rPr>
        <w:instrText>ADDIN CSL_CITATION {"citationItems":[{"id":"ITEM-1","itemData":{"id":"ITEM-1","issued":{"date-parts":[["0"]]},"title":"Wheeler AP, Bernard GR. Treating patients with severe sepsis. N Engl J Med. 1999 Jan 21; 340(3):207-14. PubMed PMID: 9895401. Epub 1999/01/23. eng.","type":"article-journal"},"uris":["http://www.mendeley.com/documents/?uuid=25cb86c6-203c-4399-ab9c-23bb1d2c08de"]}],"mendeley":{"formattedCitation":"(39)","plainTextFormattedCitation":"(39)","previouslyFormattedCitation":"(39)"},"properties":{"noteIndex":0},"schema":"https://github.com/citation-style-language/schema/raw/master/csl-citation.json"}</w:instrText>
      </w:r>
      <w:r>
        <w:rPr>
          <w:rStyle w:val="fontstyle11"/>
          <w:rFonts w:ascii="Times New Roman" w:hAnsi="Times New Roman"/>
        </w:rPr>
        <w:fldChar w:fldCharType="separate"/>
      </w:r>
      <w:r w:rsidR="0085653B" w:rsidRPr="0085653B">
        <w:rPr>
          <w:rStyle w:val="fontstyle11"/>
          <w:rFonts w:ascii="Times New Roman" w:hAnsi="Times New Roman"/>
          <w:noProof/>
        </w:rPr>
        <w:t>(39)</w:t>
      </w:r>
      <w:r>
        <w:rPr>
          <w:rStyle w:val="fontstyle11"/>
          <w:rFonts w:ascii="Times New Roman" w:hAnsi="Times New Roman"/>
        </w:rPr>
        <w:fldChar w:fldCharType="end"/>
      </w:r>
      <w:r>
        <w:rPr>
          <w:rStyle w:val="fontstyle11"/>
          <w:rFonts w:ascii="Times New Roman" w:hAnsi="Times New Roman"/>
        </w:rPr>
        <w:t xml:space="preserve">.  </w:t>
      </w:r>
    </w:p>
    <w:p w14:paraId="31CB254D" w14:textId="6BC6BAAB" w:rsidR="000239F5" w:rsidRDefault="00123A98" w:rsidP="000239F5">
      <w:pPr>
        <w:rPr>
          <w:color w:val="FF0000"/>
        </w:rPr>
      </w:pPr>
      <w:r>
        <w:t>Sepsiste gelişen yukarıdaki olayların sonucunda</w:t>
      </w:r>
      <w:r w:rsidR="008A36B7" w:rsidRPr="0094706F">
        <w:t>,</w:t>
      </w:r>
      <w:r w:rsidR="008A36B7">
        <w:t xml:space="preserve"> </w:t>
      </w:r>
      <w:r w:rsidR="008A36B7" w:rsidRPr="0094706F">
        <w:t xml:space="preserve">sistemik </w:t>
      </w:r>
      <w:r w:rsidR="008419DB" w:rsidRPr="0094706F">
        <w:t>inflamatuar</w:t>
      </w:r>
      <w:r w:rsidR="008A36B7" w:rsidRPr="0094706F">
        <w:t xml:space="preserve"> yanıt</w:t>
      </w:r>
      <w:r w:rsidR="005F7E6A">
        <w:t xml:space="preserve"> gelişir</w:t>
      </w:r>
      <w:r w:rsidR="008A36B7" w:rsidRPr="0094706F">
        <w:t xml:space="preserve">, hemostatik değişiklikler </w:t>
      </w:r>
      <w:r w:rsidR="005F7E6A">
        <w:t xml:space="preserve">oluşur </w:t>
      </w:r>
      <w:r w:rsidR="008A36B7" w:rsidRPr="0094706F">
        <w:t>ve organ hasarı ortaya çık</w:t>
      </w:r>
      <w:r>
        <w:t>ar</w:t>
      </w:r>
      <w:r w:rsidR="008A36B7">
        <w:t xml:space="preserve"> </w:t>
      </w:r>
      <w:r w:rsidR="009E6A9E" w:rsidRPr="00507FCF">
        <w:fldChar w:fldCharType="begin" w:fldLock="1"/>
      </w:r>
      <w:r w:rsidR="0085653B">
        <w:instrText>ADDIN CSL_CITATION {"citationItems":[{"id":"ITEM-1","itemData":{"DOI":"10.1056/NEJMra021333","ISSN":"00284793","PMID":"12519925","abstract":"Sepsis is the leading cause of death in critically ill patients in the United States. Yet the individual host response to septicemia is variable, depending on the patient's immune response, age, nu...","author":[{"dropping-particle":"","family":"Hotchkiss","given":"Richard S.","non-dropping-particle":"","parse-names":false,"suffix":""},{"dropping-particle":"","family":"Karl","given":"Irene E.","non-dropping-particle":"","parse-names":false,"suffix":""}],"container-title":"New England Journal of Medicine","id":"ITEM-1","issue":"2","issued":{"date-parts":[["2003","1","9"]]},"page":"138-150","publisher":" Massachusetts Medical Society ","title":"The pathophysiology and treatment of sepsis","type":"article","volume":"348"},"uris":["http://www.mendeley.com/documents/?uuid=0072e74d-9c40-35fa-b4dd-a22a30b24fcd"]},{"id":"ITEM-2","itemData":{"DOI":"10.1038/nature01326","ISSN":"00280836","PMID":"12490963","abstract":"Sepsis is a condition that results from a harmful or damaging host response to infection. Many of the components of the innate immune response that the normally concerned with host defences against infection can, under some circumstances, cause cell and tissue damage and hence multiple organ failure, the clinical hallmark of sepsis. Because of high mortality of sepsis in the face of standard treatment, many efforts have been made to improve understanding of the dysregulation of the host response in sepsis. As a result much has been learnt of the basic principles governing bacterial-host infections, and new opportunities for therapeutic intervention have been revealed.","author":[{"dropping-particle":"","family":"Cohen","given":"Jonathan","non-dropping-particle":"","parse-names":false,"suffix":""}],"container-title":"Nature","id":"ITEM-2","issue":"6917","issued":{"date-parts":[["2002","12","26"]]},"page":"885-891","publisher":"Nature Publishing Group","title":"The immunopathogenesis of sepsis","type":"article","volume":"420"},"uris":["http://www.mendeley.com/documents/?uuid=86f5d885-bd1c-3530-b9bc-e7d884a9750e"]}],"mendeley":{"formattedCitation":"(35,37)","plainTextFormattedCitation":"(35,37)","previouslyFormattedCitation":"(35,37)"},"properties":{"noteIndex":0},"schema":"https://github.com/citation-style-language/schema/raw/master/csl-citation.json"}</w:instrText>
      </w:r>
      <w:r w:rsidR="009E6A9E" w:rsidRPr="00507FCF">
        <w:fldChar w:fldCharType="separate"/>
      </w:r>
      <w:r w:rsidR="0085653B" w:rsidRPr="0085653B">
        <w:rPr>
          <w:noProof/>
        </w:rPr>
        <w:t>(35,37)</w:t>
      </w:r>
      <w:r w:rsidR="009E6A9E" w:rsidRPr="00507FCF">
        <w:fldChar w:fldCharType="end"/>
      </w:r>
      <w:r w:rsidR="009E6A9E" w:rsidRPr="00507FCF">
        <w:t>.</w:t>
      </w:r>
      <w:r w:rsidR="008A36B7" w:rsidRPr="00507FCF">
        <w:t xml:space="preserve"> </w:t>
      </w:r>
      <w:r w:rsidRPr="00507FCF">
        <w:t>Bu duruma septik tirad denir, aşağıda</w:t>
      </w:r>
      <w:r w:rsidR="00A01358" w:rsidRPr="00507FCF">
        <w:t xml:space="preserve"> tabloda</w:t>
      </w:r>
      <w:r w:rsidRPr="00507FCF">
        <w:t xml:space="preserve"> şematize edilmiştir.</w:t>
      </w:r>
    </w:p>
    <w:p w14:paraId="31CB254E" w14:textId="77777777" w:rsidR="00E7732D" w:rsidRDefault="00E7732D" w:rsidP="004F6156">
      <w:pPr>
        <w:pStyle w:val="ResimYazs"/>
        <w:ind w:firstLine="0"/>
        <w:rPr>
          <w:i w:val="0"/>
          <w:color w:val="auto"/>
          <w:sz w:val="24"/>
          <w:szCs w:val="24"/>
          <w:highlight w:val="yellow"/>
        </w:rPr>
      </w:pPr>
    </w:p>
    <w:p w14:paraId="31CB254F" w14:textId="2E823820" w:rsidR="00B1750E" w:rsidRPr="00B1750E" w:rsidRDefault="000239F5" w:rsidP="004F6156">
      <w:pPr>
        <w:pStyle w:val="ResimYazs"/>
        <w:ind w:firstLine="0"/>
        <w:rPr>
          <w:i w:val="0"/>
          <w:color w:val="auto"/>
          <w:sz w:val="24"/>
          <w:szCs w:val="24"/>
        </w:rPr>
      </w:pPr>
      <w:bookmarkStart w:id="44" w:name="_Toc45383388"/>
      <w:bookmarkStart w:id="45" w:name="_Toc49818009"/>
      <w:r w:rsidRPr="00042CE7">
        <w:rPr>
          <w:noProof/>
          <w:lang w:eastAsia="tr-TR"/>
        </w:rPr>
        <w:drawing>
          <wp:anchor distT="0" distB="0" distL="114300" distR="114300" simplePos="0" relativeHeight="251670528" behindDoc="1" locked="0" layoutInCell="1" allowOverlap="1" wp14:anchorId="31CB2DD7" wp14:editId="31CB2DD8">
            <wp:simplePos x="0" y="0"/>
            <wp:positionH relativeFrom="column">
              <wp:posOffset>24765</wp:posOffset>
            </wp:positionH>
            <wp:positionV relativeFrom="paragraph">
              <wp:posOffset>299720</wp:posOffset>
            </wp:positionV>
            <wp:extent cx="3228975" cy="1352550"/>
            <wp:effectExtent l="0" t="19050" r="0" b="57150"/>
            <wp:wrapTight wrapText="bothSides">
              <wp:wrapPolygon edited="0">
                <wp:start x="8156" y="-304"/>
                <wp:lineTo x="8156" y="4868"/>
                <wp:lineTo x="8538" y="9735"/>
                <wp:lineTo x="7901" y="11561"/>
                <wp:lineTo x="8028" y="13082"/>
                <wp:lineTo x="10704" y="14603"/>
                <wp:lineTo x="4333" y="15820"/>
                <wp:lineTo x="4333" y="22208"/>
                <wp:lineTo x="17204" y="22208"/>
                <wp:lineTo x="17458" y="15820"/>
                <wp:lineTo x="10704" y="14603"/>
                <wp:lineTo x="13126" y="13386"/>
                <wp:lineTo x="13635" y="12169"/>
                <wp:lineTo x="12998" y="9735"/>
                <wp:lineTo x="13381" y="4868"/>
                <wp:lineTo x="13381" y="-304"/>
                <wp:lineTo x="8156" y="-304"/>
              </wp:wrapPolygon>
            </wp:wrapTight>
            <wp:docPr id="2" name="Diy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14:sizeRelH relativeFrom="margin">
              <wp14:pctWidth>0</wp14:pctWidth>
            </wp14:sizeRelH>
            <wp14:sizeRelV relativeFrom="margin">
              <wp14:pctHeight>0</wp14:pctHeight>
            </wp14:sizeRelV>
          </wp:anchor>
        </w:drawing>
      </w:r>
      <w:r w:rsidR="004F6156" w:rsidRPr="00042CE7">
        <w:rPr>
          <w:i w:val="0"/>
          <w:color w:val="auto"/>
          <w:sz w:val="24"/>
          <w:szCs w:val="24"/>
        </w:rPr>
        <w:t>T</w:t>
      </w:r>
      <w:r w:rsidR="00B1750E" w:rsidRPr="00042CE7">
        <w:rPr>
          <w:i w:val="0"/>
          <w:color w:val="auto"/>
          <w:sz w:val="24"/>
          <w:szCs w:val="24"/>
        </w:rPr>
        <w:t xml:space="preserve">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2</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3</w:t>
      </w:r>
      <w:r w:rsidR="002B4CBE">
        <w:rPr>
          <w:i w:val="0"/>
          <w:color w:val="auto"/>
          <w:sz w:val="24"/>
          <w:szCs w:val="24"/>
        </w:rPr>
        <w:fldChar w:fldCharType="end"/>
      </w:r>
      <w:r w:rsidR="00B1750E" w:rsidRPr="00042CE7">
        <w:rPr>
          <w:i w:val="0"/>
          <w:color w:val="auto"/>
          <w:sz w:val="24"/>
          <w:szCs w:val="24"/>
        </w:rPr>
        <w:t xml:space="preserve"> </w:t>
      </w:r>
      <w:r w:rsidRPr="00042CE7">
        <w:rPr>
          <w:i w:val="0"/>
          <w:color w:val="auto"/>
          <w:sz w:val="24"/>
          <w:szCs w:val="24"/>
        </w:rPr>
        <w:t>Septik Tri</w:t>
      </w:r>
      <w:r w:rsidR="00950D94" w:rsidRPr="00042CE7">
        <w:rPr>
          <w:i w:val="0"/>
          <w:color w:val="auto"/>
          <w:sz w:val="24"/>
          <w:szCs w:val="24"/>
        </w:rPr>
        <w:t>ad</w:t>
      </w:r>
      <w:bookmarkEnd w:id="44"/>
      <w:bookmarkEnd w:id="45"/>
    </w:p>
    <w:p w14:paraId="31CB2550" w14:textId="77777777" w:rsidR="00B1750E" w:rsidRDefault="00B1750E" w:rsidP="00B1750E">
      <w:pPr>
        <w:jc w:val="left"/>
      </w:pPr>
    </w:p>
    <w:p w14:paraId="31CB2551" w14:textId="77777777" w:rsidR="00B1750E" w:rsidRDefault="00B1750E" w:rsidP="00B1750E"/>
    <w:p w14:paraId="31CB2552" w14:textId="77777777" w:rsidR="00B1750E" w:rsidRDefault="00B1750E" w:rsidP="00B1750E"/>
    <w:p w14:paraId="31CB2553" w14:textId="77777777" w:rsidR="00B1750E" w:rsidRDefault="00B1750E" w:rsidP="00D14DD6">
      <w:pPr>
        <w:jc w:val="left"/>
        <w:rPr>
          <w:color w:val="FF0000"/>
        </w:rPr>
      </w:pPr>
    </w:p>
    <w:p w14:paraId="31CB2554" w14:textId="77777777" w:rsidR="00B1750E" w:rsidRDefault="00B1750E" w:rsidP="00D14DD6">
      <w:pPr>
        <w:jc w:val="left"/>
        <w:rPr>
          <w:color w:val="FF0000"/>
        </w:rPr>
      </w:pPr>
    </w:p>
    <w:p w14:paraId="31CB2555" w14:textId="77777777" w:rsidR="00B1750E" w:rsidRDefault="00B1750E" w:rsidP="003A3BE9">
      <w:pPr>
        <w:pStyle w:val="ResimYazs"/>
        <w:rPr>
          <w:i w:val="0"/>
          <w:sz w:val="24"/>
          <w:szCs w:val="24"/>
          <w:highlight w:val="yellow"/>
        </w:rPr>
      </w:pPr>
    </w:p>
    <w:p w14:paraId="494F2B78" w14:textId="77777777" w:rsidR="00A81EDF" w:rsidRPr="00A81EDF" w:rsidRDefault="00A81EDF" w:rsidP="00A81EDF">
      <w:pPr>
        <w:rPr>
          <w:highlight w:val="yellow"/>
        </w:rPr>
      </w:pPr>
    </w:p>
    <w:p w14:paraId="31CB2557" w14:textId="77777777" w:rsidR="005F7E6A" w:rsidRDefault="005F7E6A" w:rsidP="005F7E6A">
      <w:pPr>
        <w:rPr>
          <w:rStyle w:val="fontstyle11"/>
          <w:rFonts w:ascii="Times New Roman" w:hAnsi="Times New Roman"/>
          <w:color w:val="FF0000"/>
        </w:rPr>
      </w:pPr>
      <w:r w:rsidRPr="0045549B">
        <w:t>Sitokinlerin hedef dokulardaki etkilerinden nitrik oksit (NO), araşidonik asit metabolitleri (prostaglandinler, eikosanoidler), platelet aktive edici faktör (PAF) ve lipooksijenaz ürünleri sorumludur.</w:t>
      </w:r>
      <w:r w:rsidRPr="008E5BF7">
        <w:rPr>
          <w:rStyle w:val="fontstyle11"/>
          <w:rFonts w:ascii="Times New Roman" w:hAnsi="Times New Roman"/>
          <w:color w:val="FF0000"/>
        </w:rPr>
        <w:t xml:space="preserve"> </w:t>
      </w:r>
    </w:p>
    <w:p w14:paraId="31CB2558" w14:textId="77777777" w:rsidR="001D6569" w:rsidRDefault="005F7E6A" w:rsidP="00751B08">
      <w:r>
        <w:lastRenderedPageBreak/>
        <w:t xml:space="preserve">TNF-α; </w:t>
      </w:r>
      <w:r w:rsidRPr="0045549B">
        <w:t xml:space="preserve">IL-1 </w:t>
      </w:r>
      <w:r>
        <w:t xml:space="preserve">ve </w:t>
      </w:r>
      <w:r w:rsidR="008E5BF7" w:rsidRPr="0045549B">
        <w:t xml:space="preserve">IFN-γ gibi diğer sitokinlerle birlikte pek çok dokuda nitrik oksit sentetaz enzimini indükler. </w:t>
      </w:r>
      <w:r>
        <w:t>Artmış</w:t>
      </w:r>
      <w:r w:rsidR="008E5BF7" w:rsidRPr="0045549B">
        <w:t xml:space="preserve"> nitrik oksit (NO) molekülü vazodilatasyona </w:t>
      </w:r>
      <w:r>
        <w:t>sebep</w:t>
      </w:r>
      <w:r w:rsidR="008E5BF7" w:rsidRPr="0045549B">
        <w:t xml:space="preserve"> olur</w:t>
      </w:r>
      <w:r w:rsidR="008E5BF7">
        <w:t xml:space="preserve"> ve hipotansiyon </w:t>
      </w:r>
      <w:r>
        <w:t>gelişir</w:t>
      </w:r>
      <w:r w:rsidR="008E5BF7">
        <w:t xml:space="preserve">. </w:t>
      </w:r>
    </w:p>
    <w:p w14:paraId="31CB2559" w14:textId="77777777" w:rsidR="008E5BF7" w:rsidRDefault="008E5BF7" w:rsidP="00751B08">
      <w:pPr>
        <w:rPr>
          <w:rStyle w:val="fontstyle11"/>
          <w:rFonts w:ascii="Times New Roman" w:hAnsi="Times New Roman"/>
          <w:color w:val="FF0000"/>
        </w:rPr>
      </w:pPr>
      <w:r w:rsidRPr="0045549B">
        <w:t>IL-1 ve TNF-α diğer sitokinlerin salınımını etkiler. Lokal olarak hücrelerden IL-8 ve diğer kemokinlerin yapımını arttırırlar. Bu sitokinler polimorfonükleer lökositlerin (PMNL) o bölgeye toplanmasına ve aktive olmasına neden olarak doku hasarı ve organ fonksiyon bozukluğuna yol açarlar.</w:t>
      </w:r>
      <w:r w:rsidR="00751B08" w:rsidRPr="00751B08">
        <w:rPr>
          <w:rStyle w:val="fontstyle11"/>
          <w:rFonts w:ascii="Times New Roman" w:hAnsi="Times New Roman"/>
          <w:color w:val="FF0000"/>
        </w:rPr>
        <w:t xml:space="preserve"> </w:t>
      </w:r>
    </w:p>
    <w:p w14:paraId="31CB2564" w14:textId="77777777" w:rsidR="001D6569" w:rsidRDefault="005F7E6A" w:rsidP="001D6569">
      <w:r>
        <w:t>Salınan mediyatörler e</w:t>
      </w:r>
      <w:r w:rsidR="00C56F2F" w:rsidRPr="0045549B">
        <w:t>nfeksiyona</w:t>
      </w:r>
      <w:r>
        <w:t xml:space="preserve"> sistemik cevabı oluştururlar</w:t>
      </w:r>
      <w:r w:rsidR="00751B08" w:rsidRPr="0045549B">
        <w:t>. Bu mediyatörler</w:t>
      </w:r>
      <w:r>
        <w:t xml:space="preserve"> </w:t>
      </w:r>
      <w:r w:rsidR="005579CD">
        <w:t>üç kısma</w:t>
      </w:r>
      <w:r>
        <w:t xml:space="preserve"> ayrılmaktadır. Bir </w:t>
      </w:r>
      <w:r w:rsidR="00751B08" w:rsidRPr="0045549B">
        <w:t xml:space="preserve">kısmı proinflamatuvar (TNF-α, </w:t>
      </w:r>
      <w:r w:rsidR="001D6569" w:rsidRPr="00654C41">
        <w:rPr>
          <w:rFonts w:eastAsia="Times New Roman"/>
          <w:color w:val="000000"/>
          <w:szCs w:val="24"/>
          <w:lang w:eastAsia="tr-TR"/>
        </w:rPr>
        <w:t>IFN- γ</w:t>
      </w:r>
      <w:r w:rsidR="001D6569">
        <w:t xml:space="preserve">, </w:t>
      </w:r>
      <w:r w:rsidR="00751B08" w:rsidRPr="0045549B">
        <w:t>IL-1,</w:t>
      </w:r>
      <w:r w:rsidR="001D6569">
        <w:t xml:space="preserve"> </w:t>
      </w:r>
      <w:r w:rsidR="00751B08" w:rsidRPr="0045549B">
        <w:t>IL-</w:t>
      </w:r>
      <w:r w:rsidR="001D6569">
        <w:t>8</w:t>
      </w:r>
      <w:r w:rsidR="00751B08" w:rsidRPr="0045549B">
        <w:t>)</w:t>
      </w:r>
      <w:r w:rsidR="001D6569">
        <w:t>,</w:t>
      </w:r>
      <w:r w:rsidR="00751B08" w:rsidRPr="0045549B">
        <w:t xml:space="preserve"> bir kısmı antiinflamatuvar (IL-4,</w:t>
      </w:r>
      <w:r w:rsidR="001D6569">
        <w:t xml:space="preserve"> </w:t>
      </w:r>
      <w:r w:rsidR="00751B08" w:rsidRPr="0045549B">
        <w:t>IL-10</w:t>
      </w:r>
      <w:r w:rsidR="001D6569">
        <w:t>, TGF-</w:t>
      </w:r>
      <w:r w:rsidR="001D6569" w:rsidRPr="00654C41">
        <w:rPr>
          <w:rFonts w:eastAsia="Times New Roman"/>
          <w:color w:val="000000"/>
          <w:szCs w:val="24"/>
          <w:lang w:eastAsia="tr-TR"/>
        </w:rPr>
        <w:t>β</w:t>
      </w:r>
      <w:r w:rsidR="00751B08" w:rsidRPr="0045549B">
        <w:t>)</w:t>
      </w:r>
      <w:r w:rsidR="001D6569">
        <w:t xml:space="preserve"> ve </w:t>
      </w:r>
      <w:r>
        <w:t xml:space="preserve">diğer kısmı da düzenleyici </w:t>
      </w:r>
      <w:r w:rsidR="001D6569">
        <w:t>(IL-6, IL-12)</w:t>
      </w:r>
      <w:r w:rsidR="00751B08" w:rsidRPr="0045549B">
        <w:t xml:space="preserve"> özelliğe sahiptir.</w:t>
      </w:r>
      <w:r w:rsidR="001D6569">
        <w:t xml:space="preserve"> Aşağıdaki tabloda mediyatörler</w:t>
      </w:r>
      <w:r>
        <w:t>in grupları</w:t>
      </w:r>
      <w:r w:rsidR="001D6569">
        <w:t xml:space="preserve"> gösterilmiştir.</w:t>
      </w:r>
    </w:p>
    <w:p w14:paraId="31CB2565" w14:textId="1A808A64" w:rsidR="00084E0A" w:rsidRDefault="00084E0A">
      <w:pPr>
        <w:spacing w:after="160"/>
        <w:ind w:left="680" w:firstLine="0"/>
        <w:rPr>
          <w:rStyle w:val="fontstyle11"/>
          <w:rFonts w:ascii="Times New Roman" w:hAnsi="Times New Roman"/>
          <w:color w:val="FF0000"/>
        </w:rPr>
      </w:pPr>
    </w:p>
    <w:p w14:paraId="31CB2566" w14:textId="030FC690" w:rsidR="00B1750E" w:rsidRDefault="00751B08" w:rsidP="00B1750E">
      <w:pPr>
        <w:pStyle w:val="ResimYazs"/>
        <w:rPr>
          <w:i w:val="0"/>
          <w:color w:val="auto"/>
          <w:sz w:val="24"/>
          <w:szCs w:val="24"/>
        </w:rPr>
      </w:pPr>
      <w:bookmarkStart w:id="46" w:name="_Toc49818010"/>
      <w:bookmarkStart w:id="47" w:name="_Toc45383389"/>
      <w:r w:rsidRPr="001D6569">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2</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Pr="001D6569">
        <w:rPr>
          <w:i w:val="0"/>
          <w:color w:val="auto"/>
          <w:sz w:val="24"/>
          <w:szCs w:val="24"/>
        </w:rPr>
        <w:t xml:space="preserve">. Sepsiste </w:t>
      </w:r>
      <w:r w:rsidR="0048467D" w:rsidRPr="001D6569">
        <w:rPr>
          <w:i w:val="0"/>
          <w:color w:val="auto"/>
          <w:sz w:val="24"/>
          <w:szCs w:val="24"/>
        </w:rPr>
        <w:t xml:space="preserve">İnflamatuar Mediyatörler </w:t>
      </w:r>
      <w:r w:rsidR="00B1750E" w:rsidRPr="001D6569">
        <w:rPr>
          <w:i w:val="0"/>
          <w:color w:val="auto"/>
          <w:sz w:val="24"/>
          <w:szCs w:val="24"/>
        </w:rPr>
        <w:fldChar w:fldCharType="begin" w:fldLock="1"/>
      </w:r>
      <w:r w:rsidR="0085653B">
        <w:rPr>
          <w:i w:val="0"/>
          <w:color w:val="auto"/>
          <w:sz w:val="24"/>
          <w:szCs w:val="24"/>
        </w:rPr>
        <w:instrText>ADDIN CSL_CITATION {"citationItems":[{"id":"ITEM-1","itemData":{"DOI":"10.1038/nature01326","ISSN":"00280836","PMID":"12490963","abstract":"Sepsis is a condition that results from a harmful or damaging host response to infection. Many of the components of the innate immune response that the normally concerned with host defences against infection can, under some circumstances, cause cell and tissue damage and hence multiple organ failure, the clinical hallmark of sepsis. Because of high mortality of sepsis in the face of standard treatment, many efforts have been made to improve understanding of the dysregulation of the host response in sepsis. As a result much has been learnt of the basic principles governing bacterial-host infections, and new opportunities for therapeutic intervention have been revealed.","author":[{"dropping-particle":"","family":"Cohen","given":"Jonathan","non-dropping-particle":"","parse-names":false,"suffix":""}],"container-title":"Nature","id":"ITEM-1","issue":"6917","issued":{"date-parts":[["2002","12","26"]]},"page":"885-891","publisher":"Nature Publishing Group","title":"The immunopathogenesis of sepsis","type":"article","volume":"420"},"uris":["http://www.mendeley.com/documents/?uuid=86f5d885-bd1c-3530-b9bc-e7d884a9750e"]}],"mendeley":{"formattedCitation":"(37)","plainTextFormattedCitation":"(37)","previouslyFormattedCitation":"(37)"},"properties":{"noteIndex":0},"schema":"https://github.com/citation-style-language/schema/raw/master/csl-citation.json"}</w:instrText>
      </w:r>
      <w:r w:rsidR="00B1750E" w:rsidRPr="001D6569">
        <w:rPr>
          <w:i w:val="0"/>
          <w:color w:val="auto"/>
          <w:sz w:val="24"/>
          <w:szCs w:val="24"/>
        </w:rPr>
        <w:fldChar w:fldCharType="separate"/>
      </w:r>
      <w:bookmarkEnd w:id="47"/>
      <w:r w:rsidR="0085653B" w:rsidRPr="0085653B">
        <w:rPr>
          <w:i w:val="0"/>
          <w:noProof/>
          <w:color w:val="auto"/>
          <w:sz w:val="24"/>
          <w:szCs w:val="24"/>
        </w:rPr>
        <w:t>(37)</w:t>
      </w:r>
      <w:bookmarkEnd w:id="46"/>
      <w:r w:rsidR="00B1750E" w:rsidRPr="001D6569">
        <w:rPr>
          <w:i w:val="0"/>
          <w:color w:val="auto"/>
          <w:sz w:val="24"/>
          <w:szCs w:val="24"/>
        </w:rPr>
        <w:fldChar w:fldCharType="end"/>
      </w:r>
    </w:p>
    <w:tbl>
      <w:tblPr>
        <w:tblStyle w:val="DzTablo4"/>
        <w:tblW w:w="8761" w:type="dxa"/>
        <w:tblInd w:w="-15"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957"/>
        <w:gridCol w:w="2835"/>
        <w:gridCol w:w="1843"/>
        <w:gridCol w:w="2126"/>
      </w:tblGrid>
      <w:tr w:rsidR="007379D2" w:rsidRPr="00654C41" w14:paraId="31CB256C" w14:textId="77777777" w:rsidTr="00886A91">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957" w:type="dxa"/>
            <w:tcBorders>
              <w:top w:val="single" w:sz="12" w:space="0" w:color="auto"/>
              <w:bottom w:val="thinThickLargeGap" w:sz="24" w:space="0" w:color="auto"/>
            </w:tcBorders>
            <w:hideMark/>
          </w:tcPr>
          <w:p w14:paraId="31CB2567" w14:textId="77777777" w:rsidR="00B1750E" w:rsidRPr="00886A91" w:rsidRDefault="00B1750E" w:rsidP="007379D2">
            <w:pPr>
              <w:ind w:firstLine="0"/>
              <w:jc w:val="left"/>
              <w:rPr>
                <w:rFonts w:eastAsia="Times New Roman"/>
                <w:sz w:val="22"/>
                <w:lang w:eastAsia="tr-TR"/>
              </w:rPr>
            </w:pPr>
            <w:r w:rsidRPr="00886A91">
              <w:rPr>
                <w:rFonts w:eastAsia="Times New Roman"/>
                <w:bCs w:val="0"/>
                <w:color w:val="000000"/>
                <w:sz w:val="22"/>
                <w:lang w:eastAsia="tr-TR"/>
              </w:rPr>
              <w:t>Konak hücre</w:t>
            </w:r>
          </w:p>
        </w:tc>
        <w:tc>
          <w:tcPr>
            <w:tcW w:w="2835" w:type="dxa"/>
            <w:tcBorders>
              <w:top w:val="single" w:sz="12" w:space="0" w:color="auto"/>
              <w:bottom w:val="thinThickLargeGap" w:sz="24" w:space="0" w:color="auto"/>
            </w:tcBorders>
            <w:hideMark/>
          </w:tcPr>
          <w:p w14:paraId="31CB2568" w14:textId="77777777" w:rsidR="00B1750E" w:rsidRPr="00886A91" w:rsidRDefault="005579CD" w:rsidP="007379D2">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sz w:val="22"/>
                <w:lang w:eastAsia="tr-TR"/>
              </w:rPr>
            </w:pPr>
            <w:r w:rsidRPr="00886A91">
              <w:rPr>
                <w:rFonts w:eastAsia="Times New Roman"/>
                <w:bCs w:val="0"/>
                <w:color w:val="000000"/>
                <w:sz w:val="22"/>
                <w:lang w:eastAsia="tr-TR"/>
              </w:rPr>
              <w:t>Proinflamatuvar</w:t>
            </w:r>
            <w:r w:rsidR="00B1750E" w:rsidRPr="00886A91">
              <w:rPr>
                <w:rFonts w:eastAsia="Times New Roman"/>
                <w:bCs w:val="0"/>
                <w:color w:val="000000"/>
                <w:sz w:val="22"/>
                <w:lang w:eastAsia="tr-TR"/>
              </w:rPr>
              <w:br/>
            </w:r>
            <w:r w:rsidRPr="00886A91">
              <w:rPr>
                <w:rFonts w:eastAsia="Times New Roman"/>
                <w:bCs w:val="0"/>
                <w:color w:val="000000"/>
                <w:sz w:val="22"/>
                <w:lang w:eastAsia="tr-TR"/>
              </w:rPr>
              <w:t>mediyatörler</w:t>
            </w:r>
          </w:p>
        </w:tc>
        <w:tc>
          <w:tcPr>
            <w:tcW w:w="1843" w:type="dxa"/>
            <w:tcBorders>
              <w:top w:val="single" w:sz="12" w:space="0" w:color="auto"/>
              <w:bottom w:val="thinThickLargeGap" w:sz="24" w:space="0" w:color="auto"/>
            </w:tcBorders>
            <w:hideMark/>
          </w:tcPr>
          <w:p w14:paraId="31CB2569" w14:textId="77777777" w:rsidR="00B1750E" w:rsidRPr="00886A91" w:rsidRDefault="00B1750E" w:rsidP="007379D2">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sz w:val="22"/>
                <w:lang w:eastAsia="tr-TR"/>
              </w:rPr>
            </w:pPr>
            <w:r w:rsidRPr="00886A91">
              <w:rPr>
                <w:rFonts w:eastAsia="Times New Roman"/>
                <w:bCs w:val="0"/>
                <w:color w:val="000000"/>
                <w:sz w:val="22"/>
                <w:lang w:eastAsia="tr-TR"/>
              </w:rPr>
              <w:t>Düzenleyici</w:t>
            </w:r>
            <w:r w:rsidRPr="00886A91">
              <w:rPr>
                <w:rFonts w:eastAsia="Times New Roman"/>
                <w:bCs w:val="0"/>
                <w:color w:val="000000"/>
                <w:sz w:val="22"/>
                <w:lang w:eastAsia="tr-TR"/>
              </w:rPr>
              <w:br/>
            </w:r>
            <w:r w:rsidR="005579CD" w:rsidRPr="00886A91">
              <w:rPr>
                <w:rFonts w:eastAsia="Times New Roman"/>
                <w:bCs w:val="0"/>
                <w:color w:val="000000"/>
                <w:sz w:val="22"/>
                <w:lang w:eastAsia="tr-TR"/>
              </w:rPr>
              <w:t>mediyatörler</w:t>
            </w:r>
          </w:p>
        </w:tc>
        <w:tc>
          <w:tcPr>
            <w:tcW w:w="2126" w:type="dxa"/>
            <w:tcBorders>
              <w:top w:val="single" w:sz="12" w:space="0" w:color="auto"/>
              <w:bottom w:val="thinThickLargeGap" w:sz="24" w:space="0" w:color="auto"/>
            </w:tcBorders>
            <w:hideMark/>
          </w:tcPr>
          <w:p w14:paraId="31CB256A" w14:textId="77777777" w:rsidR="00B1750E" w:rsidRPr="00886A91" w:rsidRDefault="005579CD" w:rsidP="007379D2">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bCs w:val="0"/>
                <w:color w:val="000000"/>
                <w:sz w:val="22"/>
                <w:lang w:eastAsia="tr-TR"/>
              </w:rPr>
            </w:pPr>
            <w:r w:rsidRPr="00886A91">
              <w:rPr>
                <w:rFonts w:eastAsia="Times New Roman"/>
                <w:bCs w:val="0"/>
                <w:color w:val="000000"/>
                <w:sz w:val="22"/>
                <w:lang w:eastAsia="tr-TR"/>
              </w:rPr>
              <w:t>Antiinflamatuvar</w:t>
            </w:r>
            <w:r w:rsidR="00B1750E" w:rsidRPr="00886A91">
              <w:rPr>
                <w:rFonts w:eastAsia="Times New Roman"/>
                <w:bCs w:val="0"/>
                <w:color w:val="000000"/>
                <w:sz w:val="22"/>
                <w:lang w:eastAsia="tr-TR"/>
              </w:rPr>
              <w:br/>
            </w:r>
            <w:r w:rsidR="007379D2" w:rsidRPr="00886A91">
              <w:rPr>
                <w:rFonts w:eastAsia="Times New Roman"/>
                <w:bCs w:val="0"/>
                <w:color w:val="000000"/>
                <w:sz w:val="22"/>
                <w:lang w:eastAsia="tr-TR"/>
              </w:rPr>
              <w:t>mediyatörler</w:t>
            </w:r>
          </w:p>
          <w:p w14:paraId="31CB256B" w14:textId="77777777" w:rsidR="007379D2" w:rsidRPr="00886A91" w:rsidRDefault="007379D2" w:rsidP="007379D2">
            <w:pPr>
              <w:ind w:firstLine="0"/>
              <w:jc w:val="left"/>
              <w:cnfStyle w:val="100000000000" w:firstRow="1" w:lastRow="0" w:firstColumn="0" w:lastColumn="0" w:oddVBand="0" w:evenVBand="0" w:oddHBand="0" w:evenHBand="0" w:firstRowFirstColumn="0" w:firstRowLastColumn="0" w:lastRowFirstColumn="0" w:lastRowLastColumn="0"/>
              <w:rPr>
                <w:rFonts w:eastAsia="Times New Roman"/>
                <w:sz w:val="22"/>
                <w:lang w:eastAsia="tr-TR"/>
              </w:rPr>
            </w:pPr>
          </w:p>
        </w:tc>
      </w:tr>
      <w:tr w:rsidR="00DB2CE5" w:rsidRPr="00654C41" w14:paraId="31CB2573" w14:textId="77777777" w:rsidTr="00886A91">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957" w:type="dxa"/>
            <w:tcBorders>
              <w:top w:val="thinThickLargeGap" w:sz="24" w:space="0" w:color="auto"/>
              <w:bottom w:val="single" w:sz="4" w:space="0" w:color="auto"/>
            </w:tcBorders>
          </w:tcPr>
          <w:p w14:paraId="31CB256D" w14:textId="77777777" w:rsidR="00DB2CE5" w:rsidRPr="00886A91" w:rsidRDefault="00DB2CE5" w:rsidP="00DB2CE5">
            <w:pPr>
              <w:ind w:firstLine="0"/>
              <w:jc w:val="left"/>
              <w:rPr>
                <w:rFonts w:eastAsia="Times New Roman"/>
                <w:sz w:val="22"/>
                <w:lang w:eastAsia="tr-TR"/>
              </w:rPr>
            </w:pPr>
            <w:r w:rsidRPr="00886A91">
              <w:rPr>
                <w:rFonts w:eastAsia="Times New Roman"/>
                <w:bCs w:val="0"/>
                <w:color w:val="000000"/>
                <w:sz w:val="22"/>
                <w:lang w:eastAsia="tr-TR"/>
              </w:rPr>
              <w:t>Lenfositler</w:t>
            </w:r>
          </w:p>
        </w:tc>
        <w:tc>
          <w:tcPr>
            <w:tcW w:w="2835" w:type="dxa"/>
            <w:tcBorders>
              <w:top w:val="thinThickLargeGap" w:sz="24" w:space="0" w:color="auto"/>
              <w:bottom w:val="single" w:sz="4" w:space="0" w:color="auto"/>
            </w:tcBorders>
          </w:tcPr>
          <w:p w14:paraId="31CB256E"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886A91">
              <w:rPr>
                <w:rFonts w:eastAsia="Times New Roman"/>
                <w:color w:val="000000"/>
                <w:sz w:val="22"/>
                <w:lang w:eastAsia="tr-TR"/>
              </w:rPr>
              <w:t>IFN-γ</w:t>
            </w:r>
            <w:r w:rsidRPr="00886A91">
              <w:rPr>
                <w:rFonts w:eastAsia="Times New Roman"/>
                <w:color w:val="000000"/>
                <w:sz w:val="22"/>
                <w:lang w:eastAsia="tr-TR"/>
              </w:rPr>
              <w:br/>
              <w:t>TNF-α</w:t>
            </w:r>
          </w:p>
        </w:tc>
        <w:tc>
          <w:tcPr>
            <w:tcW w:w="1843" w:type="dxa"/>
            <w:tcBorders>
              <w:top w:val="thinThickLargeGap" w:sz="24" w:space="0" w:color="auto"/>
              <w:bottom w:val="single" w:sz="4" w:space="0" w:color="auto"/>
            </w:tcBorders>
          </w:tcPr>
          <w:p w14:paraId="31CB256F"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886A91">
              <w:rPr>
                <w:rFonts w:eastAsia="Times New Roman"/>
                <w:color w:val="000000"/>
                <w:sz w:val="22"/>
                <w:lang w:eastAsia="tr-TR"/>
              </w:rPr>
              <w:t>IL-12</w:t>
            </w:r>
          </w:p>
        </w:tc>
        <w:tc>
          <w:tcPr>
            <w:tcW w:w="2126" w:type="dxa"/>
            <w:tcBorders>
              <w:top w:val="thinThickLargeGap" w:sz="24" w:space="0" w:color="auto"/>
              <w:bottom w:val="single" w:sz="4" w:space="0" w:color="auto"/>
            </w:tcBorders>
          </w:tcPr>
          <w:p w14:paraId="31CB2570"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r w:rsidRPr="00886A91">
              <w:rPr>
                <w:rFonts w:eastAsia="Times New Roman"/>
                <w:color w:val="000000"/>
                <w:sz w:val="22"/>
                <w:lang w:eastAsia="tr-TR"/>
              </w:rPr>
              <w:t>IL-4</w:t>
            </w:r>
            <w:r w:rsidRPr="00886A91">
              <w:rPr>
                <w:rFonts w:eastAsia="Times New Roman"/>
                <w:color w:val="000000"/>
                <w:sz w:val="22"/>
                <w:lang w:eastAsia="tr-TR"/>
              </w:rPr>
              <w:br/>
              <w:t>IL-10</w:t>
            </w:r>
          </w:p>
          <w:p w14:paraId="31CB2571"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r w:rsidRPr="00886A91">
              <w:rPr>
                <w:rFonts w:eastAsia="Times New Roman"/>
                <w:color w:val="000000"/>
                <w:sz w:val="22"/>
                <w:lang w:eastAsia="tr-TR"/>
              </w:rPr>
              <w:t>sIL-2r</w:t>
            </w:r>
          </w:p>
          <w:p w14:paraId="31CB2572"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p>
        </w:tc>
      </w:tr>
      <w:tr w:rsidR="00DB2CE5" w:rsidRPr="00654C41" w14:paraId="31CB257D" w14:textId="77777777" w:rsidTr="00886A91">
        <w:trPr>
          <w:trHeight w:val="459"/>
        </w:trPr>
        <w:tc>
          <w:tcPr>
            <w:cnfStyle w:val="001000000000" w:firstRow="0" w:lastRow="0" w:firstColumn="1" w:lastColumn="0" w:oddVBand="0" w:evenVBand="0" w:oddHBand="0" w:evenHBand="0" w:firstRowFirstColumn="0" w:firstRowLastColumn="0" w:lastRowFirstColumn="0" w:lastRowLastColumn="0"/>
            <w:tcW w:w="1957" w:type="dxa"/>
            <w:tcBorders>
              <w:top w:val="single" w:sz="4" w:space="0" w:color="auto"/>
              <w:bottom w:val="single" w:sz="4" w:space="0" w:color="auto"/>
            </w:tcBorders>
          </w:tcPr>
          <w:p w14:paraId="31CB2574" w14:textId="77777777" w:rsidR="00DB2CE5" w:rsidRPr="00886A91" w:rsidRDefault="00DB2CE5" w:rsidP="00DB2CE5">
            <w:pPr>
              <w:ind w:firstLine="0"/>
              <w:jc w:val="left"/>
              <w:rPr>
                <w:rFonts w:eastAsia="Times New Roman"/>
                <w:bCs w:val="0"/>
                <w:color w:val="000000"/>
                <w:sz w:val="22"/>
                <w:lang w:eastAsia="tr-TR"/>
              </w:rPr>
            </w:pPr>
          </w:p>
          <w:p w14:paraId="31CB2575" w14:textId="77777777" w:rsidR="00DB2CE5" w:rsidRPr="00886A91" w:rsidRDefault="00DB2CE5" w:rsidP="00DB2CE5">
            <w:pPr>
              <w:ind w:firstLine="0"/>
              <w:jc w:val="left"/>
              <w:rPr>
                <w:rFonts w:eastAsia="Times New Roman"/>
                <w:sz w:val="22"/>
                <w:lang w:eastAsia="tr-TR"/>
              </w:rPr>
            </w:pPr>
            <w:r w:rsidRPr="00886A91">
              <w:rPr>
                <w:rFonts w:eastAsia="Times New Roman"/>
                <w:bCs w:val="0"/>
                <w:color w:val="000000"/>
                <w:sz w:val="22"/>
                <w:lang w:eastAsia="tr-TR"/>
              </w:rPr>
              <w:t>Monosit/makrofaj</w:t>
            </w:r>
          </w:p>
        </w:tc>
        <w:tc>
          <w:tcPr>
            <w:tcW w:w="2835" w:type="dxa"/>
            <w:tcBorders>
              <w:top w:val="single" w:sz="4" w:space="0" w:color="auto"/>
              <w:bottom w:val="single" w:sz="4" w:space="0" w:color="auto"/>
            </w:tcBorders>
          </w:tcPr>
          <w:p w14:paraId="31CB2576" w14:textId="77777777" w:rsidR="00DB2CE5" w:rsidRPr="00886A91" w:rsidRDefault="00DB2CE5" w:rsidP="00DB2CE5">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r w:rsidRPr="00886A91">
              <w:rPr>
                <w:rFonts w:eastAsia="Times New Roman"/>
                <w:color w:val="000000"/>
                <w:sz w:val="22"/>
                <w:lang w:eastAsia="tr-TR"/>
              </w:rPr>
              <w:t xml:space="preserve">TNF-α, IL-1, IL-8, IFN-γ, </w:t>
            </w:r>
          </w:p>
          <w:p w14:paraId="31CB2577" w14:textId="77777777" w:rsidR="00DB2CE5" w:rsidRPr="00886A91" w:rsidRDefault="00DB2CE5" w:rsidP="00DB2CE5">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886A91">
              <w:rPr>
                <w:rFonts w:eastAsia="Times New Roman"/>
                <w:color w:val="000000"/>
                <w:sz w:val="22"/>
                <w:lang w:eastAsia="tr-TR"/>
              </w:rPr>
              <w:t>Doku faktörü, Prostonoidler, Lökotrienler, PAF, NO</w:t>
            </w:r>
          </w:p>
        </w:tc>
        <w:tc>
          <w:tcPr>
            <w:tcW w:w="1843" w:type="dxa"/>
            <w:tcBorders>
              <w:top w:val="single" w:sz="4" w:space="0" w:color="auto"/>
              <w:bottom w:val="single" w:sz="4" w:space="0" w:color="auto"/>
            </w:tcBorders>
          </w:tcPr>
          <w:p w14:paraId="31CB2578" w14:textId="77777777" w:rsidR="00DB2CE5" w:rsidRPr="00886A91" w:rsidRDefault="00DB2CE5" w:rsidP="00DB2CE5">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886A91">
              <w:rPr>
                <w:rFonts w:eastAsia="Times New Roman"/>
                <w:color w:val="000000"/>
                <w:sz w:val="22"/>
                <w:lang w:eastAsia="tr-TR"/>
              </w:rPr>
              <w:t>IL-6</w:t>
            </w:r>
            <w:r w:rsidRPr="00886A91">
              <w:rPr>
                <w:rFonts w:eastAsia="Times New Roman"/>
                <w:color w:val="000000"/>
                <w:sz w:val="22"/>
                <w:lang w:eastAsia="tr-TR"/>
              </w:rPr>
              <w:br/>
              <w:t>IL-12</w:t>
            </w:r>
          </w:p>
        </w:tc>
        <w:tc>
          <w:tcPr>
            <w:tcW w:w="2126" w:type="dxa"/>
            <w:tcBorders>
              <w:top w:val="single" w:sz="4" w:space="0" w:color="auto"/>
              <w:bottom w:val="single" w:sz="4" w:space="0" w:color="auto"/>
            </w:tcBorders>
          </w:tcPr>
          <w:p w14:paraId="31CB2579" w14:textId="77777777" w:rsidR="00DB2CE5" w:rsidRPr="00886A91" w:rsidRDefault="00DB2CE5" w:rsidP="00DB2CE5">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r w:rsidRPr="00886A91">
              <w:rPr>
                <w:rFonts w:eastAsia="Times New Roman"/>
                <w:color w:val="000000"/>
                <w:sz w:val="22"/>
                <w:lang w:eastAsia="tr-TR"/>
              </w:rPr>
              <w:t xml:space="preserve">IL-1Ra, sTNFr, </w:t>
            </w:r>
          </w:p>
          <w:p w14:paraId="31CB257A" w14:textId="77777777" w:rsidR="00DB2CE5" w:rsidRPr="00886A91" w:rsidRDefault="00DB2CE5" w:rsidP="00DB2CE5">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r w:rsidRPr="00886A91">
              <w:rPr>
                <w:rFonts w:eastAsia="Times New Roman"/>
                <w:color w:val="000000"/>
                <w:sz w:val="22"/>
                <w:lang w:eastAsia="tr-TR"/>
              </w:rPr>
              <w:t>TGF-β</w:t>
            </w:r>
          </w:p>
          <w:p w14:paraId="31CB257B" w14:textId="77777777" w:rsidR="00DB2CE5" w:rsidRPr="00886A91" w:rsidRDefault="00DB2CE5" w:rsidP="00DB2CE5">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57C" w14:textId="77777777" w:rsidR="00DB2CE5" w:rsidRPr="00886A91" w:rsidRDefault="00DB2CE5" w:rsidP="00DB2CE5">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p>
        </w:tc>
      </w:tr>
      <w:tr w:rsidR="00DB2CE5" w:rsidRPr="00654C41" w14:paraId="31CB2585" w14:textId="77777777" w:rsidTr="00886A91">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957" w:type="dxa"/>
            <w:tcBorders>
              <w:top w:val="single" w:sz="4" w:space="0" w:color="auto"/>
              <w:bottom w:val="single" w:sz="4" w:space="0" w:color="auto"/>
            </w:tcBorders>
          </w:tcPr>
          <w:p w14:paraId="31CB257E" w14:textId="77777777" w:rsidR="00DB2CE5" w:rsidRPr="00886A91" w:rsidRDefault="00DB2CE5" w:rsidP="00DB2CE5">
            <w:pPr>
              <w:ind w:firstLine="0"/>
              <w:jc w:val="left"/>
              <w:rPr>
                <w:rFonts w:eastAsia="Times New Roman"/>
                <w:sz w:val="22"/>
                <w:lang w:eastAsia="tr-TR"/>
              </w:rPr>
            </w:pPr>
            <w:r w:rsidRPr="00886A91">
              <w:rPr>
                <w:rFonts w:eastAsia="Times New Roman"/>
                <w:bCs w:val="0"/>
                <w:color w:val="000000"/>
                <w:sz w:val="22"/>
                <w:lang w:eastAsia="tr-TR"/>
              </w:rPr>
              <w:t>Nötrofiller</w:t>
            </w:r>
          </w:p>
        </w:tc>
        <w:tc>
          <w:tcPr>
            <w:tcW w:w="2835" w:type="dxa"/>
            <w:tcBorders>
              <w:top w:val="single" w:sz="4" w:space="0" w:color="auto"/>
              <w:bottom w:val="single" w:sz="4" w:space="0" w:color="auto"/>
            </w:tcBorders>
          </w:tcPr>
          <w:p w14:paraId="31CB257F"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r w:rsidRPr="00886A91">
              <w:rPr>
                <w:rFonts w:eastAsia="Times New Roman"/>
                <w:color w:val="000000"/>
                <w:sz w:val="22"/>
                <w:lang w:eastAsia="tr-TR"/>
              </w:rPr>
              <w:t>İntegrin ekspresyonu</w:t>
            </w:r>
            <w:r w:rsidRPr="00886A91">
              <w:rPr>
                <w:rFonts w:eastAsia="Times New Roman"/>
                <w:color w:val="000000"/>
                <w:sz w:val="22"/>
                <w:lang w:eastAsia="tr-TR"/>
              </w:rPr>
              <w:br/>
              <w:t>Süperoksit,</w:t>
            </w:r>
          </w:p>
          <w:p w14:paraId="31CB2580"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886A91">
              <w:rPr>
                <w:rFonts w:eastAsia="Times New Roman"/>
                <w:color w:val="000000"/>
                <w:sz w:val="22"/>
                <w:lang w:eastAsia="tr-TR"/>
              </w:rPr>
              <w:t>TNF-α, IL-1</w:t>
            </w:r>
          </w:p>
        </w:tc>
        <w:tc>
          <w:tcPr>
            <w:tcW w:w="1843" w:type="dxa"/>
            <w:tcBorders>
              <w:top w:val="single" w:sz="4" w:space="0" w:color="auto"/>
              <w:bottom w:val="single" w:sz="4" w:space="0" w:color="auto"/>
            </w:tcBorders>
          </w:tcPr>
          <w:p w14:paraId="31CB2581" w14:textId="77777777" w:rsidR="00DB2CE5" w:rsidRPr="00886A91" w:rsidRDefault="00DB2CE5" w:rsidP="00DB2CE5">
            <w:pPr>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p>
        </w:tc>
        <w:tc>
          <w:tcPr>
            <w:tcW w:w="2126" w:type="dxa"/>
            <w:tcBorders>
              <w:top w:val="single" w:sz="4" w:space="0" w:color="auto"/>
              <w:bottom w:val="single" w:sz="4" w:space="0" w:color="auto"/>
            </w:tcBorders>
          </w:tcPr>
          <w:p w14:paraId="31CB2582"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r w:rsidRPr="00886A91">
              <w:rPr>
                <w:rFonts w:eastAsia="Times New Roman"/>
                <w:color w:val="000000"/>
                <w:sz w:val="22"/>
                <w:lang w:eastAsia="tr-TR"/>
              </w:rPr>
              <w:t>BPI</w:t>
            </w:r>
            <w:r w:rsidRPr="00886A91">
              <w:rPr>
                <w:rFonts w:eastAsia="Times New Roman"/>
                <w:color w:val="000000"/>
                <w:sz w:val="22"/>
                <w:lang w:eastAsia="tr-TR"/>
              </w:rPr>
              <w:br/>
              <w:t>Defensinler</w:t>
            </w:r>
          </w:p>
          <w:p w14:paraId="31CB2583"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r w:rsidRPr="00886A91">
              <w:rPr>
                <w:rFonts w:eastAsia="Times New Roman"/>
                <w:color w:val="000000"/>
                <w:sz w:val="22"/>
                <w:lang w:eastAsia="tr-TR"/>
              </w:rPr>
              <w:t>Asikloksiasilhidrolaz</w:t>
            </w:r>
          </w:p>
          <w:p w14:paraId="31CB2584"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p>
        </w:tc>
      </w:tr>
      <w:tr w:rsidR="00DB2CE5" w:rsidRPr="00654C41" w14:paraId="31CB258D" w14:textId="77777777" w:rsidTr="00886A91">
        <w:trPr>
          <w:trHeight w:val="279"/>
        </w:trPr>
        <w:tc>
          <w:tcPr>
            <w:cnfStyle w:val="001000000000" w:firstRow="0" w:lastRow="0" w:firstColumn="1" w:lastColumn="0" w:oddVBand="0" w:evenVBand="0" w:oddHBand="0" w:evenHBand="0" w:firstRowFirstColumn="0" w:firstRowLastColumn="0" w:lastRowFirstColumn="0" w:lastRowLastColumn="0"/>
            <w:tcW w:w="1957" w:type="dxa"/>
            <w:tcBorders>
              <w:top w:val="single" w:sz="4" w:space="0" w:color="auto"/>
              <w:bottom w:val="single" w:sz="4" w:space="0" w:color="auto"/>
            </w:tcBorders>
            <w:hideMark/>
          </w:tcPr>
          <w:p w14:paraId="31CB2586" w14:textId="77777777" w:rsidR="00DB2CE5" w:rsidRPr="00886A91" w:rsidRDefault="00DB2CE5" w:rsidP="00DB2CE5">
            <w:pPr>
              <w:ind w:firstLine="0"/>
              <w:jc w:val="left"/>
              <w:rPr>
                <w:rFonts w:eastAsia="Times New Roman"/>
                <w:sz w:val="22"/>
                <w:lang w:eastAsia="tr-TR"/>
              </w:rPr>
            </w:pPr>
            <w:r w:rsidRPr="00886A91">
              <w:rPr>
                <w:rFonts w:eastAsia="Times New Roman"/>
                <w:bCs w:val="0"/>
                <w:color w:val="000000"/>
                <w:sz w:val="22"/>
                <w:lang w:eastAsia="tr-TR"/>
              </w:rPr>
              <w:t>Endotel hücresi</w:t>
            </w:r>
          </w:p>
        </w:tc>
        <w:tc>
          <w:tcPr>
            <w:tcW w:w="2835" w:type="dxa"/>
            <w:tcBorders>
              <w:top w:val="single" w:sz="4" w:space="0" w:color="auto"/>
              <w:bottom w:val="single" w:sz="4" w:space="0" w:color="auto"/>
            </w:tcBorders>
            <w:hideMark/>
          </w:tcPr>
          <w:p w14:paraId="31CB2587" w14:textId="77777777" w:rsidR="00DB2CE5" w:rsidRPr="00886A91" w:rsidRDefault="00DB2CE5" w:rsidP="00DB2CE5">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r w:rsidRPr="00886A91">
              <w:rPr>
                <w:rFonts w:eastAsia="Times New Roman"/>
                <w:color w:val="000000"/>
                <w:sz w:val="22"/>
                <w:lang w:eastAsia="tr-TR"/>
              </w:rPr>
              <w:t xml:space="preserve">Selektin, VCAM, ICAM, </w:t>
            </w:r>
          </w:p>
          <w:p w14:paraId="31CB2588" w14:textId="77777777" w:rsidR="00DB2CE5" w:rsidRPr="00886A91" w:rsidRDefault="00DB2CE5" w:rsidP="00DB2CE5">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886A91">
              <w:rPr>
                <w:rFonts w:eastAsia="Times New Roman"/>
                <w:color w:val="000000"/>
                <w:sz w:val="22"/>
                <w:lang w:eastAsia="tr-TR"/>
              </w:rPr>
              <w:t>NO, Doku faktörü</w:t>
            </w:r>
          </w:p>
        </w:tc>
        <w:tc>
          <w:tcPr>
            <w:tcW w:w="1843" w:type="dxa"/>
            <w:tcBorders>
              <w:top w:val="single" w:sz="4" w:space="0" w:color="auto"/>
              <w:bottom w:val="single" w:sz="4" w:space="0" w:color="auto"/>
            </w:tcBorders>
            <w:hideMark/>
          </w:tcPr>
          <w:p w14:paraId="31CB2589" w14:textId="77777777" w:rsidR="00DB2CE5" w:rsidRPr="00886A91" w:rsidRDefault="00DB2CE5" w:rsidP="00DB2CE5">
            <w:pPr>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p>
        </w:tc>
        <w:tc>
          <w:tcPr>
            <w:tcW w:w="2126" w:type="dxa"/>
            <w:tcBorders>
              <w:top w:val="single" w:sz="4" w:space="0" w:color="auto"/>
              <w:bottom w:val="single" w:sz="4" w:space="0" w:color="auto"/>
            </w:tcBorders>
            <w:hideMark/>
          </w:tcPr>
          <w:p w14:paraId="31CB258A" w14:textId="77777777" w:rsidR="00DB2CE5" w:rsidRPr="00886A91" w:rsidRDefault="00DB2CE5" w:rsidP="00DB2CE5">
            <w:pPr>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p>
          <w:p w14:paraId="31CB258B" w14:textId="77777777" w:rsidR="00DB2CE5" w:rsidRPr="00886A91" w:rsidRDefault="00DB2CE5" w:rsidP="00DB2CE5">
            <w:pPr>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p>
          <w:p w14:paraId="31CB258C" w14:textId="77777777" w:rsidR="00DB2CE5" w:rsidRPr="00886A91" w:rsidRDefault="00DB2CE5" w:rsidP="00DB2CE5">
            <w:pPr>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p>
        </w:tc>
      </w:tr>
      <w:tr w:rsidR="00DB2CE5" w:rsidRPr="00654C41" w14:paraId="31CB2593" w14:textId="77777777" w:rsidTr="00886A91">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957" w:type="dxa"/>
            <w:tcBorders>
              <w:top w:val="single" w:sz="4" w:space="0" w:color="auto"/>
              <w:bottom w:val="single" w:sz="4" w:space="0" w:color="auto"/>
            </w:tcBorders>
          </w:tcPr>
          <w:p w14:paraId="31CB258E" w14:textId="77777777" w:rsidR="00DB2CE5" w:rsidRPr="00886A91" w:rsidRDefault="00DB2CE5" w:rsidP="00DB2CE5">
            <w:pPr>
              <w:ind w:firstLine="0"/>
              <w:jc w:val="left"/>
              <w:rPr>
                <w:rFonts w:eastAsia="Times New Roman"/>
                <w:bCs w:val="0"/>
                <w:color w:val="000000"/>
                <w:sz w:val="22"/>
                <w:lang w:eastAsia="tr-TR"/>
              </w:rPr>
            </w:pPr>
            <w:r w:rsidRPr="00886A91">
              <w:rPr>
                <w:rFonts w:eastAsia="Times New Roman"/>
                <w:bCs w:val="0"/>
                <w:color w:val="000000"/>
                <w:sz w:val="22"/>
                <w:lang w:eastAsia="tr-TR"/>
              </w:rPr>
              <w:t>Plazma</w:t>
            </w:r>
          </w:p>
          <w:p w14:paraId="31CB258F" w14:textId="77777777" w:rsidR="00DB2CE5" w:rsidRPr="00886A91" w:rsidRDefault="00DB2CE5" w:rsidP="00DB2CE5">
            <w:pPr>
              <w:ind w:firstLine="0"/>
              <w:jc w:val="left"/>
              <w:rPr>
                <w:rFonts w:eastAsia="Times New Roman"/>
                <w:color w:val="000000"/>
                <w:sz w:val="22"/>
                <w:lang w:eastAsia="tr-TR"/>
              </w:rPr>
            </w:pPr>
            <w:r w:rsidRPr="00886A91">
              <w:rPr>
                <w:rFonts w:eastAsia="Times New Roman"/>
                <w:bCs w:val="0"/>
                <w:color w:val="000000"/>
                <w:sz w:val="22"/>
                <w:lang w:eastAsia="tr-TR"/>
              </w:rPr>
              <w:t>komponentleri</w:t>
            </w:r>
          </w:p>
        </w:tc>
        <w:tc>
          <w:tcPr>
            <w:tcW w:w="2835" w:type="dxa"/>
            <w:tcBorders>
              <w:top w:val="single" w:sz="4" w:space="0" w:color="auto"/>
              <w:bottom w:val="single" w:sz="4" w:space="0" w:color="auto"/>
            </w:tcBorders>
          </w:tcPr>
          <w:p w14:paraId="31CB2590"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886A91">
              <w:rPr>
                <w:rFonts w:eastAsia="Times New Roman"/>
                <w:color w:val="000000"/>
                <w:sz w:val="22"/>
                <w:lang w:eastAsia="tr-TR"/>
              </w:rPr>
              <w:t>Koagülasyon kaskadı, Kompleman aktivasyonu, Bradikinin</w:t>
            </w:r>
          </w:p>
        </w:tc>
        <w:tc>
          <w:tcPr>
            <w:tcW w:w="1843" w:type="dxa"/>
            <w:tcBorders>
              <w:top w:val="single" w:sz="4" w:space="0" w:color="auto"/>
              <w:bottom w:val="single" w:sz="4" w:space="0" w:color="auto"/>
            </w:tcBorders>
          </w:tcPr>
          <w:p w14:paraId="31CB2591" w14:textId="77777777" w:rsidR="00DB2CE5" w:rsidRPr="00886A91" w:rsidRDefault="00DB2CE5" w:rsidP="00DB2CE5">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886A91">
              <w:rPr>
                <w:rFonts w:eastAsia="Times New Roman"/>
                <w:color w:val="000000"/>
                <w:sz w:val="22"/>
                <w:lang w:eastAsia="tr-TR"/>
              </w:rPr>
              <w:t>CRP</w:t>
            </w:r>
            <w:r w:rsidRPr="00886A91">
              <w:rPr>
                <w:rFonts w:eastAsia="Times New Roman"/>
                <w:color w:val="000000"/>
                <w:sz w:val="22"/>
                <w:lang w:eastAsia="tr-TR"/>
              </w:rPr>
              <w:br/>
              <w:t>LBP</w:t>
            </w:r>
          </w:p>
        </w:tc>
        <w:tc>
          <w:tcPr>
            <w:tcW w:w="2126" w:type="dxa"/>
            <w:tcBorders>
              <w:top w:val="single" w:sz="4" w:space="0" w:color="auto"/>
              <w:bottom w:val="single" w:sz="4" w:space="0" w:color="auto"/>
            </w:tcBorders>
          </w:tcPr>
          <w:p w14:paraId="31CB2592" w14:textId="77777777" w:rsidR="00DB2CE5" w:rsidRPr="00886A91" w:rsidRDefault="00DB2CE5" w:rsidP="00DB2CE5">
            <w:pPr>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p>
        </w:tc>
      </w:tr>
      <w:tr w:rsidR="00DB2CE5" w:rsidRPr="00654C41" w14:paraId="31CB259A" w14:textId="77777777" w:rsidTr="00886A91">
        <w:trPr>
          <w:trHeight w:val="179"/>
        </w:trPr>
        <w:tc>
          <w:tcPr>
            <w:cnfStyle w:val="001000000000" w:firstRow="0" w:lastRow="0" w:firstColumn="1" w:lastColumn="0" w:oddVBand="0" w:evenVBand="0" w:oddHBand="0" w:evenHBand="0" w:firstRowFirstColumn="0" w:firstRowLastColumn="0" w:lastRowFirstColumn="0" w:lastRowLastColumn="0"/>
            <w:tcW w:w="1957" w:type="dxa"/>
            <w:tcBorders>
              <w:top w:val="single" w:sz="4" w:space="0" w:color="auto"/>
              <w:bottom w:val="single" w:sz="4" w:space="0" w:color="auto"/>
            </w:tcBorders>
            <w:hideMark/>
          </w:tcPr>
          <w:p w14:paraId="31CB2594" w14:textId="77777777" w:rsidR="00DB2CE5" w:rsidRPr="00886A91" w:rsidRDefault="00DB2CE5" w:rsidP="00DB2CE5">
            <w:pPr>
              <w:ind w:firstLine="0"/>
              <w:jc w:val="left"/>
              <w:rPr>
                <w:rFonts w:eastAsia="Times New Roman"/>
                <w:sz w:val="22"/>
                <w:lang w:eastAsia="tr-TR"/>
              </w:rPr>
            </w:pPr>
            <w:r w:rsidRPr="00886A91">
              <w:rPr>
                <w:rFonts w:eastAsia="Times New Roman"/>
                <w:bCs w:val="0"/>
                <w:color w:val="000000"/>
                <w:sz w:val="22"/>
                <w:lang w:eastAsia="tr-TR"/>
              </w:rPr>
              <w:t>Trombositler</w:t>
            </w:r>
          </w:p>
        </w:tc>
        <w:tc>
          <w:tcPr>
            <w:tcW w:w="2835" w:type="dxa"/>
            <w:tcBorders>
              <w:top w:val="single" w:sz="4" w:space="0" w:color="auto"/>
              <w:bottom w:val="single" w:sz="4" w:space="0" w:color="auto"/>
            </w:tcBorders>
            <w:hideMark/>
          </w:tcPr>
          <w:p w14:paraId="31CB2595" w14:textId="77777777" w:rsidR="00DB2CE5" w:rsidRPr="00886A91" w:rsidRDefault="00DB2CE5" w:rsidP="00DB2CE5">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886A91">
              <w:rPr>
                <w:rFonts w:eastAsia="Times New Roman"/>
                <w:color w:val="000000"/>
                <w:sz w:val="22"/>
                <w:lang w:eastAsia="tr-TR"/>
              </w:rPr>
              <w:t>Serotonin</w:t>
            </w:r>
            <w:r w:rsidRPr="00886A91">
              <w:rPr>
                <w:rFonts w:eastAsia="Times New Roman"/>
                <w:color w:val="000000"/>
                <w:sz w:val="22"/>
                <w:lang w:eastAsia="tr-TR"/>
              </w:rPr>
              <w:br/>
              <w:t>Prostonoidler</w:t>
            </w:r>
          </w:p>
        </w:tc>
        <w:tc>
          <w:tcPr>
            <w:tcW w:w="1843" w:type="dxa"/>
            <w:tcBorders>
              <w:top w:val="single" w:sz="4" w:space="0" w:color="auto"/>
              <w:bottom w:val="single" w:sz="4" w:space="0" w:color="auto"/>
            </w:tcBorders>
            <w:hideMark/>
          </w:tcPr>
          <w:p w14:paraId="31CB2596" w14:textId="77777777" w:rsidR="00DB2CE5" w:rsidRPr="00886A91" w:rsidRDefault="00DB2CE5" w:rsidP="00DB2CE5">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886A91">
              <w:rPr>
                <w:rFonts w:eastAsia="Times New Roman"/>
                <w:color w:val="000000"/>
                <w:sz w:val="22"/>
                <w:lang w:eastAsia="tr-TR"/>
              </w:rPr>
              <w:t>PDGF</w:t>
            </w:r>
          </w:p>
        </w:tc>
        <w:tc>
          <w:tcPr>
            <w:tcW w:w="2126" w:type="dxa"/>
            <w:tcBorders>
              <w:top w:val="single" w:sz="4" w:space="0" w:color="auto"/>
              <w:bottom w:val="single" w:sz="4" w:space="0" w:color="auto"/>
            </w:tcBorders>
            <w:hideMark/>
          </w:tcPr>
          <w:p w14:paraId="31CB2597" w14:textId="77777777" w:rsidR="00DB2CE5" w:rsidRPr="00886A91" w:rsidRDefault="00DB2CE5" w:rsidP="00DB2CE5">
            <w:pPr>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p>
          <w:p w14:paraId="31CB2598" w14:textId="77777777" w:rsidR="00DB2CE5" w:rsidRPr="00886A91" w:rsidRDefault="00DB2CE5" w:rsidP="00DB2CE5">
            <w:pPr>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p>
          <w:p w14:paraId="31CB2599" w14:textId="77777777" w:rsidR="00DB2CE5" w:rsidRPr="00886A91" w:rsidRDefault="00DB2CE5" w:rsidP="00DB2CE5">
            <w:pPr>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p>
        </w:tc>
      </w:tr>
    </w:tbl>
    <w:p w14:paraId="31CB259B" w14:textId="77777777" w:rsidR="00B1750E" w:rsidRPr="007379D2" w:rsidRDefault="00B1750E" w:rsidP="005579CD">
      <w:pPr>
        <w:ind w:firstLine="0"/>
        <w:rPr>
          <w:sz w:val="20"/>
          <w:szCs w:val="20"/>
        </w:rPr>
      </w:pPr>
      <w:r w:rsidRPr="007379D2">
        <w:rPr>
          <w:sz w:val="20"/>
          <w:szCs w:val="20"/>
          <w:lang w:eastAsia="tr-TR"/>
        </w:rPr>
        <w:t>TNF: tümör nekroz faktörü, IL: interlökin, INF: interferon, PAF: trombosit aktive eden faktör,</w:t>
      </w:r>
      <w:r w:rsidR="007379D2" w:rsidRPr="007379D2">
        <w:rPr>
          <w:rFonts w:eastAsia="Times New Roman"/>
          <w:sz w:val="20"/>
          <w:szCs w:val="20"/>
          <w:lang w:eastAsia="tr-TR"/>
        </w:rPr>
        <w:t xml:space="preserve"> </w:t>
      </w:r>
      <w:r w:rsidRPr="007379D2">
        <w:rPr>
          <w:sz w:val="20"/>
          <w:szCs w:val="20"/>
          <w:lang w:eastAsia="tr-TR"/>
        </w:rPr>
        <w:t>IL-1Ra: interlökin-1 reseptör antagonisti,</w:t>
      </w:r>
      <w:r w:rsidR="00DB2CE5">
        <w:rPr>
          <w:sz w:val="20"/>
          <w:szCs w:val="20"/>
          <w:lang w:eastAsia="tr-TR"/>
        </w:rPr>
        <w:t xml:space="preserve"> </w:t>
      </w:r>
      <w:r w:rsidR="005579CD" w:rsidRPr="007379D2">
        <w:rPr>
          <w:sz w:val="20"/>
          <w:szCs w:val="20"/>
          <w:lang w:eastAsia="tr-TR"/>
        </w:rPr>
        <w:t>NO: nitrik</w:t>
      </w:r>
      <w:r w:rsidR="00DB2CE5" w:rsidRPr="007379D2">
        <w:rPr>
          <w:sz w:val="20"/>
          <w:szCs w:val="20"/>
          <w:lang w:eastAsia="tr-TR"/>
        </w:rPr>
        <w:t xml:space="preserve"> oksit,</w:t>
      </w:r>
      <w:r w:rsidRPr="007379D2">
        <w:rPr>
          <w:sz w:val="20"/>
          <w:szCs w:val="20"/>
          <w:lang w:eastAsia="tr-TR"/>
        </w:rPr>
        <w:t xml:space="preserve"> sTNFr: solubl TNF reseptör, sIL-2r: solubl</w:t>
      </w:r>
      <w:r w:rsidR="007379D2" w:rsidRPr="007379D2">
        <w:rPr>
          <w:rFonts w:eastAsia="Times New Roman"/>
          <w:sz w:val="20"/>
          <w:szCs w:val="20"/>
          <w:lang w:eastAsia="tr-TR"/>
        </w:rPr>
        <w:t xml:space="preserve"> </w:t>
      </w:r>
      <w:r w:rsidRPr="007379D2">
        <w:rPr>
          <w:sz w:val="20"/>
          <w:szCs w:val="20"/>
          <w:lang w:eastAsia="tr-TR"/>
        </w:rPr>
        <w:t xml:space="preserve">IL-2 reseptör, </w:t>
      </w:r>
      <w:r w:rsidR="00DB2CE5" w:rsidRPr="007379D2">
        <w:rPr>
          <w:sz w:val="20"/>
          <w:szCs w:val="20"/>
          <w:lang w:eastAsia="tr-TR"/>
        </w:rPr>
        <w:t>TGF-β:</w:t>
      </w:r>
      <w:r w:rsidR="00DB2CE5" w:rsidRPr="007379D2">
        <w:rPr>
          <w:rFonts w:eastAsia="Times New Roman"/>
          <w:sz w:val="20"/>
          <w:szCs w:val="20"/>
          <w:lang w:eastAsia="tr-TR"/>
        </w:rPr>
        <w:t xml:space="preserve"> </w:t>
      </w:r>
      <w:r w:rsidR="00DB2CE5" w:rsidRPr="007379D2">
        <w:rPr>
          <w:sz w:val="20"/>
          <w:szCs w:val="20"/>
          <w:lang w:eastAsia="tr-TR"/>
        </w:rPr>
        <w:t>transforming büyüme faktörü</w:t>
      </w:r>
      <w:r w:rsidR="00DB2CE5">
        <w:rPr>
          <w:sz w:val="20"/>
          <w:szCs w:val="20"/>
          <w:lang w:eastAsia="tr-TR"/>
        </w:rPr>
        <w:t>-</w:t>
      </w:r>
      <w:r w:rsidR="00DB2CE5" w:rsidRPr="007379D2">
        <w:rPr>
          <w:sz w:val="20"/>
          <w:szCs w:val="20"/>
          <w:lang w:eastAsia="tr-TR"/>
        </w:rPr>
        <w:t>beta,</w:t>
      </w:r>
      <w:r w:rsidR="00DB2CE5">
        <w:rPr>
          <w:sz w:val="20"/>
          <w:szCs w:val="20"/>
          <w:lang w:eastAsia="tr-TR"/>
        </w:rPr>
        <w:t xml:space="preserve"> </w:t>
      </w:r>
      <w:r w:rsidRPr="007379D2">
        <w:rPr>
          <w:sz w:val="20"/>
          <w:szCs w:val="20"/>
          <w:lang w:eastAsia="tr-TR"/>
        </w:rPr>
        <w:t>PDGF: trombositten açığa çıkan büyüme faktörü, VCAM: damar hücre adhezyon</w:t>
      </w:r>
      <w:r w:rsidR="007379D2" w:rsidRPr="007379D2">
        <w:rPr>
          <w:rFonts w:eastAsia="Times New Roman"/>
          <w:sz w:val="20"/>
          <w:szCs w:val="20"/>
          <w:lang w:eastAsia="tr-TR"/>
        </w:rPr>
        <w:t xml:space="preserve"> </w:t>
      </w:r>
      <w:r w:rsidRPr="007379D2">
        <w:rPr>
          <w:sz w:val="20"/>
          <w:szCs w:val="20"/>
          <w:lang w:eastAsia="tr-TR"/>
        </w:rPr>
        <w:t>molekülü, ICAM: hücre içi adezyon molekül</w:t>
      </w:r>
      <w:r w:rsidR="007379D2" w:rsidRPr="007379D2">
        <w:rPr>
          <w:rFonts w:eastAsia="Times New Roman"/>
          <w:sz w:val="20"/>
          <w:szCs w:val="20"/>
          <w:lang w:eastAsia="tr-TR"/>
        </w:rPr>
        <w:t xml:space="preserve">ü, CRP: C-reaktif protein, LBP: </w:t>
      </w:r>
      <w:r w:rsidR="005579CD" w:rsidRPr="007379D2">
        <w:rPr>
          <w:sz w:val="20"/>
          <w:szCs w:val="20"/>
          <w:lang w:eastAsia="tr-TR"/>
        </w:rPr>
        <w:t>lipopolisakkarid</w:t>
      </w:r>
      <w:r w:rsidR="007379D2" w:rsidRPr="007379D2">
        <w:rPr>
          <w:sz w:val="20"/>
          <w:szCs w:val="20"/>
          <w:lang w:eastAsia="tr-TR"/>
        </w:rPr>
        <w:t xml:space="preserve"> </w:t>
      </w:r>
      <w:r w:rsidR="005579CD">
        <w:rPr>
          <w:sz w:val="20"/>
          <w:szCs w:val="20"/>
          <w:lang w:eastAsia="tr-TR"/>
        </w:rPr>
        <w:t xml:space="preserve">bağlayıcı protein, </w:t>
      </w:r>
      <w:r w:rsidR="005579CD" w:rsidRPr="007379D2">
        <w:rPr>
          <w:sz w:val="20"/>
          <w:szCs w:val="20"/>
          <w:lang w:eastAsia="tr-TR"/>
        </w:rPr>
        <w:t>BPI:</w:t>
      </w:r>
      <w:r w:rsidR="005579CD">
        <w:rPr>
          <w:sz w:val="20"/>
          <w:szCs w:val="20"/>
          <w:lang w:eastAsia="tr-TR"/>
        </w:rPr>
        <w:t xml:space="preserve"> </w:t>
      </w:r>
      <w:r w:rsidR="005579CD" w:rsidRPr="007379D2">
        <w:rPr>
          <w:sz w:val="20"/>
          <w:szCs w:val="20"/>
          <w:lang w:eastAsia="tr-TR"/>
        </w:rPr>
        <w:t>bakteriye</w:t>
      </w:r>
      <w:r w:rsidR="005579CD">
        <w:rPr>
          <w:sz w:val="20"/>
          <w:szCs w:val="20"/>
          <w:lang w:eastAsia="tr-TR"/>
        </w:rPr>
        <w:t>l/permeabilite arttıran protein.</w:t>
      </w:r>
    </w:p>
    <w:p w14:paraId="31CB259C" w14:textId="77777777" w:rsidR="00B1750E" w:rsidRPr="00B1750E" w:rsidRDefault="00B1750E" w:rsidP="00B1750E"/>
    <w:p w14:paraId="31CB259D" w14:textId="11127A54" w:rsidR="00C144E1" w:rsidRPr="00D925AB" w:rsidRDefault="00DB2CE5" w:rsidP="0045549B">
      <w:pPr>
        <w:rPr>
          <w:rStyle w:val="fontstyle01"/>
          <w:rFonts w:ascii="Times New Roman" w:hAnsi="Times New Roman"/>
          <w:color w:val="FF0000"/>
          <w:sz w:val="20"/>
          <w:szCs w:val="20"/>
        </w:rPr>
      </w:pPr>
      <w:r>
        <w:rPr>
          <w:rStyle w:val="fontstyle11"/>
          <w:rFonts w:ascii="Times New Roman" w:hAnsi="Times New Roman"/>
        </w:rPr>
        <w:lastRenderedPageBreak/>
        <w:t xml:space="preserve">Salınan tüm bu </w:t>
      </w:r>
      <w:r w:rsidR="00B114F0" w:rsidRPr="003656DA">
        <w:rPr>
          <w:rStyle w:val="fontstyle11"/>
          <w:rFonts w:ascii="Times New Roman" w:hAnsi="Times New Roman"/>
        </w:rPr>
        <w:t>sitokin</w:t>
      </w:r>
      <w:r>
        <w:rPr>
          <w:rStyle w:val="fontstyle11"/>
          <w:rFonts w:ascii="Times New Roman" w:hAnsi="Times New Roman"/>
        </w:rPr>
        <w:t xml:space="preserve">ler </w:t>
      </w:r>
      <w:r w:rsidR="00B114F0" w:rsidRPr="003656DA">
        <w:rPr>
          <w:rStyle w:val="fontstyle11"/>
          <w:rFonts w:ascii="Times New Roman" w:hAnsi="Times New Roman"/>
        </w:rPr>
        <w:t>belli bir</w:t>
      </w:r>
      <w:r w:rsidR="0045549B">
        <w:rPr>
          <w:rStyle w:val="fontstyle11"/>
          <w:rFonts w:ascii="Times New Roman" w:hAnsi="Times New Roman"/>
        </w:rPr>
        <w:t xml:space="preserve"> </w:t>
      </w:r>
      <w:r w:rsidR="00B114F0" w:rsidRPr="003656DA">
        <w:rPr>
          <w:rStyle w:val="fontstyle11"/>
          <w:rFonts w:ascii="Times New Roman" w:hAnsi="Times New Roman"/>
        </w:rPr>
        <w:t xml:space="preserve">düzen içerisinde </w:t>
      </w:r>
      <w:r>
        <w:rPr>
          <w:rStyle w:val="fontstyle11"/>
          <w:rFonts w:ascii="Times New Roman" w:hAnsi="Times New Roman"/>
        </w:rPr>
        <w:t>hareket ederler</w:t>
      </w:r>
      <w:r w:rsidR="00B114F0" w:rsidRPr="003656DA">
        <w:rPr>
          <w:rStyle w:val="fontstyle11"/>
          <w:rFonts w:ascii="Times New Roman" w:hAnsi="Times New Roman"/>
        </w:rPr>
        <w:t xml:space="preserve">. </w:t>
      </w:r>
      <w:r>
        <w:rPr>
          <w:rStyle w:val="fontstyle11"/>
          <w:rFonts w:ascii="Times New Roman" w:hAnsi="Times New Roman"/>
        </w:rPr>
        <w:t xml:space="preserve">Ancak bu denge </w:t>
      </w:r>
      <w:r w:rsidR="00B114F0" w:rsidRPr="003656DA">
        <w:rPr>
          <w:rStyle w:val="fontstyle11"/>
          <w:rFonts w:ascii="Times New Roman" w:hAnsi="Times New Roman"/>
        </w:rPr>
        <w:t>bozul</w:t>
      </w:r>
      <w:r>
        <w:rPr>
          <w:rStyle w:val="fontstyle11"/>
          <w:rFonts w:ascii="Times New Roman" w:hAnsi="Times New Roman"/>
        </w:rPr>
        <w:t>ursa</w:t>
      </w:r>
      <w:r w:rsidR="00B114F0" w:rsidRPr="003656DA">
        <w:rPr>
          <w:rStyle w:val="fontstyle11"/>
          <w:rFonts w:ascii="Times New Roman" w:hAnsi="Times New Roman"/>
        </w:rPr>
        <w:t xml:space="preserve"> proinflamatuvar</w:t>
      </w:r>
      <w:r w:rsidR="003051F1">
        <w:rPr>
          <w:rStyle w:val="fontstyle11"/>
          <w:rFonts w:ascii="Times New Roman" w:hAnsi="Times New Roman"/>
        </w:rPr>
        <w:t xml:space="preserve"> </w:t>
      </w:r>
      <w:r w:rsidR="00B114F0" w:rsidRPr="003656DA">
        <w:rPr>
          <w:rStyle w:val="fontstyle11"/>
          <w:rFonts w:ascii="Times New Roman" w:hAnsi="Times New Roman"/>
        </w:rPr>
        <w:t>veya antiinflamatuvar reaksiyon</w:t>
      </w:r>
      <w:r w:rsidR="00384969">
        <w:rPr>
          <w:rStyle w:val="fontstyle11"/>
          <w:rFonts w:ascii="Times New Roman" w:hAnsi="Times New Roman"/>
        </w:rPr>
        <w:t xml:space="preserve">lar artar. Artmış </w:t>
      </w:r>
      <w:r w:rsidR="008419DB">
        <w:rPr>
          <w:rStyle w:val="fontstyle11"/>
          <w:rFonts w:ascii="Times New Roman" w:hAnsi="Times New Roman"/>
        </w:rPr>
        <w:t>inflamatuar</w:t>
      </w:r>
      <w:r w:rsidR="00384969">
        <w:rPr>
          <w:rStyle w:val="fontstyle11"/>
          <w:rFonts w:ascii="Times New Roman" w:hAnsi="Times New Roman"/>
        </w:rPr>
        <w:t xml:space="preserve"> cevap s</w:t>
      </w:r>
      <w:r w:rsidR="00B114F0" w:rsidRPr="003656DA">
        <w:rPr>
          <w:rStyle w:val="fontstyle11"/>
          <w:rFonts w:ascii="Times New Roman" w:hAnsi="Times New Roman"/>
        </w:rPr>
        <w:t>onu</w:t>
      </w:r>
      <w:r w:rsidR="00384969">
        <w:rPr>
          <w:rStyle w:val="fontstyle11"/>
          <w:rFonts w:ascii="Times New Roman" w:hAnsi="Times New Roman"/>
        </w:rPr>
        <w:t>nda</w:t>
      </w:r>
      <w:r w:rsidR="00B114F0" w:rsidRPr="003656DA">
        <w:rPr>
          <w:rStyle w:val="fontstyle11"/>
          <w:rFonts w:ascii="Times New Roman" w:hAnsi="Times New Roman"/>
        </w:rPr>
        <w:t xml:space="preserve"> klinik </w:t>
      </w:r>
      <w:r w:rsidR="00384969">
        <w:rPr>
          <w:rStyle w:val="fontstyle11"/>
          <w:rFonts w:ascii="Times New Roman" w:hAnsi="Times New Roman"/>
        </w:rPr>
        <w:t>olarak sepsis t</w:t>
      </w:r>
      <w:r w:rsidR="00B114F0" w:rsidRPr="003656DA">
        <w:rPr>
          <w:rStyle w:val="fontstyle11"/>
          <w:rFonts w:ascii="Times New Roman" w:hAnsi="Times New Roman"/>
        </w:rPr>
        <w:t>ablosu ortaya çıkar</w:t>
      </w:r>
      <w:r w:rsidR="003051F1">
        <w:rPr>
          <w:rStyle w:val="fontstyle11"/>
          <w:rFonts w:ascii="Times New Roman" w:hAnsi="Times New Roman"/>
        </w:rPr>
        <w:t xml:space="preserve"> </w:t>
      </w:r>
      <w:r w:rsidR="003051F1">
        <w:rPr>
          <w:rStyle w:val="fontstyle11"/>
          <w:rFonts w:ascii="Times New Roman" w:hAnsi="Times New Roman"/>
        </w:rPr>
        <w:fldChar w:fldCharType="begin" w:fldLock="1"/>
      </w:r>
      <w:r w:rsidR="0085653B">
        <w:rPr>
          <w:rStyle w:val="fontstyle11"/>
          <w:rFonts w:ascii="Times New Roman" w:hAnsi="Times New Roman"/>
        </w:rPr>
        <w:instrText>ADDIN CSL_CITATION {"citationItems":[{"id":"ITEM-1","itemData":{"id":"ITEM-1","issued":{"date-parts":[["0"]]},"title":"Bone RC, Grodzin CJ, Balk RA. Sepsis: a new hypothesis for pathogenesis of the disease process. Chest. 1997 Jul; 112(1):235-43","type":"article-journal"},"uris":["http://www.mendeley.com/documents/?uuid=dafebeff-27e7-416b-bc3e-7d4139dc4613"]}],"mendeley":{"formattedCitation":"(36)","plainTextFormattedCitation":"(36)","previouslyFormattedCitation":"(36)"},"properties":{"noteIndex":0},"schema":"https://github.com/citation-style-language/schema/raw/master/csl-citation.json"}</w:instrText>
      </w:r>
      <w:r w:rsidR="003051F1">
        <w:rPr>
          <w:rStyle w:val="fontstyle11"/>
          <w:rFonts w:ascii="Times New Roman" w:hAnsi="Times New Roman"/>
        </w:rPr>
        <w:fldChar w:fldCharType="separate"/>
      </w:r>
      <w:r w:rsidR="0085653B" w:rsidRPr="0085653B">
        <w:rPr>
          <w:rStyle w:val="fontstyle11"/>
          <w:rFonts w:ascii="Times New Roman" w:hAnsi="Times New Roman"/>
          <w:noProof/>
        </w:rPr>
        <w:t>(36)</w:t>
      </w:r>
      <w:r w:rsidR="003051F1">
        <w:rPr>
          <w:rStyle w:val="fontstyle11"/>
          <w:rFonts w:ascii="Times New Roman" w:hAnsi="Times New Roman"/>
        </w:rPr>
        <w:fldChar w:fldCharType="end"/>
      </w:r>
      <w:r w:rsidR="00B114F0" w:rsidRPr="003656DA">
        <w:rPr>
          <w:rStyle w:val="fontstyle11"/>
          <w:rFonts w:ascii="Times New Roman" w:hAnsi="Times New Roman"/>
        </w:rPr>
        <w:t>.</w:t>
      </w:r>
      <w:r w:rsidR="003051F1">
        <w:rPr>
          <w:rStyle w:val="fontstyle11"/>
          <w:rFonts w:ascii="Times New Roman" w:hAnsi="Times New Roman"/>
        </w:rPr>
        <w:t xml:space="preserve"> </w:t>
      </w:r>
    </w:p>
    <w:p w14:paraId="6E72C7EF" w14:textId="77777777" w:rsidR="00597481" w:rsidRDefault="00597481" w:rsidP="00597481">
      <w:pPr>
        <w:rPr>
          <w:b/>
          <w:bCs/>
        </w:rPr>
      </w:pPr>
    </w:p>
    <w:p w14:paraId="25857983" w14:textId="456D6395" w:rsidR="00597481" w:rsidRPr="00627E82" w:rsidRDefault="00597481" w:rsidP="00597481">
      <w:pPr>
        <w:rPr>
          <w:shd w:val="clear" w:color="auto" w:fill="FFFFFF"/>
        </w:rPr>
      </w:pPr>
      <w:r w:rsidRPr="00AE08EC">
        <w:rPr>
          <w:b/>
          <w:bCs/>
        </w:rPr>
        <w:t xml:space="preserve">Bakteriyel </w:t>
      </w:r>
      <w:r w:rsidRPr="00AE08EC">
        <w:rPr>
          <w:b/>
          <w:bCs/>
          <w:shd w:val="clear" w:color="auto" w:fill="FFFFFF"/>
        </w:rPr>
        <w:t>translokasyon</w:t>
      </w:r>
      <w:r w:rsidRPr="00AE08EC">
        <w:rPr>
          <w:b/>
          <w:shd w:val="clear" w:color="auto" w:fill="FFFFFF"/>
        </w:rPr>
        <w:t>:</w:t>
      </w:r>
      <w:r>
        <w:rPr>
          <w:shd w:val="clear" w:color="auto" w:fill="FFFFFF"/>
        </w:rPr>
        <w:t xml:space="preserve"> Normal şartlarda bakteriler barsak lümeninden dışarı çıkarak sistemik doku ve organlarda enfeksiyonlara yol açmazlar. </w:t>
      </w:r>
      <w:r w:rsidRPr="00426146">
        <w:t>Sağlıklı bireylerde barsak</w:t>
      </w:r>
      <w:r>
        <w:t xml:space="preserve"> </w:t>
      </w:r>
      <w:r w:rsidRPr="00426146">
        <w:t xml:space="preserve">florasında yaygın olarak bulunan </w:t>
      </w:r>
      <w:r>
        <w:t>g</w:t>
      </w:r>
      <w:r w:rsidRPr="00426146">
        <w:t>ram (-) bakterilerin dola</w:t>
      </w:r>
      <w:r>
        <w:t>ş</w:t>
      </w:r>
      <w:r w:rsidRPr="00426146">
        <w:t>ıma geçi</w:t>
      </w:r>
      <w:r>
        <w:t>ş</w:t>
      </w:r>
      <w:r w:rsidRPr="00426146">
        <w:t>i, kan-barsak</w:t>
      </w:r>
      <w:r>
        <w:t xml:space="preserve"> </w:t>
      </w:r>
      <w:r w:rsidRPr="00426146">
        <w:t>bariyerinin bozulduğu durumlarda artar. Ba</w:t>
      </w:r>
      <w:r>
        <w:t>ş</w:t>
      </w:r>
      <w:r w:rsidRPr="00426146">
        <w:t>ta karaciğer yetmezliği ile birlikte görülen</w:t>
      </w:r>
      <w:r>
        <w:t xml:space="preserve"> </w:t>
      </w:r>
      <w:r w:rsidR="008419DB" w:rsidRPr="00426146">
        <w:t>retiküloendotelyal</w:t>
      </w:r>
      <w:r w:rsidRPr="00426146">
        <w:t xml:space="preserve"> sistem (RES, karaciğerde Kupffer hücreleri) bozukluklarında sistemik</w:t>
      </w:r>
      <w:r>
        <w:t xml:space="preserve"> dolaş</w:t>
      </w:r>
      <w:r w:rsidRPr="00426146">
        <w:t>ımda bakteri miktarı artar.</w:t>
      </w:r>
      <w:r>
        <w:t xml:space="preserve"> </w:t>
      </w:r>
      <w:r>
        <w:rPr>
          <w:shd w:val="clear" w:color="auto" w:fill="FFFFFF"/>
        </w:rPr>
        <w:t>Bakterilerin lümen dışına çıkarak ekstra intestinal dokulara invazyonuna </w:t>
      </w:r>
      <w:r w:rsidRPr="00354DA3">
        <w:rPr>
          <w:bCs/>
          <w:shd w:val="clear" w:color="auto" w:fill="FFFFFF"/>
        </w:rPr>
        <w:t>translokasyon</w:t>
      </w:r>
      <w:r>
        <w:rPr>
          <w:shd w:val="clear" w:color="auto" w:fill="FFFFFF"/>
        </w:rPr>
        <w:t> denir</w:t>
      </w:r>
      <w:r w:rsidR="00271271">
        <w:rPr>
          <w:shd w:val="clear" w:color="auto" w:fill="FFFFFF"/>
        </w:rPr>
        <w:t xml:space="preserve"> </w:t>
      </w:r>
      <w:r w:rsidR="00271271">
        <w:rPr>
          <w:shd w:val="clear" w:color="auto" w:fill="FFFFFF"/>
        </w:rPr>
        <w:fldChar w:fldCharType="begin" w:fldLock="1"/>
      </w:r>
      <w:r w:rsidR="0085653B">
        <w:rPr>
          <w:shd w:val="clear" w:color="auto" w:fill="FFFFFF"/>
        </w:rPr>
        <w:instrText>ADDIN CSL_CITATION {"citationItems":[{"id":"ITEM-1","itemData":{"DOI":"10.1016/j.jhep.2013.07.044","ISSN":"01688278","PMID":"23993913","author":[{"dropping-particle":"","family":"Wiest","given":"Reiner","non-dropping-particle":"","parse-names":false,"suffix":""},{"dropping-particle":"","family":"Lawson","given":"Melissa","non-dropping-particle":"","parse-names":false,"suffix":""},{"dropping-particle":"","family":"Geuking","given":"Markus","non-dropping-particle":"","parse-names":false,"suffix":""}],"container-title":"Journal of Hepatology","id":"ITEM-1","issue":"1","issued":{"date-parts":[["2014","1","1"]]},"page":"197-209","publisher":"Elsevier","title":"Pathological bacterial translocation in liver cirrhosis","type":"article","volume":"60"},"uris":["http://www.mendeley.com/documents/?uuid=b48217f6-fe74-3a99-9f26-b3ed49f3e64f"]}],"mendeley":{"formattedCitation":"(40)","plainTextFormattedCitation":"(40)","previouslyFormattedCitation":"(40)"},"properties":{"noteIndex":0},"schema":"https://github.com/citation-style-language/schema/raw/master/csl-citation.json"}</w:instrText>
      </w:r>
      <w:r w:rsidR="00271271">
        <w:rPr>
          <w:shd w:val="clear" w:color="auto" w:fill="FFFFFF"/>
        </w:rPr>
        <w:fldChar w:fldCharType="separate"/>
      </w:r>
      <w:r w:rsidR="0085653B" w:rsidRPr="0085653B">
        <w:rPr>
          <w:noProof/>
          <w:shd w:val="clear" w:color="auto" w:fill="FFFFFF"/>
        </w:rPr>
        <w:t>(40)</w:t>
      </w:r>
      <w:r w:rsidR="00271271">
        <w:rPr>
          <w:shd w:val="clear" w:color="auto" w:fill="FFFFFF"/>
        </w:rPr>
        <w:fldChar w:fldCharType="end"/>
      </w:r>
      <w:r>
        <w:rPr>
          <w:shd w:val="clear" w:color="auto" w:fill="FFFFFF"/>
        </w:rPr>
        <w:t xml:space="preserve">. </w:t>
      </w:r>
    </w:p>
    <w:p w14:paraId="31CB259E" w14:textId="32D3A08F" w:rsidR="00DB2CE5" w:rsidRDefault="00DB2CE5" w:rsidP="00FA28BF">
      <w:pPr>
        <w:spacing w:after="160"/>
        <w:ind w:firstLine="0"/>
        <w:rPr>
          <w:rStyle w:val="fontstyle11"/>
          <w:rFonts w:ascii="Times New Roman" w:hAnsi="Times New Roman"/>
        </w:rPr>
      </w:pPr>
    </w:p>
    <w:p w14:paraId="31CB259F" w14:textId="42008F28" w:rsidR="0064270E" w:rsidRPr="00354DA3" w:rsidRDefault="00D60F63" w:rsidP="00C50692">
      <w:pPr>
        <w:pStyle w:val="Balk2"/>
        <w:numPr>
          <w:ilvl w:val="0"/>
          <w:numId w:val="12"/>
        </w:numPr>
      </w:pPr>
      <w:bookmarkStart w:id="48" w:name="_Toc45265886"/>
      <w:bookmarkStart w:id="49" w:name="_Toc55727782"/>
      <w:r w:rsidRPr="00354DA3">
        <w:t>Sepsiste Belirti ve Bulgular</w:t>
      </w:r>
      <w:bookmarkEnd w:id="48"/>
      <w:bookmarkEnd w:id="49"/>
      <w:r w:rsidR="00462525" w:rsidRPr="00354DA3">
        <w:t xml:space="preserve"> </w:t>
      </w:r>
    </w:p>
    <w:p w14:paraId="31CB25A0" w14:textId="77777777" w:rsidR="00C60D43" w:rsidRPr="00C60D43" w:rsidRDefault="00C60D43" w:rsidP="00C50692">
      <w:pPr>
        <w:pStyle w:val="ListeParagraf"/>
        <w:keepNext/>
        <w:keepLines/>
        <w:numPr>
          <w:ilvl w:val="0"/>
          <w:numId w:val="4"/>
        </w:numPr>
        <w:spacing w:before="40" w:line="240" w:lineRule="auto"/>
        <w:contextualSpacing w:val="0"/>
        <w:outlineLvl w:val="2"/>
        <w:rPr>
          <w:rFonts w:eastAsiaTheme="majorEastAsia" w:cstheme="majorBidi"/>
          <w:b/>
          <w:vanish/>
          <w:szCs w:val="24"/>
        </w:rPr>
      </w:pPr>
      <w:bookmarkStart w:id="50" w:name="_Toc41803194"/>
      <w:bookmarkStart w:id="51" w:name="_Toc41808299"/>
      <w:bookmarkStart w:id="52" w:name="_Toc43775376"/>
      <w:bookmarkStart w:id="53" w:name="_Toc43775465"/>
      <w:bookmarkStart w:id="54" w:name="_Toc45265661"/>
      <w:bookmarkStart w:id="55" w:name="_Toc45265887"/>
      <w:bookmarkStart w:id="56" w:name="_Toc45497733"/>
      <w:bookmarkStart w:id="57" w:name="_Toc45497832"/>
      <w:bookmarkStart w:id="58" w:name="_Toc45497930"/>
      <w:bookmarkStart w:id="59" w:name="_Toc45498030"/>
      <w:bookmarkStart w:id="60" w:name="_Toc46048038"/>
      <w:bookmarkStart w:id="61" w:name="_Toc46154291"/>
      <w:bookmarkStart w:id="62" w:name="_Toc46495155"/>
      <w:bookmarkStart w:id="63" w:name="_Toc47882213"/>
      <w:bookmarkStart w:id="64" w:name="_Toc49815722"/>
      <w:bookmarkStart w:id="65" w:name="_Toc55727783"/>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31CB25A1" w14:textId="77777777" w:rsidR="00C60D43" w:rsidRPr="00C60D43" w:rsidRDefault="00C60D43" w:rsidP="00C50692">
      <w:pPr>
        <w:pStyle w:val="ListeParagraf"/>
        <w:keepNext/>
        <w:keepLines/>
        <w:numPr>
          <w:ilvl w:val="1"/>
          <w:numId w:val="4"/>
        </w:numPr>
        <w:spacing w:before="40" w:line="240" w:lineRule="auto"/>
        <w:contextualSpacing w:val="0"/>
        <w:outlineLvl w:val="2"/>
        <w:rPr>
          <w:rFonts w:eastAsiaTheme="majorEastAsia" w:cstheme="majorBidi"/>
          <w:b/>
          <w:vanish/>
          <w:szCs w:val="24"/>
        </w:rPr>
      </w:pPr>
      <w:bookmarkStart w:id="66" w:name="_Toc43775377"/>
      <w:bookmarkStart w:id="67" w:name="_Toc43775466"/>
      <w:bookmarkStart w:id="68" w:name="_Toc45265662"/>
      <w:bookmarkStart w:id="69" w:name="_Toc45265888"/>
      <w:bookmarkStart w:id="70" w:name="_Toc45497734"/>
      <w:bookmarkStart w:id="71" w:name="_Toc45497833"/>
      <w:bookmarkStart w:id="72" w:name="_Toc45497931"/>
      <w:bookmarkStart w:id="73" w:name="_Toc45498031"/>
      <w:bookmarkStart w:id="74" w:name="_Toc46048039"/>
      <w:bookmarkStart w:id="75" w:name="_Toc46154292"/>
      <w:bookmarkStart w:id="76" w:name="_Toc46495156"/>
      <w:bookmarkStart w:id="77" w:name="_Toc47882214"/>
      <w:bookmarkStart w:id="78" w:name="_Toc49815723"/>
      <w:bookmarkStart w:id="79" w:name="_Toc55727784"/>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31CB25A2" w14:textId="77777777" w:rsidR="00C60D43" w:rsidRPr="00C60D43" w:rsidRDefault="00C60D43" w:rsidP="00C50692">
      <w:pPr>
        <w:pStyle w:val="ListeParagraf"/>
        <w:keepNext/>
        <w:keepLines/>
        <w:numPr>
          <w:ilvl w:val="1"/>
          <w:numId w:val="4"/>
        </w:numPr>
        <w:spacing w:before="40" w:line="240" w:lineRule="auto"/>
        <w:contextualSpacing w:val="0"/>
        <w:outlineLvl w:val="2"/>
        <w:rPr>
          <w:rFonts w:eastAsiaTheme="majorEastAsia" w:cstheme="majorBidi"/>
          <w:b/>
          <w:vanish/>
          <w:szCs w:val="24"/>
        </w:rPr>
      </w:pPr>
      <w:bookmarkStart w:id="80" w:name="_Toc43775378"/>
      <w:bookmarkStart w:id="81" w:name="_Toc43775467"/>
      <w:bookmarkStart w:id="82" w:name="_Toc45265663"/>
      <w:bookmarkStart w:id="83" w:name="_Toc45265889"/>
      <w:bookmarkStart w:id="84" w:name="_Toc45497735"/>
      <w:bookmarkStart w:id="85" w:name="_Toc45497834"/>
      <w:bookmarkStart w:id="86" w:name="_Toc45497932"/>
      <w:bookmarkStart w:id="87" w:name="_Toc45498032"/>
      <w:bookmarkStart w:id="88" w:name="_Toc46048040"/>
      <w:bookmarkStart w:id="89" w:name="_Toc46154293"/>
      <w:bookmarkStart w:id="90" w:name="_Toc46495157"/>
      <w:bookmarkStart w:id="91" w:name="_Toc47882215"/>
      <w:bookmarkStart w:id="92" w:name="_Toc49815724"/>
      <w:bookmarkStart w:id="93" w:name="_Toc55727785"/>
      <w:bookmarkEnd w:id="80"/>
      <w:bookmarkEnd w:id="81"/>
      <w:bookmarkEnd w:id="82"/>
      <w:bookmarkEnd w:id="83"/>
      <w:bookmarkEnd w:id="84"/>
      <w:bookmarkEnd w:id="85"/>
      <w:bookmarkEnd w:id="86"/>
      <w:bookmarkEnd w:id="87"/>
      <w:bookmarkEnd w:id="88"/>
      <w:bookmarkEnd w:id="89"/>
      <w:bookmarkEnd w:id="90"/>
      <w:bookmarkEnd w:id="91"/>
      <w:bookmarkEnd w:id="92"/>
      <w:bookmarkEnd w:id="93"/>
    </w:p>
    <w:p w14:paraId="31CB25A3" w14:textId="7BC35D5F" w:rsidR="00857532" w:rsidRDefault="00857532" w:rsidP="00857532">
      <w:pPr>
        <w:rPr>
          <w:color w:val="000000"/>
          <w:szCs w:val="24"/>
        </w:rPr>
      </w:pPr>
      <w:r>
        <w:rPr>
          <w:color w:val="000000"/>
          <w:szCs w:val="24"/>
        </w:rPr>
        <w:t>En son 2016’da yayınlanan</w:t>
      </w:r>
      <w:r w:rsidRPr="0002450E">
        <w:rPr>
          <w:color w:val="000000"/>
          <w:szCs w:val="24"/>
        </w:rPr>
        <w:t xml:space="preserve"> </w:t>
      </w:r>
      <w:r>
        <w:rPr>
          <w:color w:val="000000"/>
          <w:szCs w:val="24"/>
        </w:rPr>
        <w:t>k</w:t>
      </w:r>
      <w:r w:rsidRPr="0002450E">
        <w:rPr>
          <w:color w:val="000000"/>
          <w:szCs w:val="24"/>
        </w:rPr>
        <w:t xml:space="preserve">ılavuza göre sepsisin </w:t>
      </w:r>
      <w:r>
        <w:rPr>
          <w:color w:val="000000"/>
          <w:szCs w:val="24"/>
        </w:rPr>
        <w:t>fizik muayene</w:t>
      </w:r>
      <w:r w:rsidRPr="0002450E">
        <w:rPr>
          <w:color w:val="000000"/>
          <w:szCs w:val="24"/>
        </w:rPr>
        <w:t xml:space="preserve"> ve klinik bulguları</w:t>
      </w:r>
      <w:r>
        <w:rPr>
          <w:color w:val="000000"/>
          <w:szCs w:val="24"/>
        </w:rPr>
        <w:t xml:space="preserve"> </w:t>
      </w:r>
      <w:r w:rsidR="008E77A9">
        <w:rPr>
          <w:color w:val="000000"/>
          <w:szCs w:val="24"/>
        </w:rPr>
        <w:t>aşağıdaki tabloya göre şu şekilde belirlenmiştir</w:t>
      </w:r>
      <w:r>
        <w:rPr>
          <w:color w:val="000000"/>
          <w:szCs w:val="24"/>
        </w:rPr>
        <w:t>:</w:t>
      </w:r>
      <w:r w:rsidRPr="0002450E">
        <w:rPr>
          <w:color w:val="000000"/>
          <w:szCs w:val="24"/>
        </w:rPr>
        <w:t xml:space="preserve"> </w:t>
      </w:r>
    </w:p>
    <w:p w14:paraId="7A4F1329" w14:textId="77777777" w:rsidR="008E77A9" w:rsidRDefault="008E77A9" w:rsidP="003A4709">
      <w:pPr>
        <w:pStyle w:val="ResimYazs"/>
      </w:pPr>
    </w:p>
    <w:p w14:paraId="31CB25A4" w14:textId="038FD76A" w:rsidR="00886A91" w:rsidRPr="003A4709" w:rsidRDefault="008E77A9" w:rsidP="003A4709">
      <w:pPr>
        <w:pStyle w:val="ResimYazs"/>
        <w:rPr>
          <w:color w:val="auto"/>
          <w:szCs w:val="24"/>
        </w:rPr>
      </w:pPr>
      <w:bookmarkStart w:id="94" w:name="_Toc49818011"/>
      <w:r w:rsidRPr="003A4709">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2</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5</w:t>
      </w:r>
      <w:r w:rsidR="002B4CBE">
        <w:rPr>
          <w:i w:val="0"/>
          <w:color w:val="auto"/>
          <w:sz w:val="24"/>
          <w:szCs w:val="24"/>
        </w:rPr>
        <w:fldChar w:fldCharType="end"/>
      </w:r>
      <w:r w:rsidRPr="003A4709">
        <w:rPr>
          <w:i w:val="0"/>
          <w:color w:val="auto"/>
          <w:sz w:val="24"/>
          <w:szCs w:val="24"/>
        </w:rPr>
        <w:t xml:space="preserve"> </w:t>
      </w:r>
      <w:r>
        <w:rPr>
          <w:i w:val="0"/>
          <w:color w:val="auto"/>
          <w:sz w:val="24"/>
          <w:szCs w:val="24"/>
        </w:rPr>
        <w:t>S</w:t>
      </w:r>
      <w:r w:rsidRPr="003A4709">
        <w:rPr>
          <w:i w:val="0"/>
          <w:color w:val="auto"/>
          <w:sz w:val="24"/>
          <w:szCs w:val="24"/>
        </w:rPr>
        <w:t xml:space="preserve">epsiste </w:t>
      </w:r>
      <w:r w:rsidR="0048467D" w:rsidRPr="003A4709">
        <w:rPr>
          <w:i w:val="0"/>
          <w:color w:val="auto"/>
          <w:sz w:val="24"/>
          <w:szCs w:val="24"/>
        </w:rPr>
        <w:t>Muayene Bulguları</w:t>
      </w:r>
      <w:bookmarkEnd w:id="94"/>
    </w:p>
    <w:tbl>
      <w:tblPr>
        <w:tblStyle w:val="DzTablo1"/>
        <w:tblW w:w="0" w:type="auto"/>
        <w:tblLook w:val="04A0" w:firstRow="1" w:lastRow="0" w:firstColumn="1" w:lastColumn="0" w:noHBand="0" w:noVBand="1"/>
      </w:tblPr>
      <w:tblGrid>
        <w:gridCol w:w="6020"/>
      </w:tblGrid>
      <w:tr w:rsidR="00DB1477" w:rsidRPr="00DB1477" w14:paraId="31CB25A6" w14:textId="77777777" w:rsidTr="00DB14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1CB25A5" w14:textId="77777777" w:rsidR="00DB1477" w:rsidRPr="00DB1477" w:rsidRDefault="00DB1477" w:rsidP="005C31FA">
            <w:pPr>
              <w:ind w:firstLine="0"/>
              <w:rPr>
                <w:b w:val="0"/>
                <w:color w:val="000000"/>
                <w:szCs w:val="24"/>
              </w:rPr>
            </w:pPr>
            <w:r w:rsidRPr="00DB1477">
              <w:rPr>
                <w:b w:val="0"/>
                <w:color w:val="000000"/>
                <w:szCs w:val="24"/>
              </w:rPr>
              <w:t>Ateş (</w:t>
            </w:r>
            <w:r w:rsidRPr="00DB1477">
              <w:rPr>
                <w:rFonts w:eastAsia="Times New Roman"/>
                <w:b w:val="0"/>
                <w:color w:val="000000"/>
                <w:szCs w:val="24"/>
                <w:lang w:eastAsia="tr-TR"/>
              </w:rPr>
              <w:t>&gt; 38,3°C veya &lt;36 ºC</w:t>
            </w:r>
            <w:r w:rsidRPr="00DB1477">
              <w:rPr>
                <w:b w:val="0"/>
                <w:color w:val="000000"/>
                <w:szCs w:val="24"/>
              </w:rPr>
              <w:t>)</w:t>
            </w:r>
          </w:p>
        </w:tc>
      </w:tr>
      <w:tr w:rsidR="00DB1477" w:rsidRPr="00DB1477" w14:paraId="31CB25A8" w14:textId="77777777" w:rsidTr="00DB1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1CB25A7" w14:textId="77777777" w:rsidR="00DB1477" w:rsidRPr="00DB1477" w:rsidRDefault="00DB1477" w:rsidP="005C31FA">
            <w:pPr>
              <w:ind w:firstLine="0"/>
              <w:rPr>
                <w:b w:val="0"/>
                <w:color w:val="000000"/>
                <w:szCs w:val="24"/>
              </w:rPr>
            </w:pPr>
            <w:r w:rsidRPr="00DB1477">
              <w:rPr>
                <w:b w:val="0"/>
                <w:color w:val="000000"/>
                <w:szCs w:val="24"/>
              </w:rPr>
              <w:t xml:space="preserve">Taşikardi (&gt;90 </w:t>
            </w:r>
            <w:r w:rsidRPr="00DB1477">
              <w:rPr>
                <w:rFonts w:eastAsia="Times New Roman"/>
                <w:b w:val="0"/>
                <w:color w:val="000000"/>
                <w:szCs w:val="24"/>
                <w:lang w:eastAsia="tr-TR"/>
              </w:rPr>
              <w:t>atım/dk</w:t>
            </w:r>
            <w:r>
              <w:rPr>
                <w:b w:val="0"/>
                <w:color w:val="000000"/>
                <w:szCs w:val="24"/>
              </w:rPr>
              <w:t>)</w:t>
            </w:r>
          </w:p>
        </w:tc>
      </w:tr>
      <w:tr w:rsidR="00DB1477" w:rsidRPr="00DB1477" w14:paraId="31CB25AA" w14:textId="77777777" w:rsidTr="00DB1477">
        <w:tc>
          <w:tcPr>
            <w:cnfStyle w:val="001000000000" w:firstRow="0" w:lastRow="0" w:firstColumn="1" w:lastColumn="0" w:oddVBand="0" w:evenVBand="0" w:oddHBand="0" w:evenHBand="0" w:firstRowFirstColumn="0" w:firstRowLastColumn="0" w:lastRowFirstColumn="0" w:lastRowLastColumn="0"/>
            <w:tcW w:w="0" w:type="auto"/>
          </w:tcPr>
          <w:p w14:paraId="31CB25A9" w14:textId="4F67316C" w:rsidR="00DB1477" w:rsidRPr="00DB1477" w:rsidRDefault="008419DB" w:rsidP="005C31FA">
            <w:pPr>
              <w:ind w:firstLine="0"/>
              <w:rPr>
                <w:rFonts w:ascii="Symbol" w:hAnsi="Symbol"/>
                <w:b w:val="0"/>
                <w:color w:val="000000"/>
                <w:szCs w:val="24"/>
              </w:rPr>
            </w:pPr>
            <w:r w:rsidRPr="00DB1477">
              <w:rPr>
                <w:b w:val="0"/>
                <w:color w:val="000000"/>
                <w:szCs w:val="24"/>
              </w:rPr>
              <w:t>Arteriel</w:t>
            </w:r>
            <w:r w:rsidR="00DB1477" w:rsidRPr="00DB1477">
              <w:rPr>
                <w:b w:val="0"/>
                <w:color w:val="000000"/>
                <w:szCs w:val="24"/>
              </w:rPr>
              <w:t xml:space="preserve"> hipotansiyon </w:t>
            </w:r>
            <w:r w:rsidR="00DB1477" w:rsidRPr="00DB1477">
              <w:rPr>
                <w:rFonts w:eastAsia="Times New Roman"/>
                <w:b w:val="0"/>
                <w:color w:val="000000"/>
                <w:szCs w:val="24"/>
                <w:lang w:eastAsia="tr-TR"/>
              </w:rPr>
              <w:t>(SKB &lt; 90 mmHg, OAB &lt; 70 mmHg)</w:t>
            </w:r>
          </w:p>
        </w:tc>
      </w:tr>
      <w:tr w:rsidR="00DB1477" w:rsidRPr="00DB1477" w14:paraId="31CB25AC" w14:textId="77777777" w:rsidTr="00DB1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1CB25AB" w14:textId="77777777" w:rsidR="00DB1477" w:rsidRPr="00DB1477" w:rsidRDefault="00DB1477" w:rsidP="005C31FA">
            <w:pPr>
              <w:ind w:firstLine="0"/>
              <w:rPr>
                <w:b w:val="0"/>
                <w:color w:val="000000"/>
                <w:szCs w:val="24"/>
              </w:rPr>
            </w:pPr>
            <w:r w:rsidRPr="00DB1477">
              <w:rPr>
                <w:b w:val="0"/>
                <w:color w:val="000000"/>
                <w:szCs w:val="24"/>
              </w:rPr>
              <w:t>B</w:t>
            </w:r>
            <w:r>
              <w:rPr>
                <w:b w:val="0"/>
                <w:color w:val="000000"/>
                <w:szCs w:val="24"/>
              </w:rPr>
              <w:t>ilinç bozukluğu</w:t>
            </w:r>
          </w:p>
        </w:tc>
      </w:tr>
      <w:tr w:rsidR="00DB1477" w:rsidRPr="00DB1477" w14:paraId="31CB25AE" w14:textId="77777777" w:rsidTr="00DB1477">
        <w:tc>
          <w:tcPr>
            <w:cnfStyle w:val="001000000000" w:firstRow="0" w:lastRow="0" w:firstColumn="1" w:lastColumn="0" w:oddVBand="0" w:evenVBand="0" w:oddHBand="0" w:evenHBand="0" w:firstRowFirstColumn="0" w:firstRowLastColumn="0" w:lastRowFirstColumn="0" w:lastRowLastColumn="0"/>
            <w:tcW w:w="0" w:type="auto"/>
          </w:tcPr>
          <w:p w14:paraId="31CB25AD" w14:textId="77777777" w:rsidR="00DB1477" w:rsidRPr="00DB1477" w:rsidRDefault="00DB1477" w:rsidP="005C31FA">
            <w:pPr>
              <w:ind w:firstLine="0"/>
              <w:rPr>
                <w:rFonts w:ascii="Symbol" w:hAnsi="Symbol"/>
                <w:b w:val="0"/>
                <w:color w:val="000000"/>
                <w:szCs w:val="24"/>
              </w:rPr>
            </w:pPr>
            <w:r w:rsidRPr="00DB1477">
              <w:rPr>
                <w:b w:val="0"/>
                <w:color w:val="000000"/>
                <w:szCs w:val="24"/>
              </w:rPr>
              <w:t>Takipne (</w:t>
            </w:r>
            <w:r w:rsidRPr="00DB1477">
              <w:rPr>
                <w:rFonts w:eastAsia="Times New Roman"/>
                <w:b w:val="0"/>
                <w:color w:val="000000"/>
                <w:szCs w:val="24"/>
                <w:lang w:eastAsia="tr-TR"/>
              </w:rPr>
              <w:t>&gt; 22 soluk/dk</w:t>
            </w:r>
            <w:r w:rsidRPr="00DB1477">
              <w:rPr>
                <w:b w:val="0"/>
                <w:color w:val="000000"/>
                <w:szCs w:val="24"/>
              </w:rPr>
              <w:t>)</w:t>
            </w:r>
          </w:p>
        </w:tc>
      </w:tr>
      <w:tr w:rsidR="00DB1477" w:rsidRPr="00DB1477" w14:paraId="31CB25B1" w14:textId="77777777" w:rsidTr="00DB1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1CB25AF" w14:textId="77777777" w:rsidR="00354DA3" w:rsidRDefault="00354DA3" w:rsidP="005C31FA">
            <w:pPr>
              <w:ind w:firstLine="0"/>
              <w:rPr>
                <w:b w:val="0"/>
                <w:color w:val="000000"/>
                <w:szCs w:val="24"/>
              </w:rPr>
            </w:pPr>
            <w:r>
              <w:rPr>
                <w:b w:val="0"/>
                <w:color w:val="000000"/>
                <w:szCs w:val="24"/>
              </w:rPr>
              <w:t>Kanama diyatezi</w:t>
            </w:r>
          </w:p>
          <w:p w14:paraId="31CB25B0" w14:textId="77777777" w:rsidR="00DB1477" w:rsidRPr="00DB1477" w:rsidRDefault="00354DA3" w:rsidP="00354DA3">
            <w:pPr>
              <w:ind w:firstLine="0"/>
              <w:rPr>
                <w:b w:val="0"/>
                <w:color w:val="FF0000"/>
                <w:szCs w:val="24"/>
              </w:rPr>
            </w:pPr>
            <w:r>
              <w:rPr>
                <w:rFonts w:eastAsia="Times New Roman"/>
                <w:b w:val="0"/>
                <w:color w:val="000000"/>
                <w:szCs w:val="24"/>
                <w:lang w:eastAsia="tr-TR"/>
              </w:rPr>
              <w:t>Belirgin ödem (</w:t>
            </w:r>
            <w:r w:rsidR="00DB1477" w:rsidRPr="00DB1477">
              <w:rPr>
                <w:rFonts w:eastAsia="Times New Roman"/>
                <w:b w:val="0"/>
                <w:color w:val="000000"/>
                <w:szCs w:val="24"/>
                <w:lang w:eastAsia="tr-TR"/>
              </w:rPr>
              <w:t>24 saatte</w:t>
            </w:r>
            <w:r>
              <w:rPr>
                <w:rFonts w:eastAsia="Times New Roman"/>
                <w:b w:val="0"/>
                <w:color w:val="000000"/>
                <w:szCs w:val="24"/>
                <w:lang w:eastAsia="tr-TR"/>
              </w:rPr>
              <w:t>, &lt;</w:t>
            </w:r>
            <w:r w:rsidRPr="00DB1477">
              <w:rPr>
                <w:rFonts w:eastAsia="Times New Roman"/>
                <w:b w:val="0"/>
                <w:color w:val="000000"/>
                <w:szCs w:val="24"/>
                <w:lang w:eastAsia="tr-TR"/>
              </w:rPr>
              <w:t>20ml/kg</w:t>
            </w:r>
            <w:r w:rsidR="00DB1477" w:rsidRPr="00DB1477">
              <w:rPr>
                <w:rFonts w:eastAsia="Times New Roman"/>
                <w:b w:val="0"/>
                <w:color w:val="000000"/>
                <w:szCs w:val="24"/>
                <w:lang w:eastAsia="tr-TR"/>
              </w:rPr>
              <w:t>)</w:t>
            </w:r>
          </w:p>
        </w:tc>
      </w:tr>
      <w:tr w:rsidR="00DB1477" w:rsidRPr="00DB1477" w14:paraId="31CB25B3" w14:textId="77777777" w:rsidTr="00DB1477">
        <w:tc>
          <w:tcPr>
            <w:cnfStyle w:val="001000000000" w:firstRow="0" w:lastRow="0" w:firstColumn="1" w:lastColumn="0" w:oddVBand="0" w:evenVBand="0" w:oddHBand="0" w:evenHBand="0" w:firstRowFirstColumn="0" w:firstRowLastColumn="0" w:lastRowFirstColumn="0" w:lastRowLastColumn="0"/>
            <w:tcW w:w="0" w:type="auto"/>
          </w:tcPr>
          <w:p w14:paraId="31CB25B2" w14:textId="77777777" w:rsidR="00DB1477" w:rsidRPr="00DB1477" w:rsidRDefault="00DB1477" w:rsidP="005C31FA">
            <w:pPr>
              <w:ind w:firstLine="0"/>
              <w:rPr>
                <w:b w:val="0"/>
              </w:rPr>
            </w:pPr>
            <w:r w:rsidRPr="00DB1477">
              <w:rPr>
                <w:rFonts w:eastAsia="Times New Roman"/>
                <w:b w:val="0"/>
                <w:color w:val="000000"/>
                <w:szCs w:val="24"/>
                <w:lang w:eastAsia="tr-TR"/>
              </w:rPr>
              <w:t>İleus (bağırsak seslerinin yokluğu)</w:t>
            </w:r>
            <w:r w:rsidRPr="00DB1477">
              <w:rPr>
                <w:b w:val="0"/>
                <w:color w:val="FF0000"/>
                <w:szCs w:val="24"/>
              </w:rPr>
              <w:t xml:space="preserve"> </w:t>
            </w:r>
          </w:p>
        </w:tc>
      </w:tr>
    </w:tbl>
    <w:p w14:paraId="31CB25B4" w14:textId="213743C9" w:rsidR="00DB1477" w:rsidRDefault="005579CD" w:rsidP="00354DA3">
      <w:pPr>
        <w:ind w:firstLine="0"/>
        <w:rPr>
          <w:sz w:val="20"/>
          <w:szCs w:val="20"/>
          <w:lang w:eastAsia="tr-TR"/>
        </w:rPr>
      </w:pPr>
      <w:r w:rsidRPr="00354DA3">
        <w:rPr>
          <w:sz w:val="20"/>
          <w:szCs w:val="20"/>
          <w:lang w:eastAsia="tr-TR"/>
        </w:rPr>
        <w:t>SKB: Sistolik</w:t>
      </w:r>
      <w:r w:rsidR="00354DA3" w:rsidRPr="00354DA3">
        <w:rPr>
          <w:sz w:val="20"/>
          <w:szCs w:val="20"/>
          <w:lang w:eastAsia="tr-TR"/>
        </w:rPr>
        <w:t xml:space="preserve"> kan basıncı, </w:t>
      </w:r>
      <w:r w:rsidRPr="00354DA3">
        <w:rPr>
          <w:sz w:val="20"/>
          <w:szCs w:val="20"/>
          <w:lang w:eastAsia="tr-TR"/>
        </w:rPr>
        <w:t>OAB: Ortalama</w:t>
      </w:r>
      <w:r w:rsidR="00354DA3" w:rsidRPr="00354DA3">
        <w:rPr>
          <w:sz w:val="20"/>
          <w:szCs w:val="20"/>
          <w:lang w:eastAsia="tr-TR"/>
        </w:rPr>
        <w:t xml:space="preserve"> arter</w:t>
      </w:r>
      <w:r w:rsidR="008419DB">
        <w:rPr>
          <w:sz w:val="20"/>
          <w:szCs w:val="20"/>
          <w:lang w:eastAsia="tr-TR"/>
        </w:rPr>
        <w:t>i</w:t>
      </w:r>
      <w:r w:rsidR="00354DA3" w:rsidRPr="00354DA3">
        <w:rPr>
          <w:sz w:val="20"/>
          <w:szCs w:val="20"/>
          <w:lang w:eastAsia="tr-TR"/>
        </w:rPr>
        <w:t>el basınç</w:t>
      </w:r>
    </w:p>
    <w:p w14:paraId="31CB25B5" w14:textId="77777777" w:rsidR="00886A91" w:rsidRDefault="00886A91" w:rsidP="00354DA3">
      <w:pPr>
        <w:ind w:firstLine="0"/>
        <w:rPr>
          <w:sz w:val="20"/>
          <w:szCs w:val="20"/>
          <w:lang w:eastAsia="tr-TR"/>
        </w:rPr>
      </w:pPr>
    </w:p>
    <w:p w14:paraId="31CB25B6" w14:textId="5591C8DF" w:rsidR="00AC13CD" w:rsidRDefault="00AC13CD" w:rsidP="00995B2D">
      <w:pPr>
        <w:rPr>
          <w:color w:val="FF0000"/>
          <w:lang w:eastAsia="tr-TR"/>
        </w:rPr>
      </w:pPr>
      <w:r w:rsidRPr="003656DA">
        <w:rPr>
          <w:lang w:eastAsia="tr-TR"/>
        </w:rPr>
        <w:t>Sepsisli hastaların çoğun</w:t>
      </w:r>
      <w:r w:rsidR="00886A91">
        <w:rPr>
          <w:lang w:eastAsia="tr-TR"/>
        </w:rPr>
        <w:t>da</w:t>
      </w:r>
      <w:r w:rsidRPr="003656DA">
        <w:rPr>
          <w:lang w:eastAsia="tr-TR"/>
        </w:rPr>
        <w:t xml:space="preserve"> vücut </w:t>
      </w:r>
      <w:r w:rsidR="00886A91">
        <w:rPr>
          <w:lang w:eastAsia="tr-TR"/>
        </w:rPr>
        <w:t>sıcaklığı</w:t>
      </w:r>
      <w:r w:rsidRPr="003656DA">
        <w:rPr>
          <w:lang w:eastAsia="tr-TR"/>
        </w:rPr>
        <w:t xml:space="preserve"> yükselir. </w:t>
      </w:r>
      <w:r w:rsidR="00886A91">
        <w:rPr>
          <w:lang w:eastAsia="tr-TR"/>
        </w:rPr>
        <w:t>Yüksek a</w:t>
      </w:r>
      <w:r w:rsidRPr="003656DA">
        <w:rPr>
          <w:lang w:eastAsia="tr-TR"/>
        </w:rPr>
        <w:t>teş</w:t>
      </w:r>
      <w:r w:rsidR="00886A91">
        <w:rPr>
          <w:lang w:eastAsia="tr-TR"/>
        </w:rPr>
        <w:t>l</w:t>
      </w:r>
      <w:r w:rsidRPr="003656DA">
        <w:rPr>
          <w:lang w:eastAsia="tr-TR"/>
        </w:rPr>
        <w:t>e b</w:t>
      </w:r>
      <w:r w:rsidR="00886A91">
        <w:rPr>
          <w:lang w:eastAsia="tr-TR"/>
        </w:rPr>
        <w:t>irlikte</w:t>
      </w:r>
      <w:r w:rsidRPr="003656DA">
        <w:rPr>
          <w:lang w:eastAsia="tr-TR"/>
        </w:rPr>
        <w:t xml:space="preserve"> titreme</w:t>
      </w:r>
      <w:r w:rsidR="00354DA3">
        <w:rPr>
          <w:lang w:eastAsia="tr-TR"/>
        </w:rPr>
        <w:t xml:space="preserve"> </w:t>
      </w:r>
      <w:r w:rsidRPr="003656DA">
        <w:rPr>
          <w:lang w:eastAsia="tr-TR"/>
        </w:rPr>
        <w:t>de</w:t>
      </w:r>
      <w:r>
        <w:rPr>
          <w:lang w:eastAsia="tr-TR"/>
        </w:rPr>
        <w:t xml:space="preserve"> </w:t>
      </w:r>
      <w:r w:rsidRPr="003656DA">
        <w:rPr>
          <w:lang w:eastAsia="tr-TR"/>
        </w:rPr>
        <w:t>gözlenir. Bazı hastalar</w:t>
      </w:r>
      <w:r w:rsidR="00886A91">
        <w:rPr>
          <w:lang w:eastAsia="tr-TR"/>
        </w:rPr>
        <w:t>ın</w:t>
      </w:r>
      <w:r w:rsidRPr="003656DA">
        <w:rPr>
          <w:lang w:eastAsia="tr-TR"/>
        </w:rPr>
        <w:t xml:space="preserve"> vücut </w:t>
      </w:r>
      <w:r w:rsidR="00886A91">
        <w:rPr>
          <w:lang w:eastAsia="tr-TR"/>
        </w:rPr>
        <w:t>sıcaklığı</w:t>
      </w:r>
      <w:r w:rsidRPr="003656DA">
        <w:rPr>
          <w:lang w:eastAsia="tr-TR"/>
        </w:rPr>
        <w:t xml:space="preserve"> normal sınırlarda olabileceği gibi</w:t>
      </w:r>
      <w:r w:rsidR="00886A91">
        <w:rPr>
          <w:lang w:eastAsia="tr-TR"/>
        </w:rPr>
        <w:t xml:space="preserve"> bazılarında</w:t>
      </w:r>
      <w:r w:rsidRPr="003656DA">
        <w:rPr>
          <w:lang w:eastAsia="tr-TR"/>
        </w:rPr>
        <w:t xml:space="preserve"> hipotermi de</w:t>
      </w:r>
      <w:r>
        <w:rPr>
          <w:lang w:eastAsia="tr-TR"/>
        </w:rPr>
        <w:t xml:space="preserve"> </w:t>
      </w:r>
      <w:r w:rsidRPr="003656DA">
        <w:rPr>
          <w:lang w:eastAsia="tr-TR"/>
        </w:rPr>
        <w:t>görülebilir. Hipotermi</w:t>
      </w:r>
      <w:r w:rsidR="00886A91">
        <w:rPr>
          <w:lang w:eastAsia="tr-TR"/>
        </w:rPr>
        <w:t xml:space="preserve"> varlığı sepsiste kötü prognozu</w:t>
      </w:r>
      <w:r w:rsidRPr="003656DA">
        <w:rPr>
          <w:lang w:eastAsia="tr-TR"/>
        </w:rPr>
        <w:t xml:space="preserve"> </w:t>
      </w:r>
      <w:r w:rsidR="00886A91">
        <w:rPr>
          <w:lang w:eastAsia="tr-TR"/>
        </w:rPr>
        <w:t>işaret etmektedir.</w:t>
      </w:r>
      <w:r>
        <w:rPr>
          <w:lang w:eastAsia="tr-TR"/>
        </w:rPr>
        <w:t xml:space="preserve"> </w:t>
      </w:r>
      <w:r w:rsidRPr="003656DA">
        <w:rPr>
          <w:lang w:eastAsia="tr-TR"/>
        </w:rPr>
        <w:t xml:space="preserve">Hipotansiyon, </w:t>
      </w:r>
      <w:r w:rsidR="00F33ADE">
        <w:rPr>
          <w:lang w:eastAsia="tr-TR"/>
        </w:rPr>
        <w:t xml:space="preserve">trombositopeni, kanama ve </w:t>
      </w:r>
      <w:r w:rsidR="00F33ADE" w:rsidRPr="003656DA">
        <w:rPr>
          <w:lang w:eastAsia="tr-TR"/>
        </w:rPr>
        <w:t>olig</w:t>
      </w:r>
      <w:r w:rsidR="00F33ADE">
        <w:rPr>
          <w:lang w:eastAsia="tr-TR"/>
        </w:rPr>
        <w:t>üri görülmesi</w:t>
      </w:r>
      <w:r w:rsidRPr="003656DA">
        <w:rPr>
          <w:lang w:eastAsia="tr-TR"/>
        </w:rPr>
        <w:t xml:space="preserve"> hastaların sepsis</w:t>
      </w:r>
      <w:r>
        <w:rPr>
          <w:lang w:eastAsia="tr-TR"/>
        </w:rPr>
        <w:t xml:space="preserve"> </w:t>
      </w:r>
      <w:r w:rsidRPr="003656DA">
        <w:rPr>
          <w:lang w:eastAsia="tr-TR"/>
        </w:rPr>
        <w:t>yönünden</w:t>
      </w:r>
      <w:r w:rsidR="00995B2D">
        <w:rPr>
          <w:lang w:eastAsia="tr-TR"/>
        </w:rPr>
        <w:t xml:space="preserve"> değerlendirilmesini gerektirir</w:t>
      </w:r>
      <w:r w:rsidR="007769A2">
        <w:rPr>
          <w:lang w:eastAsia="tr-TR"/>
        </w:rPr>
        <w:t xml:space="preserve"> </w:t>
      </w:r>
      <w:r w:rsidR="00B71F47">
        <w:rPr>
          <w:lang w:eastAsia="tr-TR"/>
        </w:rPr>
        <w:fldChar w:fldCharType="begin" w:fldLock="1"/>
      </w:r>
      <w:r w:rsidR="0085653B">
        <w:rPr>
          <w:lang w:eastAsia="tr-TR"/>
        </w:rPr>
        <w:instrText>ADDIN CSL_CITATION {"citationItems":[{"id":"ITEM-1","itemData":{"id":"ITEM-1","issued":{"date-parts":[["0"]]},"title":"Harris RL, Musher K, Bloom K et al. Manifestations of sepsis. Archives of Internal Medicine 1987; 147(11): 1895-1906.","type":"article-journal"},"uris":["http://www.mendeley.com/documents/?uuid=fd6a6736-b15c-401a-af4c-c73839ced9c4"]}],"mendeley":{"formattedCitation":"(31)","plainTextFormattedCitation":"(31)","previouslyFormattedCitation":"(31)"},"properties":{"noteIndex":0},"schema":"https://github.com/citation-style-language/schema/raw/master/csl-citation.json"}</w:instrText>
      </w:r>
      <w:r w:rsidR="00B71F47">
        <w:rPr>
          <w:lang w:eastAsia="tr-TR"/>
        </w:rPr>
        <w:fldChar w:fldCharType="separate"/>
      </w:r>
      <w:r w:rsidR="0085653B" w:rsidRPr="0085653B">
        <w:rPr>
          <w:noProof/>
          <w:lang w:eastAsia="tr-TR"/>
        </w:rPr>
        <w:t>(31)</w:t>
      </w:r>
      <w:r w:rsidR="00B71F47">
        <w:rPr>
          <w:lang w:eastAsia="tr-TR"/>
        </w:rPr>
        <w:fldChar w:fldCharType="end"/>
      </w:r>
      <w:r w:rsidR="00995B2D">
        <w:rPr>
          <w:lang w:eastAsia="tr-TR"/>
        </w:rPr>
        <w:t>.</w:t>
      </w:r>
      <w:r w:rsidRPr="00AC13CD">
        <w:rPr>
          <w:color w:val="FF0000"/>
          <w:lang w:eastAsia="tr-TR"/>
        </w:rPr>
        <w:t xml:space="preserve"> </w:t>
      </w:r>
    </w:p>
    <w:p w14:paraId="31CB25B7" w14:textId="3535C1F8" w:rsidR="00CB5982" w:rsidRDefault="00AC13CD" w:rsidP="00CB5982">
      <w:pPr>
        <w:rPr>
          <w:lang w:eastAsia="tr-TR"/>
        </w:rPr>
      </w:pPr>
      <w:r w:rsidRPr="003656DA">
        <w:rPr>
          <w:lang w:eastAsia="tr-TR"/>
        </w:rPr>
        <w:t xml:space="preserve">Hiperventilasyon, sepsisin </w:t>
      </w:r>
      <w:r w:rsidR="00F33ADE">
        <w:rPr>
          <w:lang w:eastAsia="tr-TR"/>
        </w:rPr>
        <w:t>erken belirtilerinden biridir.</w:t>
      </w:r>
      <w:r w:rsidRPr="003656DA">
        <w:rPr>
          <w:lang w:eastAsia="tr-TR"/>
        </w:rPr>
        <w:t xml:space="preserve"> Ateş, titreme ve diğer belirtiler</w:t>
      </w:r>
      <w:r>
        <w:rPr>
          <w:lang w:eastAsia="tr-TR"/>
        </w:rPr>
        <w:t xml:space="preserve"> </w:t>
      </w:r>
      <w:r w:rsidRPr="003656DA">
        <w:rPr>
          <w:lang w:eastAsia="tr-TR"/>
        </w:rPr>
        <w:t xml:space="preserve">daha sonra gelişebilir. Yoğun bakım </w:t>
      </w:r>
      <w:r w:rsidR="00F33ADE">
        <w:rPr>
          <w:lang w:eastAsia="tr-TR"/>
        </w:rPr>
        <w:t xml:space="preserve">hastalarında </w:t>
      </w:r>
      <w:r w:rsidRPr="003656DA">
        <w:rPr>
          <w:lang w:eastAsia="tr-TR"/>
        </w:rPr>
        <w:t xml:space="preserve">hiperventilasyon ve respiratuvar alkaloz </w:t>
      </w:r>
      <w:r w:rsidR="00CB5982" w:rsidRPr="003656DA">
        <w:rPr>
          <w:lang w:eastAsia="tr-TR"/>
        </w:rPr>
        <w:t>(</w:t>
      </w:r>
      <w:r w:rsidR="008419DB" w:rsidRPr="003656DA">
        <w:rPr>
          <w:lang w:eastAsia="tr-TR"/>
        </w:rPr>
        <w:t>arteriel</w:t>
      </w:r>
      <w:r w:rsidR="00CB5982" w:rsidRPr="003656DA">
        <w:rPr>
          <w:lang w:eastAsia="tr-TR"/>
        </w:rPr>
        <w:t xml:space="preserve"> CO2 basıncı&lt;30 mmHg)</w:t>
      </w:r>
      <w:r w:rsidR="00CB5982">
        <w:rPr>
          <w:lang w:eastAsia="tr-TR"/>
        </w:rPr>
        <w:t xml:space="preserve"> </w:t>
      </w:r>
      <w:r w:rsidRPr="003656DA">
        <w:rPr>
          <w:lang w:eastAsia="tr-TR"/>
        </w:rPr>
        <w:t>gözlenmesi sepsisi ilk planda düşündürmelidir.</w:t>
      </w:r>
      <w:r w:rsidR="00CB5982">
        <w:rPr>
          <w:lang w:eastAsia="tr-TR"/>
        </w:rPr>
        <w:t xml:space="preserve"> </w:t>
      </w:r>
      <w:r w:rsidRPr="003656DA">
        <w:rPr>
          <w:lang w:eastAsia="tr-TR"/>
        </w:rPr>
        <w:t xml:space="preserve">Santral sinir sistemi tutulumu olmaksızın mental değişikliklerin </w:t>
      </w:r>
      <w:r w:rsidR="005579CD" w:rsidRPr="003656DA">
        <w:rPr>
          <w:lang w:eastAsia="tr-TR"/>
        </w:rPr>
        <w:t xml:space="preserve">olması </w:t>
      </w:r>
      <w:r w:rsidR="005579CD">
        <w:rPr>
          <w:lang w:eastAsia="tr-TR"/>
        </w:rPr>
        <w:lastRenderedPageBreak/>
        <w:t>da</w:t>
      </w:r>
      <w:r w:rsidR="00F33ADE">
        <w:rPr>
          <w:lang w:eastAsia="tr-TR"/>
        </w:rPr>
        <w:t xml:space="preserve"> </w:t>
      </w:r>
      <w:r w:rsidRPr="003656DA">
        <w:rPr>
          <w:lang w:eastAsia="tr-TR"/>
        </w:rPr>
        <w:t>sepsiste önemli</w:t>
      </w:r>
      <w:r w:rsidR="00CB5982">
        <w:rPr>
          <w:lang w:eastAsia="tr-TR"/>
        </w:rPr>
        <w:t xml:space="preserve"> </w:t>
      </w:r>
      <w:r w:rsidRPr="003656DA">
        <w:rPr>
          <w:lang w:eastAsia="tr-TR"/>
        </w:rPr>
        <w:t xml:space="preserve">bir bulgudur. </w:t>
      </w:r>
      <w:r w:rsidR="008419DB" w:rsidRPr="003656DA">
        <w:rPr>
          <w:lang w:eastAsia="tr-TR"/>
        </w:rPr>
        <w:t>Sepsiste</w:t>
      </w:r>
      <w:r w:rsidRPr="003656DA">
        <w:rPr>
          <w:lang w:eastAsia="tr-TR"/>
        </w:rPr>
        <w:t xml:space="preserve"> %9-71 oranında ensefalopati tablosu gelişebilmektedir</w:t>
      </w:r>
      <w:r w:rsidR="00995B2D">
        <w:rPr>
          <w:lang w:eastAsia="tr-TR"/>
        </w:rPr>
        <w:t xml:space="preserve"> </w:t>
      </w:r>
      <w:r w:rsidR="00995B2D">
        <w:rPr>
          <w:lang w:eastAsia="tr-TR"/>
        </w:rPr>
        <w:fldChar w:fldCharType="begin" w:fldLock="1"/>
      </w:r>
      <w:r w:rsidR="0085653B">
        <w:rPr>
          <w:lang w:eastAsia="tr-TR"/>
        </w:rPr>
        <w:instrText>ADDIN CSL_CITATION {"citationItems":[{"id":"ITEM-1","itemData":{"DOI":"10.4103/0028-3886.227299","ISSN":"0028-3886","abstract":"Sepsis is a leading cause of death in medical and surgical intensive care units (ICUs). Disturbance of consciousness of varying severity is an early warning sign of developing sepsis in the majority of cases. Sepsis-associated encephalopathy (SAE) is the most frequent type of encephalopathy in the ICU and is defined as a state of diffuse cerebral dysfunction caused by the inflammatory response of the body to various infections, where the inflammatory process does not affect the central nervous system (CNS) directly and the primary symptom is a disturbed level of consciousness. The aim of this comprehensive review was to collect the latest scientific knowledge regarding the epidemiology, clinical aspects, pathogenesis, diagnosis, and possible prevention strategies related to SAE.","author":[{"dropping-particle":"","family":"Molnar","given":"Levente","non-dropping-particle":"","parse-names":false,"suffix":""},{"dropping-particle":"","family":"Fülesdi","given":"Béla","non-dropping-particle":"","parse-names":false,"suffix":""},{"dropping-particle":"","family":"Németh","given":"Norbert","non-dropping-particle":"","parse-names":false,"suffix":""},{"dropping-particle":"","family":"Molnár","given":"Csilla","non-dropping-particle":"","parse-names":false,"suffix":""}],"container-title":"Neurology India","id":"ITEM-1","issue":"2","issued":{"date-parts":[["2018","3","1"]]},"page":"352","publisher":"Medknow Publications","title":"Sepsis-associated encephalopathy: A review of literature","type":"article-journal","volume":"66"},"uris":["http://www.mendeley.com/documents/?uuid=2b6eee59-b13f-3553-aa6a-603424a2692a"]}],"mendeley":{"formattedCitation":"(41)","plainTextFormattedCitation":"(41)","previouslyFormattedCitation":"(41)"},"properties":{"noteIndex":0},"schema":"https://github.com/citation-style-language/schema/raw/master/csl-citation.json"}</w:instrText>
      </w:r>
      <w:r w:rsidR="00995B2D">
        <w:rPr>
          <w:lang w:eastAsia="tr-TR"/>
        </w:rPr>
        <w:fldChar w:fldCharType="separate"/>
      </w:r>
      <w:r w:rsidR="0085653B" w:rsidRPr="0085653B">
        <w:rPr>
          <w:noProof/>
          <w:lang w:eastAsia="tr-TR"/>
        </w:rPr>
        <w:t>(41)</w:t>
      </w:r>
      <w:r w:rsidR="00995B2D">
        <w:rPr>
          <w:lang w:eastAsia="tr-TR"/>
        </w:rPr>
        <w:fldChar w:fldCharType="end"/>
      </w:r>
      <w:r w:rsidRPr="003656DA">
        <w:rPr>
          <w:lang w:eastAsia="tr-TR"/>
        </w:rPr>
        <w:t>.</w:t>
      </w:r>
    </w:p>
    <w:p w14:paraId="31CB25B8" w14:textId="77777777" w:rsidR="00CB5982" w:rsidRDefault="00857532" w:rsidP="00CB5982">
      <w:pPr>
        <w:rPr>
          <w:lang w:eastAsia="tr-TR"/>
        </w:rPr>
      </w:pPr>
      <w:r w:rsidRPr="003656DA">
        <w:rPr>
          <w:lang w:eastAsia="tr-TR"/>
        </w:rPr>
        <w:t xml:space="preserve">Sepsiste </w:t>
      </w:r>
      <w:r w:rsidR="00F33ADE">
        <w:rPr>
          <w:lang w:eastAsia="tr-TR"/>
        </w:rPr>
        <w:t xml:space="preserve">diğer </w:t>
      </w:r>
      <w:r w:rsidRPr="003656DA">
        <w:rPr>
          <w:lang w:eastAsia="tr-TR"/>
        </w:rPr>
        <w:t xml:space="preserve">görülen </w:t>
      </w:r>
      <w:r w:rsidR="00F33ADE">
        <w:rPr>
          <w:lang w:eastAsia="tr-TR"/>
        </w:rPr>
        <w:t xml:space="preserve">önemli </w:t>
      </w:r>
      <w:r w:rsidRPr="003656DA">
        <w:rPr>
          <w:lang w:eastAsia="tr-TR"/>
        </w:rPr>
        <w:t>komplikasyonlardan biri de organ yetmezlikleridir.</w:t>
      </w:r>
      <w:r w:rsidR="00354DA3">
        <w:rPr>
          <w:lang w:eastAsia="tr-TR"/>
        </w:rPr>
        <w:t xml:space="preserve"> </w:t>
      </w:r>
      <w:r w:rsidR="00F33ADE">
        <w:rPr>
          <w:lang w:eastAsia="tr-TR"/>
        </w:rPr>
        <w:t>Hemen her organ veya sistem ye</w:t>
      </w:r>
      <w:r w:rsidRPr="003656DA">
        <w:rPr>
          <w:lang w:eastAsia="tr-TR"/>
        </w:rPr>
        <w:t>tmezli</w:t>
      </w:r>
      <w:r w:rsidR="00F33ADE">
        <w:rPr>
          <w:lang w:eastAsia="tr-TR"/>
        </w:rPr>
        <w:t>ği görülebilir</w:t>
      </w:r>
      <w:r w:rsidRPr="003656DA">
        <w:rPr>
          <w:lang w:eastAsia="tr-TR"/>
        </w:rPr>
        <w:t>; kardiyovasküler sistem, akciğerler, böbrekler,</w:t>
      </w:r>
      <w:r>
        <w:rPr>
          <w:lang w:eastAsia="tr-TR"/>
        </w:rPr>
        <w:t xml:space="preserve"> </w:t>
      </w:r>
      <w:r w:rsidRPr="003656DA">
        <w:rPr>
          <w:lang w:eastAsia="tr-TR"/>
        </w:rPr>
        <w:t>karaciğer, pankreas, gastrointestinal sistem ve santral sinir sistemi. Bunlar</w:t>
      </w:r>
      <w:r w:rsidR="00F33ADE">
        <w:rPr>
          <w:lang w:eastAsia="tr-TR"/>
        </w:rPr>
        <w:t>la birlikte m</w:t>
      </w:r>
      <w:r w:rsidR="00C56F2F">
        <w:rPr>
          <w:lang w:eastAsia="tr-TR"/>
        </w:rPr>
        <w:t>etabolik bozukluklar, koagü</w:t>
      </w:r>
      <w:r w:rsidRPr="003656DA">
        <w:rPr>
          <w:lang w:eastAsia="tr-TR"/>
        </w:rPr>
        <w:t>lasyon sist</w:t>
      </w:r>
      <w:r w:rsidR="00995B2D">
        <w:rPr>
          <w:lang w:eastAsia="tr-TR"/>
        </w:rPr>
        <w:t xml:space="preserve">emi bozuklukları da görülebilir. </w:t>
      </w:r>
    </w:p>
    <w:p w14:paraId="31CB25B9" w14:textId="77777777" w:rsidR="00857532" w:rsidRDefault="00F33ADE" w:rsidP="00CB5982">
      <w:pPr>
        <w:rPr>
          <w:lang w:eastAsia="tr-TR"/>
        </w:rPr>
      </w:pPr>
      <w:r>
        <w:rPr>
          <w:lang w:eastAsia="tr-TR"/>
        </w:rPr>
        <w:t xml:space="preserve">Altta yatan </w:t>
      </w:r>
      <w:r w:rsidR="005A0FF4">
        <w:rPr>
          <w:lang w:eastAsia="tr-TR"/>
        </w:rPr>
        <w:t>h</w:t>
      </w:r>
      <w:r w:rsidR="005A0FF4" w:rsidRPr="003656DA">
        <w:rPr>
          <w:lang w:eastAsia="tr-TR"/>
        </w:rPr>
        <w:t>epatobili</w:t>
      </w:r>
      <w:r w:rsidR="005A0FF4">
        <w:rPr>
          <w:lang w:eastAsia="tr-TR"/>
        </w:rPr>
        <w:t>e</w:t>
      </w:r>
      <w:r w:rsidR="005A0FF4" w:rsidRPr="003656DA">
        <w:rPr>
          <w:lang w:eastAsia="tr-TR"/>
        </w:rPr>
        <w:t>r</w:t>
      </w:r>
      <w:r w:rsidR="00857532" w:rsidRPr="003656DA">
        <w:rPr>
          <w:lang w:eastAsia="tr-TR"/>
        </w:rPr>
        <w:t xml:space="preserve"> </w:t>
      </w:r>
      <w:r>
        <w:rPr>
          <w:lang w:eastAsia="tr-TR"/>
        </w:rPr>
        <w:t xml:space="preserve">bir </w:t>
      </w:r>
      <w:r w:rsidR="00857532" w:rsidRPr="003656DA">
        <w:rPr>
          <w:lang w:eastAsia="tr-TR"/>
        </w:rPr>
        <w:t>hastalı</w:t>
      </w:r>
      <w:r>
        <w:rPr>
          <w:lang w:eastAsia="tr-TR"/>
        </w:rPr>
        <w:t>k olmaksızın sarılık gelişebilir.</w:t>
      </w:r>
      <w:r w:rsidR="00857532" w:rsidRPr="003656DA">
        <w:rPr>
          <w:lang w:eastAsia="tr-TR"/>
        </w:rPr>
        <w:t xml:space="preserve"> Direkt bilirübin artışı ile beraber</w:t>
      </w:r>
      <w:r w:rsidR="00857532">
        <w:rPr>
          <w:lang w:eastAsia="tr-TR"/>
        </w:rPr>
        <w:t xml:space="preserve"> </w:t>
      </w:r>
      <w:r>
        <w:rPr>
          <w:lang w:eastAsia="tr-TR"/>
        </w:rPr>
        <w:t>ALP</w:t>
      </w:r>
      <w:r w:rsidR="00857532" w:rsidRPr="003656DA">
        <w:rPr>
          <w:lang w:eastAsia="tr-TR"/>
        </w:rPr>
        <w:t xml:space="preserve"> ve transami</w:t>
      </w:r>
      <w:r>
        <w:rPr>
          <w:lang w:eastAsia="tr-TR"/>
        </w:rPr>
        <w:t>naz seviyeleri de</w:t>
      </w:r>
      <w:r w:rsidR="00995B2D">
        <w:rPr>
          <w:lang w:eastAsia="tr-TR"/>
        </w:rPr>
        <w:t xml:space="preserve"> art</w:t>
      </w:r>
      <w:r>
        <w:rPr>
          <w:lang w:eastAsia="tr-TR"/>
        </w:rPr>
        <w:t>ar</w:t>
      </w:r>
      <w:r w:rsidR="00857532">
        <w:rPr>
          <w:lang w:eastAsia="tr-TR"/>
        </w:rPr>
        <w:t xml:space="preserve">. </w:t>
      </w:r>
    </w:p>
    <w:p w14:paraId="31CB25BA" w14:textId="3C659428" w:rsidR="00E80D14" w:rsidRDefault="00F33ADE" w:rsidP="00CB5982">
      <w:r>
        <w:t>B</w:t>
      </w:r>
      <w:r w:rsidR="00E80D14" w:rsidRPr="003656DA">
        <w:t>akteriye</w:t>
      </w:r>
      <w:r>
        <w:t>l antijenler sepsiste,</w:t>
      </w:r>
      <w:r w:rsidR="00E80D14" w:rsidRPr="003656DA">
        <w:t xml:space="preserve"> intrinsik pıhtılaşma yolunu aktive eder</w:t>
      </w:r>
      <w:r>
        <w:t>ek</w:t>
      </w:r>
      <w:r w:rsidR="00E80D14" w:rsidRPr="003656DA">
        <w:t xml:space="preserve"> fibrinolitik sistemi</w:t>
      </w:r>
      <w:r w:rsidR="00E80D14">
        <w:t xml:space="preserve"> </w:t>
      </w:r>
      <w:r>
        <w:t xml:space="preserve">aktifleştirir. </w:t>
      </w:r>
      <w:r w:rsidR="00CB5982" w:rsidRPr="00CB5982">
        <w:t>DİK</w:t>
      </w:r>
      <w:r w:rsidR="00EE69CB">
        <w:t>’in</w:t>
      </w:r>
      <w:r>
        <w:t xml:space="preserve"> en sık nedeni sepsistir.</w:t>
      </w:r>
      <w:r w:rsidR="00E80D14" w:rsidRPr="003656DA">
        <w:t xml:space="preserve"> </w:t>
      </w:r>
    </w:p>
    <w:p w14:paraId="31CB25BC" w14:textId="7A8D5F37" w:rsidR="00084E0A" w:rsidRDefault="00E80D14" w:rsidP="003A4709">
      <w:pPr>
        <w:rPr>
          <w:iCs/>
          <w:color w:val="000000" w:themeColor="text1"/>
          <w:szCs w:val="24"/>
          <w:highlight w:val="yellow"/>
        </w:rPr>
      </w:pPr>
      <w:r w:rsidRPr="003656DA">
        <w:t>Deri ve</w:t>
      </w:r>
      <w:r>
        <w:t xml:space="preserve"> </w:t>
      </w:r>
      <w:r w:rsidRPr="003656DA">
        <w:t>mukozalarda pe</w:t>
      </w:r>
      <w:r w:rsidR="0007243D">
        <w:t xml:space="preserve">teşi, purpura, </w:t>
      </w:r>
      <w:r w:rsidR="00F33ADE">
        <w:t>hemorajik büller</w:t>
      </w:r>
      <w:r w:rsidR="0007243D">
        <w:t>,</w:t>
      </w:r>
      <w:r w:rsidR="00F33ADE">
        <w:t xml:space="preserve"> </w:t>
      </w:r>
      <w:r w:rsidR="0007243D">
        <w:t>periferik siy</w:t>
      </w:r>
      <w:r w:rsidR="005A0FF4">
        <w:t>a</w:t>
      </w:r>
      <w:r w:rsidR="0007243D">
        <w:t>noz</w:t>
      </w:r>
      <w:r w:rsidRPr="003656DA">
        <w:t xml:space="preserve"> </w:t>
      </w:r>
      <w:r w:rsidR="0007243D">
        <w:t xml:space="preserve">ve gangrenler </w:t>
      </w:r>
      <w:r w:rsidRPr="003656DA">
        <w:t>görülebilir.</w:t>
      </w:r>
      <w:r>
        <w:t xml:space="preserve"> </w:t>
      </w:r>
      <w:r w:rsidRPr="003656DA">
        <w:t xml:space="preserve">Cerrahi </w:t>
      </w:r>
      <w:r w:rsidR="0007243D">
        <w:t>alan y</w:t>
      </w:r>
      <w:r w:rsidRPr="003656DA">
        <w:t xml:space="preserve">erinden </w:t>
      </w:r>
      <w:r w:rsidR="0007243D">
        <w:t xml:space="preserve">ve </w:t>
      </w:r>
      <w:r w:rsidR="005A0FF4">
        <w:t>enjeksiyonlardan</w:t>
      </w:r>
      <w:r w:rsidR="0007243D">
        <w:t xml:space="preserve"> sonra </w:t>
      </w:r>
      <w:r w:rsidRPr="003656DA">
        <w:t>kanama,</w:t>
      </w:r>
      <w:r w:rsidR="0007243D">
        <w:t xml:space="preserve"> sızıntı, deri altı hematom </w:t>
      </w:r>
      <w:r w:rsidR="00CB5982">
        <w:t>sık görülür.</w:t>
      </w:r>
      <w:r w:rsidRPr="003656DA">
        <w:t xml:space="preserve"> D</w:t>
      </w:r>
      <w:r w:rsidR="00CB5982">
        <w:t>İ</w:t>
      </w:r>
      <w:r w:rsidRPr="003656DA">
        <w:t>K</w:t>
      </w:r>
      <w:r w:rsidR="00CB5982">
        <w:t>,</w:t>
      </w:r>
      <w:r w:rsidRPr="003656DA">
        <w:t xml:space="preserve"> hem gram negatif hem de gram pozitif</w:t>
      </w:r>
      <w:r w:rsidR="0007243D">
        <w:t xml:space="preserve"> </w:t>
      </w:r>
      <w:r w:rsidRPr="003656DA">
        <w:t>bakteriyel sepsislerde görülmekle birlikte, gram negatif sepsislerde daha yaygın</w:t>
      </w:r>
      <w:r w:rsidR="0007243D">
        <w:t>dır.</w:t>
      </w:r>
      <w:r>
        <w:t xml:space="preserve"> </w:t>
      </w:r>
      <w:r w:rsidR="008E77A9">
        <w:t>Sepsiste görülen primer ve sekonder bulgular alttaki tabloda özetlenmiştir.</w:t>
      </w:r>
    </w:p>
    <w:p w14:paraId="2A9CCCC1" w14:textId="77777777" w:rsidR="008E77A9" w:rsidRDefault="008E77A9" w:rsidP="003A4709">
      <w:pPr>
        <w:rPr>
          <w:iCs/>
          <w:color w:val="000000" w:themeColor="text1"/>
          <w:szCs w:val="24"/>
          <w:highlight w:val="yellow"/>
        </w:rPr>
      </w:pPr>
    </w:p>
    <w:p w14:paraId="31CB25BD" w14:textId="2E540790" w:rsidR="00B6405B" w:rsidRDefault="00857532" w:rsidP="00857532">
      <w:pPr>
        <w:pStyle w:val="ResimYazs"/>
        <w:rPr>
          <w:i w:val="0"/>
          <w:color w:val="000000" w:themeColor="text1"/>
          <w:sz w:val="24"/>
          <w:szCs w:val="24"/>
        </w:rPr>
      </w:pPr>
      <w:bookmarkStart w:id="95" w:name="_Toc45383390"/>
      <w:bookmarkStart w:id="96" w:name="_Toc49818012"/>
      <w:r w:rsidRPr="009F195B">
        <w:rPr>
          <w:i w:val="0"/>
          <w:color w:val="000000" w:themeColor="text1"/>
          <w:sz w:val="24"/>
          <w:szCs w:val="24"/>
        </w:rPr>
        <w:t xml:space="preserve">Tablo </w:t>
      </w:r>
      <w:r w:rsidR="002B4CBE">
        <w:rPr>
          <w:i w:val="0"/>
          <w:color w:val="000000" w:themeColor="text1"/>
          <w:sz w:val="24"/>
          <w:szCs w:val="24"/>
        </w:rPr>
        <w:fldChar w:fldCharType="begin"/>
      </w:r>
      <w:r w:rsidR="002B4CBE">
        <w:rPr>
          <w:i w:val="0"/>
          <w:color w:val="000000" w:themeColor="text1"/>
          <w:sz w:val="24"/>
          <w:szCs w:val="24"/>
        </w:rPr>
        <w:instrText xml:space="preserve"> STYLEREF 1 \s </w:instrText>
      </w:r>
      <w:r w:rsidR="002B4CBE">
        <w:rPr>
          <w:i w:val="0"/>
          <w:color w:val="000000" w:themeColor="text1"/>
          <w:sz w:val="24"/>
          <w:szCs w:val="24"/>
        </w:rPr>
        <w:fldChar w:fldCharType="separate"/>
      </w:r>
      <w:r w:rsidR="00063441">
        <w:rPr>
          <w:i w:val="0"/>
          <w:noProof/>
          <w:color w:val="000000" w:themeColor="text1"/>
          <w:sz w:val="24"/>
          <w:szCs w:val="24"/>
        </w:rPr>
        <w:t>2</w:t>
      </w:r>
      <w:r w:rsidR="002B4CBE">
        <w:rPr>
          <w:i w:val="0"/>
          <w:color w:val="000000" w:themeColor="text1"/>
          <w:sz w:val="24"/>
          <w:szCs w:val="24"/>
        </w:rPr>
        <w:fldChar w:fldCharType="end"/>
      </w:r>
      <w:r w:rsidR="002B4CBE">
        <w:rPr>
          <w:i w:val="0"/>
          <w:color w:val="000000" w:themeColor="text1"/>
          <w:sz w:val="24"/>
          <w:szCs w:val="24"/>
        </w:rPr>
        <w:t>.</w:t>
      </w:r>
      <w:r w:rsidR="002B4CBE">
        <w:rPr>
          <w:i w:val="0"/>
          <w:color w:val="000000" w:themeColor="text1"/>
          <w:sz w:val="24"/>
          <w:szCs w:val="24"/>
        </w:rPr>
        <w:fldChar w:fldCharType="begin"/>
      </w:r>
      <w:r w:rsidR="002B4CBE">
        <w:rPr>
          <w:i w:val="0"/>
          <w:color w:val="000000" w:themeColor="text1"/>
          <w:sz w:val="24"/>
          <w:szCs w:val="24"/>
        </w:rPr>
        <w:instrText xml:space="preserve"> SEQ Tablo \* ARABIC \s 1 </w:instrText>
      </w:r>
      <w:r w:rsidR="002B4CBE">
        <w:rPr>
          <w:i w:val="0"/>
          <w:color w:val="000000" w:themeColor="text1"/>
          <w:sz w:val="24"/>
          <w:szCs w:val="24"/>
        </w:rPr>
        <w:fldChar w:fldCharType="separate"/>
      </w:r>
      <w:r w:rsidR="00063441">
        <w:rPr>
          <w:i w:val="0"/>
          <w:noProof/>
          <w:color w:val="000000" w:themeColor="text1"/>
          <w:sz w:val="24"/>
          <w:szCs w:val="24"/>
        </w:rPr>
        <w:t>6</w:t>
      </w:r>
      <w:r w:rsidR="002B4CBE">
        <w:rPr>
          <w:i w:val="0"/>
          <w:color w:val="000000" w:themeColor="text1"/>
          <w:sz w:val="24"/>
          <w:szCs w:val="24"/>
        </w:rPr>
        <w:fldChar w:fldCharType="end"/>
      </w:r>
      <w:r w:rsidRPr="009F195B">
        <w:rPr>
          <w:i w:val="0"/>
          <w:color w:val="000000" w:themeColor="text1"/>
          <w:sz w:val="24"/>
          <w:szCs w:val="24"/>
        </w:rPr>
        <w:t xml:space="preserve"> Sepsiste Görülen Primer ve Sekonder Belirti ve Bulgular</w:t>
      </w:r>
      <w:bookmarkEnd w:id="95"/>
      <w:bookmarkEnd w:id="96"/>
    </w:p>
    <w:tbl>
      <w:tblPr>
        <w:tblStyle w:val="DzTablo4"/>
        <w:tblW w:w="5171" w:type="pct"/>
        <w:tblLook w:val="04A0" w:firstRow="1" w:lastRow="0" w:firstColumn="1" w:lastColumn="0" w:noHBand="0" w:noVBand="1"/>
      </w:tblPr>
      <w:tblGrid>
        <w:gridCol w:w="4249"/>
        <w:gridCol w:w="4534"/>
      </w:tblGrid>
      <w:tr w:rsidR="007861E2" w:rsidRPr="003656DA" w14:paraId="31CB25C0" w14:textId="77777777" w:rsidTr="005A0F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pct"/>
            <w:tcBorders>
              <w:top w:val="single" w:sz="4" w:space="0" w:color="auto"/>
              <w:left w:val="single" w:sz="4" w:space="0" w:color="auto"/>
              <w:bottom w:val="double" w:sz="4" w:space="0" w:color="auto"/>
            </w:tcBorders>
            <w:hideMark/>
          </w:tcPr>
          <w:p w14:paraId="31CB25BE" w14:textId="77777777" w:rsidR="007861E2" w:rsidRPr="00E46964" w:rsidRDefault="007861E2" w:rsidP="007E13D2">
            <w:pPr>
              <w:rPr>
                <w:b w:val="0"/>
                <w:lang w:eastAsia="tr-TR"/>
              </w:rPr>
            </w:pPr>
            <w:r w:rsidRPr="00E46964">
              <w:rPr>
                <w:lang w:eastAsia="tr-TR"/>
              </w:rPr>
              <w:t xml:space="preserve">1. Primer Belirti ve Bulgular </w:t>
            </w:r>
          </w:p>
        </w:tc>
        <w:tc>
          <w:tcPr>
            <w:tcW w:w="2581" w:type="pct"/>
            <w:tcBorders>
              <w:top w:val="single" w:sz="4" w:space="0" w:color="auto"/>
              <w:bottom w:val="double" w:sz="4" w:space="0" w:color="auto"/>
              <w:right w:val="single" w:sz="4" w:space="0" w:color="auto"/>
            </w:tcBorders>
            <w:hideMark/>
          </w:tcPr>
          <w:p w14:paraId="31CB25BF" w14:textId="77777777" w:rsidR="007861E2" w:rsidRPr="00E46964" w:rsidRDefault="007861E2" w:rsidP="007E13D2">
            <w:pPr>
              <w:cnfStyle w:val="100000000000" w:firstRow="1" w:lastRow="0" w:firstColumn="0" w:lastColumn="0" w:oddVBand="0" w:evenVBand="0" w:oddHBand="0" w:evenHBand="0" w:firstRowFirstColumn="0" w:firstRowLastColumn="0" w:lastRowFirstColumn="0" w:lastRowLastColumn="0"/>
              <w:rPr>
                <w:b w:val="0"/>
                <w:lang w:eastAsia="tr-TR"/>
              </w:rPr>
            </w:pPr>
            <w:r w:rsidRPr="00E46964">
              <w:rPr>
                <w:lang w:eastAsia="tr-TR"/>
              </w:rPr>
              <w:t>2. Sekonder Belirti ve Bulgular</w:t>
            </w:r>
          </w:p>
        </w:tc>
      </w:tr>
      <w:tr w:rsidR="007861E2" w:rsidRPr="003656DA" w14:paraId="31CB25C3" w14:textId="77777777" w:rsidTr="005A0F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pct"/>
            <w:tcBorders>
              <w:top w:val="double" w:sz="4" w:space="0" w:color="auto"/>
              <w:left w:val="single" w:sz="4" w:space="0" w:color="auto"/>
            </w:tcBorders>
            <w:hideMark/>
          </w:tcPr>
          <w:p w14:paraId="31CB25C1" w14:textId="77777777" w:rsidR="007861E2" w:rsidRPr="000848EE" w:rsidRDefault="007861E2" w:rsidP="007E13D2">
            <w:pPr>
              <w:rPr>
                <w:b w:val="0"/>
                <w:lang w:eastAsia="tr-TR"/>
              </w:rPr>
            </w:pPr>
            <w:r w:rsidRPr="000848EE">
              <w:rPr>
                <w:b w:val="0"/>
                <w:lang w:eastAsia="tr-TR"/>
              </w:rPr>
              <w:t xml:space="preserve">Ateş veya hipotermi </w:t>
            </w:r>
          </w:p>
        </w:tc>
        <w:tc>
          <w:tcPr>
            <w:tcW w:w="2581" w:type="pct"/>
            <w:tcBorders>
              <w:top w:val="double" w:sz="4" w:space="0" w:color="auto"/>
              <w:right w:val="single" w:sz="4" w:space="0" w:color="auto"/>
            </w:tcBorders>
            <w:hideMark/>
          </w:tcPr>
          <w:p w14:paraId="31CB25C2" w14:textId="77777777" w:rsidR="007861E2" w:rsidRPr="000848EE" w:rsidRDefault="007861E2" w:rsidP="007E13D2">
            <w:pPr>
              <w:cnfStyle w:val="000000100000" w:firstRow="0" w:lastRow="0" w:firstColumn="0" w:lastColumn="0" w:oddVBand="0" w:evenVBand="0" w:oddHBand="1" w:evenHBand="0" w:firstRowFirstColumn="0" w:firstRowLastColumn="0" w:lastRowFirstColumn="0" w:lastRowLastColumn="0"/>
              <w:rPr>
                <w:lang w:eastAsia="tr-TR"/>
              </w:rPr>
            </w:pPr>
            <w:r w:rsidRPr="000848EE">
              <w:rPr>
                <w:lang w:eastAsia="tr-TR"/>
              </w:rPr>
              <w:t>Hipotansiyon</w:t>
            </w:r>
          </w:p>
        </w:tc>
      </w:tr>
      <w:tr w:rsidR="007861E2" w:rsidRPr="003656DA" w14:paraId="31CB25C6" w14:textId="77777777" w:rsidTr="005A0FF4">
        <w:tc>
          <w:tcPr>
            <w:cnfStyle w:val="001000000000" w:firstRow="0" w:lastRow="0" w:firstColumn="1" w:lastColumn="0" w:oddVBand="0" w:evenVBand="0" w:oddHBand="0" w:evenHBand="0" w:firstRowFirstColumn="0" w:firstRowLastColumn="0" w:lastRowFirstColumn="0" w:lastRowLastColumn="0"/>
            <w:tcW w:w="2419" w:type="pct"/>
            <w:tcBorders>
              <w:left w:val="single" w:sz="4" w:space="0" w:color="auto"/>
            </w:tcBorders>
            <w:hideMark/>
          </w:tcPr>
          <w:p w14:paraId="31CB25C4" w14:textId="77777777" w:rsidR="007861E2" w:rsidRPr="000848EE" w:rsidRDefault="007861E2" w:rsidP="007E13D2">
            <w:pPr>
              <w:rPr>
                <w:b w:val="0"/>
                <w:lang w:eastAsia="tr-TR"/>
              </w:rPr>
            </w:pPr>
            <w:r w:rsidRPr="000848EE">
              <w:rPr>
                <w:b w:val="0"/>
                <w:lang w:eastAsia="tr-TR"/>
              </w:rPr>
              <w:t xml:space="preserve">Titreme </w:t>
            </w:r>
          </w:p>
        </w:tc>
        <w:tc>
          <w:tcPr>
            <w:tcW w:w="2581" w:type="pct"/>
            <w:tcBorders>
              <w:right w:val="single" w:sz="4" w:space="0" w:color="auto"/>
            </w:tcBorders>
            <w:hideMark/>
          </w:tcPr>
          <w:p w14:paraId="31CB25C5" w14:textId="77777777" w:rsidR="007861E2" w:rsidRPr="000848EE" w:rsidRDefault="007861E2" w:rsidP="007E13D2">
            <w:pPr>
              <w:cnfStyle w:val="000000000000" w:firstRow="0" w:lastRow="0" w:firstColumn="0" w:lastColumn="0" w:oddVBand="0" w:evenVBand="0" w:oddHBand="0" w:evenHBand="0" w:firstRowFirstColumn="0" w:firstRowLastColumn="0" w:lastRowFirstColumn="0" w:lastRowLastColumn="0"/>
              <w:rPr>
                <w:lang w:eastAsia="tr-TR"/>
              </w:rPr>
            </w:pPr>
            <w:r w:rsidRPr="000848EE">
              <w:rPr>
                <w:lang w:eastAsia="tr-TR"/>
              </w:rPr>
              <w:t>Kana</w:t>
            </w:r>
            <w:r w:rsidR="00CB5982">
              <w:rPr>
                <w:lang w:eastAsia="tr-TR"/>
              </w:rPr>
              <w:t>ma ve Dİ</w:t>
            </w:r>
            <w:r w:rsidRPr="000848EE">
              <w:rPr>
                <w:lang w:eastAsia="tr-TR"/>
              </w:rPr>
              <w:t>K bulguları</w:t>
            </w:r>
          </w:p>
        </w:tc>
      </w:tr>
      <w:tr w:rsidR="007861E2" w:rsidRPr="003656DA" w14:paraId="31CB25C9" w14:textId="77777777" w:rsidTr="005A0F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pct"/>
            <w:tcBorders>
              <w:left w:val="single" w:sz="4" w:space="0" w:color="auto"/>
            </w:tcBorders>
            <w:hideMark/>
          </w:tcPr>
          <w:p w14:paraId="31CB25C7" w14:textId="77777777" w:rsidR="007861E2" w:rsidRPr="000848EE" w:rsidRDefault="00C8510A" w:rsidP="00C8510A">
            <w:pPr>
              <w:rPr>
                <w:b w:val="0"/>
                <w:lang w:eastAsia="tr-TR"/>
              </w:rPr>
            </w:pPr>
            <w:r>
              <w:rPr>
                <w:b w:val="0"/>
                <w:lang w:eastAsia="tr-TR"/>
              </w:rPr>
              <w:t>T</w:t>
            </w:r>
            <w:r w:rsidRPr="000848EE">
              <w:rPr>
                <w:b w:val="0"/>
                <w:lang w:eastAsia="tr-TR"/>
              </w:rPr>
              <w:t xml:space="preserve">akipne </w:t>
            </w:r>
          </w:p>
        </w:tc>
        <w:tc>
          <w:tcPr>
            <w:tcW w:w="2581" w:type="pct"/>
            <w:tcBorders>
              <w:right w:val="single" w:sz="4" w:space="0" w:color="auto"/>
            </w:tcBorders>
            <w:hideMark/>
          </w:tcPr>
          <w:p w14:paraId="31CB25C8" w14:textId="1D8EA18B" w:rsidR="007861E2" w:rsidRPr="000848EE" w:rsidRDefault="006C3BE3" w:rsidP="007E13D2">
            <w:pPr>
              <w:cnfStyle w:val="000000100000" w:firstRow="0" w:lastRow="0" w:firstColumn="0" w:lastColumn="0" w:oddVBand="0" w:evenVBand="0" w:oddHBand="1" w:evenHBand="0" w:firstRowFirstColumn="0" w:firstRowLastColumn="0" w:lastRowFirstColumn="0" w:lastRowLastColumn="0"/>
              <w:rPr>
                <w:lang w:eastAsia="tr-TR"/>
              </w:rPr>
            </w:pPr>
            <w:r>
              <w:rPr>
                <w:lang w:eastAsia="tr-TR"/>
              </w:rPr>
              <w:t>MOY</w:t>
            </w:r>
          </w:p>
        </w:tc>
      </w:tr>
      <w:tr w:rsidR="007861E2" w:rsidRPr="003656DA" w14:paraId="31CB25CC" w14:textId="77777777" w:rsidTr="005A0FF4">
        <w:tc>
          <w:tcPr>
            <w:cnfStyle w:val="001000000000" w:firstRow="0" w:lastRow="0" w:firstColumn="1" w:lastColumn="0" w:oddVBand="0" w:evenVBand="0" w:oddHBand="0" w:evenHBand="0" w:firstRowFirstColumn="0" w:firstRowLastColumn="0" w:lastRowFirstColumn="0" w:lastRowLastColumn="0"/>
            <w:tcW w:w="2419" w:type="pct"/>
            <w:tcBorders>
              <w:left w:val="single" w:sz="4" w:space="0" w:color="auto"/>
            </w:tcBorders>
            <w:hideMark/>
          </w:tcPr>
          <w:p w14:paraId="31CB25CA" w14:textId="77777777" w:rsidR="007861E2" w:rsidRPr="000848EE" w:rsidRDefault="00C8510A" w:rsidP="007E13D2">
            <w:pPr>
              <w:rPr>
                <w:b w:val="0"/>
                <w:lang w:eastAsia="tr-TR"/>
              </w:rPr>
            </w:pPr>
            <w:r>
              <w:rPr>
                <w:b w:val="0"/>
                <w:lang w:eastAsia="tr-TR"/>
              </w:rPr>
              <w:t>T</w:t>
            </w:r>
            <w:r w:rsidRPr="000848EE">
              <w:rPr>
                <w:b w:val="0"/>
                <w:lang w:eastAsia="tr-TR"/>
              </w:rPr>
              <w:t>aşikardi</w:t>
            </w:r>
          </w:p>
        </w:tc>
        <w:tc>
          <w:tcPr>
            <w:tcW w:w="2581" w:type="pct"/>
            <w:tcBorders>
              <w:right w:val="single" w:sz="4" w:space="0" w:color="auto"/>
            </w:tcBorders>
            <w:hideMark/>
          </w:tcPr>
          <w:p w14:paraId="31CB25CB" w14:textId="77777777" w:rsidR="007861E2" w:rsidRPr="000848EE" w:rsidRDefault="007861E2" w:rsidP="00C8510A">
            <w:pPr>
              <w:cnfStyle w:val="000000000000" w:firstRow="0" w:lastRow="0" w:firstColumn="0" w:lastColumn="0" w:oddVBand="0" w:evenVBand="0" w:oddHBand="0" w:evenHBand="0" w:firstRowFirstColumn="0" w:firstRowLastColumn="0" w:lastRowFirstColumn="0" w:lastRowLastColumn="0"/>
              <w:rPr>
                <w:lang w:eastAsia="tr-TR"/>
              </w:rPr>
            </w:pPr>
            <w:r w:rsidRPr="000848EE">
              <w:rPr>
                <w:lang w:eastAsia="tr-TR"/>
              </w:rPr>
              <w:t>Trombositopeni</w:t>
            </w:r>
            <w:r w:rsidR="00C8510A">
              <w:rPr>
                <w:lang w:eastAsia="tr-TR"/>
              </w:rPr>
              <w:t xml:space="preserve"> </w:t>
            </w:r>
          </w:p>
        </w:tc>
      </w:tr>
      <w:tr w:rsidR="007861E2" w:rsidRPr="003656DA" w14:paraId="31CB25CF" w14:textId="77777777" w:rsidTr="005A0F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pct"/>
            <w:tcBorders>
              <w:left w:val="single" w:sz="4" w:space="0" w:color="auto"/>
            </w:tcBorders>
            <w:hideMark/>
          </w:tcPr>
          <w:p w14:paraId="31CB25CD" w14:textId="77777777" w:rsidR="007861E2" w:rsidRPr="000848EE" w:rsidRDefault="00C8510A" w:rsidP="007E13D2">
            <w:pPr>
              <w:rPr>
                <w:b w:val="0"/>
                <w:lang w:eastAsia="tr-TR"/>
              </w:rPr>
            </w:pPr>
            <w:r>
              <w:rPr>
                <w:b w:val="0"/>
                <w:lang w:eastAsia="tr-TR"/>
              </w:rPr>
              <w:t>Şok bulguları</w:t>
            </w:r>
            <w:r w:rsidR="007861E2" w:rsidRPr="000848EE">
              <w:rPr>
                <w:b w:val="0"/>
                <w:lang w:eastAsia="tr-TR"/>
              </w:rPr>
              <w:t xml:space="preserve"> </w:t>
            </w:r>
          </w:p>
        </w:tc>
        <w:tc>
          <w:tcPr>
            <w:tcW w:w="2581" w:type="pct"/>
            <w:tcBorders>
              <w:right w:val="single" w:sz="4" w:space="0" w:color="auto"/>
            </w:tcBorders>
            <w:hideMark/>
          </w:tcPr>
          <w:p w14:paraId="31CB25CE" w14:textId="77777777" w:rsidR="007861E2" w:rsidRPr="000848EE" w:rsidRDefault="00C8510A" w:rsidP="007E13D2">
            <w:pPr>
              <w:cnfStyle w:val="000000100000" w:firstRow="0" w:lastRow="0" w:firstColumn="0" w:lastColumn="0" w:oddVBand="0" w:evenVBand="0" w:oddHBand="1" w:evenHBand="0" w:firstRowFirstColumn="0" w:firstRowLastColumn="0" w:lastRowFirstColumn="0" w:lastRowLastColumn="0"/>
              <w:rPr>
                <w:lang w:eastAsia="tr-TR"/>
              </w:rPr>
            </w:pPr>
            <w:r w:rsidRPr="000848EE">
              <w:rPr>
                <w:lang w:eastAsia="tr-TR"/>
              </w:rPr>
              <w:t>Lökopeni veya lökositoz</w:t>
            </w:r>
          </w:p>
        </w:tc>
      </w:tr>
      <w:tr w:rsidR="007861E2" w:rsidRPr="003656DA" w14:paraId="31CB25D2" w14:textId="77777777" w:rsidTr="005A0FF4">
        <w:tc>
          <w:tcPr>
            <w:cnfStyle w:val="001000000000" w:firstRow="0" w:lastRow="0" w:firstColumn="1" w:lastColumn="0" w:oddVBand="0" w:evenVBand="0" w:oddHBand="0" w:evenHBand="0" w:firstRowFirstColumn="0" w:firstRowLastColumn="0" w:lastRowFirstColumn="0" w:lastRowLastColumn="0"/>
            <w:tcW w:w="2419" w:type="pct"/>
            <w:tcBorders>
              <w:left w:val="single" w:sz="4" w:space="0" w:color="auto"/>
            </w:tcBorders>
            <w:hideMark/>
          </w:tcPr>
          <w:p w14:paraId="31CB25D0" w14:textId="77777777" w:rsidR="007861E2" w:rsidRPr="000848EE" w:rsidRDefault="007861E2" w:rsidP="007E13D2">
            <w:pPr>
              <w:rPr>
                <w:b w:val="0"/>
                <w:lang w:eastAsia="tr-TR"/>
              </w:rPr>
            </w:pPr>
            <w:r w:rsidRPr="000848EE">
              <w:rPr>
                <w:b w:val="0"/>
                <w:lang w:eastAsia="tr-TR"/>
              </w:rPr>
              <w:t xml:space="preserve">Periferik vazodilatasyon bulguları </w:t>
            </w:r>
          </w:p>
        </w:tc>
        <w:tc>
          <w:tcPr>
            <w:tcW w:w="2581" w:type="pct"/>
            <w:tcBorders>
              <w:right w:val="single" w:sz="4" w:space="0" w:color="auto"/>
            </w:tcBorders>
            <w:hideMark/>
          </w:tcPr>
          <w:p w14:paraId="31CB25D1" w14:textId="77777777" w:rsidR="007861E2" w:rsidRPr="000848EE" w:rsidRDefault="00C8510A" w:rsidP="00C8510A">
            <w:pPr>
              <w:cnfStyle w:val="000000000000" w:firstRow="0" w:lastRow="0" w:firstColumn="0" w:lastColumn="0" w:oddVBand="0" w:evenVBand="0" w:oddHBand="0" w:evenHBand="0" w:firstRowFirstColumn="0" w:firstRowLastColumn="0" w:lastRowFirstColumn="0" w:lastRowLastColumn="0"/>
              <w:rPr>
                <w:lang w:eastAsia="tr-TR"/>
              </w:rPr>
            </w:pPr>
            <w:r w:rsidRPr="007861E2">
              <w:rPr>
                <w:b/>
                <w:lang w:eastAsia="tr-TR"/>
              </w:rPr>
              <w:t>Böbrek</w:t>
            </w:r>
            <w:r w:rsidRPr="000848EE">
              <w:rPr>
                <w:lang w:eastAsia="tr-TR"/>
              </w:rPr>
              <w:t>: Oligüri, anüri, asidoz</w:t>
            </w:r>
            <w:r w:rsidRPr="007861E2">
              <w:rPr>
                <w:b/>
                <w:lang w:eastAsia="tr-TR"/>
              </w:rPr>
              <w:t xml:space="preserve"> </w:t>
            </w:r>
          </w:p>
        </w:tc>
      </w:tr>
      <w:tr w:rsidR="007861E2" w:rsidRPr="003656DA" w14:paraId="31CB25D5" w14:textId="77777777" w:rsidTr="005A0F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pct"/>
            <w:tcBorders>
              <w:left w:val="single" w:sz="4" w:space="0" w:color="auto"/>
            </w:tcBorders>
            <w:hideMark/>
          </w:tcPr>
          <w:p w14:paraId="31CB25D3" w14:textId="77777777" w:rsidR="007861E2" w:rsidRPr="000848EE" w:rsidRDefault="007861E2" w:rsidP="007E13D2">
            <w:pPr>
              <w:rPr>
                <w:b w:val="0"/>
                <w:lang w:eastAsia="tr-TR"/>
              </w:rPr>
            </w:pPr>
            <w:r w:rsidRPr="000848EE">
              <w:rPr>
                <w:b w:val="0"/>
                <w:lang w:eastAsia="tr-TR"/>
              </w:rPr>
              <w:t>Mental durum</w:t>
            </w:r>
            <w:r w:rsidR="00C8510A">
              <w:rPr>
                <w:b w:val="0"/>
                <w:lang w:eastAsia="tr-TR"/>
              </w:rPr>
              <w:t>da değişiklikler</w:t>
            </w:r>
            <w:r w:rsidRPr="000848EE">
              <w:rPr>
                <w:b w:val="0"/>
                <w:lang w:eastAsia="tr-TR"/>
              </w:rPr>
              <w:t xml:space="preserve"> </w:t>
            </w:r>
          </w:p>
        </w:tc>
        <w:tc>
          <w:tcPr>
            <w:tcW w:w="2581" w:type="pct"/>
            <w:tcBorders>
              <w:right w:val="single" w:sz="4" w:space="0" w:color="auto"/>
            </w:tcBorders>
            <w:hideMark/>
          </w:tcPr>
          <w:p w14:paraId="31CB25D4" w14:textId="77777777" w:rsidR="007861E2" w:rsidRPr="000848EE" w:rsidRDefault="00C8510A" w:rsidP="007E13D2">
            <w:pPr>
              <w:cnfStyle w:val="000000100000" w:firstRow="0" w:lastRow="0" w:firstColumn="0" w:lastColumn="0" w:oddVBand="0" w:evenVBand="0" w:oddHBand="1" w:evenHBand="0" w:firstRowFirstColumn="0" w:firstRowLastColumn="0" w:lastRowFirstColumn="0" w:lastRowLastColumn="0"/>
              <w:rPr>
                <w:lang w:eastAsia="tr-TR"/>
              </w:rPr>
            </w:pPr>
            <w:r w:rsidRPr="007861E2">
              <w:rPr>
                <w:b/>
                <w:lang w:eastAsia="tr-TR"/>
              </w:rPr>
              <w:t>Akciğer</w:t>
            </w:r>
            <w:r w:rsidRPr="000848EE">
              <w:rPr>
                <w:lang w:eastAsia="tr-TR"/>
              </w:rPr>
              <w:t>: Siyanoz, asidoz, ARDS</w:t>
            </w:r>
          </w:p>
        </w:tc>
      </w:tr>
      <w:tr w:rsidR="007861E2" w:rsidRPr="003656DA" w14:paraId="31CB25DA" w14:textId="77777777" w:rsidTr="005A0FF4">
        <w:tc>
          <w:tcPr>
            <w:cnfStyle w:val="001000000000" w:firstRow="0" w:lastRow="0" w:firstColumn="1" w:lastColumn="0" w:oddVBand="0" w:evenVBand="0" w:oddHBand="0" w:evenHBand="0" w:firstRowFirstColumn="0" w:firstRowLastColumn="0" w:lastRowFirstColumn="0" w:lastRowLastColumn="0"/>
            <w:tcW w:w="2419" w:type="pct"/>
            <w:tcBorders>
              <w:left w:val="single" w:sz="4" w:space="0" w:color="auto"/>
              <w:bottom w:val="single" w:sz="4" w:space="0" w:color="auto"/>
            </w:tcBorders>
            <w:hideMark/>
          </w:tcPr>
          <w:p w14:paraId="31CB25D6" w14:textId="77777777" w:rsidR="007861E2" w:rsidRPr="000848EE" w:rsidRDefault="007861E2" w:rsidP="007E13D2">
            <w:pPr>
              <w:rPr>
                <w:b w:val="0"/>
                <w:lang w:eastAsia="tr-TR"/>
              </w:rPr>
            </w:pPr>
          </w:p>
        </w:tc>
        <w:tc>
          <w:tcPr>
            <w:tcW w:w="2581" w:type="pct"/>
            <w:tcBorders>
              <w:bottom w:val="single" w:sz="4" w:space="0" w:color="auto"/>
              <w:right w:val="single" w:sz="4" w:space="0" w:color="auto"/>
            </w:tcBorders>
            <w:hideMark/>
          </w:tcPr>
          <w:p w14:paraId="31CB25D7" w14:textId="77777777" w:rsidR="007861E2" w:rsidRDefault="007861E2" w:rsidP="007E13D2">
            <w:pPr>
              <w:cnfStyle w:val="000000000000" w:firstRow="0" w:lastRow="0" w:firstColumn="0" w:lastColumn="0" w:oddVBand="0" w:evenVBand="0" w:oddHBand="0" w:evenHBand="0" w:firstRowFirstColumn="0" w:firstRowLastColumn="0" w:lastRowFirstColumn="0" w:lastRowLastColumn="0"/>
              <w:rPr>
                <w:lang w:eastAsia="tr-TR"/>
              </w:rPr>
            </w:pPr>
            <w:r w:rsidRPr="007861E2">
              <w:rPr>
                <w:b/>
                <w:lang w:eastAsia="tr-TR"/>
              </w:rPr>
              <w:t>Karaciğer</w:t>
            </w:r>
            <w:r w:rsidRPr="000848EE">
              <w:rPr>
                <w:lang w:eastAsia="tr-TR"/>
              </w:rPr>
              <w:t xml:space="preserve">: hiperbilirübinemi, </w:t>
            </w:r>
          </w:p>
          <w:p w14:paraId="31CB25D8" w14:textId="77777777" w:rsidR="007861E2" w:rsidRDefault="007861E2" w:rsidP="005A0FF4">
            <w:pPr>
              <w:cnfStyle w:val="000000000000" w:firstRow="0" w:lastRow="0" w:firstColumn="0" w:lastColumn="0" w:oddVBand="0" w:evenVBand="0" w:oddHBand="0" w:evenHBand="0" w:firstRowFirstColumn="0" w:firstRowLastColumn="0" w:lastRowFirstColumn="0" w:lastRowLastColumn="0"/>
              <w:rPr>
                <w:lang w:eastAsia="tr-TR"/>
              </w:rPr>
            </w:pPr>
            <w:r w:rsidRPr="000848EE">
              <w:rPr>
                <w:lang w:eastAsia="tr-TR"/>
              </w:rPr>
              <w:t xml:space="preserve">alkalen fosfataz </w:t>
            </w:r>
            <w:r w:rsidR="005A0FF4" w:rsidRPr="000848EE">
              <w:rPr>
                <w:lang w:eastAsia="tr-TR"/>
              </w:rPr>
              <w:t>ve transaminaz</w:t>
            </w:r>
            <w:r w:rsidRPr="000848EE">
              <w:rPr>
                <w:lang w:eastAsia="tr-TR"/>
              </w:rPr>
              <w:t xml:space="preserve"> artışı</w:t>
            </w:r>
          </w:p>
          <w:p w14:paraId="31CB25D9" w14:textId="77777777" w:rsidR="005A0FF4" w:rsidRPr="000848EE" w:rsidRDefault="005A0FF4" w:rsidP="005A0FF4">
            <w:pPr>
              <w:cnfStyle w:val="000000000000" w:firstRow="0" w:lastRow="0" w:firstColumn="0" w:lastColumn="0" w:oddVBand="0" w:evenVBand="0" w:oddHBand="0" w:evenHBand="0" w:firstRowFirstColumn="0" w:firstRowLastColumn="0" w:lastRowFirstColumn="0" w:lastRowLastColumn="0"/>
              <w:rPr>
                <w:lang w:eastAsia="tr-TR"/>
              </w:rPr>
            </w:pPr>
          </w:p>
        </w:tc>
      </w:tr>
    </w:tbl>
    <w:p w14:paraId="646657FF" w14:textId="77777777" w:rsidR="006C3BE3" w:rsidRDefault="00C8510A" w:rsidP="00CB5982">
      <w:pPr>
        <w:ind w:firstLine="0"/>
        <w:jc w:val="left"/>
        <w:rPr>
          <w:sz w:val="20"/>
          <w:szCs w:val="20"/>
        </w:rPr>
      </w:pPr>
      <w:r w:rsidRPr="00CB5982">
        <w:rPr>
          <w:sz w:val="20"/>
          <w:szCs w:val="20"/>
        </w:rPr>
        <w:t>DİK:</w:t>
      </w:r>
      <w:r>
        <w:rPr>
          <w:sz w:val="20"/>
          <w:szCs w:val="20"/>
        </w:rPr>
        <w:t xml:space="preserve"> D</w:t>
      </w:r>
      <w:r w:rsidRPr="00CB5982">
        <w:rPr>
          <w:sz w:val="20"/>
          <w:szCs w:val="20"/>
        </w:rPr>
        <w:t xml:space="preserve">issemine intravasküler koagülasyon  </w:t>
      </w:r>
      <w:r>
        <w:rPr>
          <w:sz w:val="20"/>
          <w:szCs w:val="20"/>
        </w:rPr>
        <w:t xml:space="preserve">  </w:t>
      </w:r>
      <w:r w:rsidR="00CB5982" w:rsidRPr="00CB5982">
        <w:rPr>
          <w:sz w:val="20"/>
          <w:szCs w:val="20"/>
        </w:rPr>
        <w:t xml:space="preserve">ARDS: </w:t>
      </w:r>
      <w:r w:rsidR="00CB5982">
        <w:rPr>
          <w:sz w:val="20"/>
          <w:szCs w:val="20"/>
        </w:rPr>
        <w:t>A</w:t>
      </w:r>
      <w:r w:rsidR="00CB5982" w:rsidRPr="00CB5982">
        <w:rPr>
          <w:sz w:val="20"/>
          <w:szCs w:val="20"/>
          <w:lang w:eastAsia="tr-TR"/>
        </w:rPr>
        <w:t>kut solunum sıkı</w:t>
      </w:r>
      <w:r w:rsidR="00CB5982" w:rsidRPr="00CB5982">
        <w:rPr>
          <w:sz w:val="20"/>
          <w:szCs w:val="20"/>
        </w:rPr>
        <w:t xml:space="preserve">ntısı sendromu, </w:t>
      </w:r>
      <w:r w:rsidR="00CB5982">
        <w:rPr>
          <w:sz w:val="20"/>
          <w:szCs w:val="20"/>
        </w:rPr>
        <w:t xml:space="preserve">  </w:t>
      </w:r>
      <w:r w:rsidR="006C3BE3">
        <w:rPr>
          <w:sz w:val="20"/>
          <w:szCs w:val="20"/>
        </w:rPr>
        <w:t xml:space="preserve"> </w:t>
      </w:r>
    </w:p>
    <w:p w14:paraId="31CB25DB" w14:textId="27446325" w:rsidR="00B128AF" w:rsidRPr="00CB5982" w:rsidRDefault="006C3BE3" w:rsidP="00CB5982">
      <w:pPr>
        <w:ind w:firstLine="0"/>
        <w:jc w:val="left"/>
        <w:rPr>
          <w:sz w:val="20"/>
          <w:szCs w:val="20"/>
        </w:rPr>
        <w:sectPr w:rsidR="00B128AF" w:rsidRPr="00CB5982" w:rsidSect="00923C54">
          <w:pgSz w:w="11906" w:h="16838"/>
          <w:pgMar w:top="1418" w:right="1418" w:bottom="1418" w:left="1985" w:header="709" w:footer="709" w:gutter="0"/>
          <w:cols w:space="708"/>
          <w:docGrid w:linePitch="360"/>
        </w:sectPr>
      </w:pPr>
      <w:r>
        <w:rPr>
          <w:sz w:val="20"/>
          <w:szCs w:val="20"/>
        </w:rPr>
        <w:t>MOY: Multipl</w:t>
      </w:r>
      <w:r w:rsidR="003B1EAA">
        <w:rPr>
          <w:sz w:val="20"/>
          <w:szCs w:val="20"/>
        </w:rPr>
        <w:t>e</w:t>
      </w:r>
      <w:r>
        <w:rPr>
          <w:sz w:val="20"/>
          <w:szCs w:val="20"/>
        </w:rPr>
        <w:t xml:space="preserve"> organ yetmezliği</w:t>
      </w:r>
    </w:p>
    <w:p w14:paraId="31CB25DC" w14:textId="77777777" w:rsidR="007769A2" w:rsidRDefault="007769A2" w:rsidP="00B208D1">
      <w:pPr>
        <w:rPr>
          <w:rStyle w:val="fontstyle21"/>
          <w:rFonts w:ascii="Times New Roman" w:hAnsi="Times New Roman"/>
        </w:rPr>
      </w:pPr>
    </w:p>
    <w:p w14:paraId="31CB25DD" w14:textId="4CD1EBB7" w:rsidR="007402F8" w:rsidRDefault="007402F8" w:rsidP="00B208D1">
      <w:pPr>
        <w:rPr>
          <w:rStyle w:val="fontstyle21"/>
          <w:rFonts w:ascii="Times New Roman" w:hAnsi="Times New Roman"/>
        </w:rPr>
      </w:pPr>
      <w:r w:rsidRPr="003656DA">
        <w:rPr>
          <w:rStyle w:val="fontstyle21"/>
          <w:rFonts w:ascii="Times New Roman" w:hAnsi="Times New Roman"/>
        </w:rPr>
        <w:t>Sepsiste, başlangıçta kesin tanı koyduracak</w:t>
      </w:r>
      <w:r>
        <w:rPr>
          <w:rStyle w:val="fontstyle21"/>
          <w:rFonts w:ascii="Times New Roman" w:hAnsi="Times New Roman"/>
        </w:rPr>
        <w:t xml:space="preserve"> </w:t>
      </w:r>
      <w:r w:rsidRPr="003656DA">
        <w:rPr>
          <w:rStyle w:val="fontstyle21"/>
          <w:rFonts w:ascii="Times New Roman" w:hAnsi="Times New Roman"/>
        </w:rPr>
        <w:t xml:space="preserve">bulgular genellikle mevcut değildir. </w:t>
      </w:r>
      <w:r>
        <w:rPr>
          <w:rStyle w:val="fontstyle21"/>
          <w:rFonts w:ascii="Times New Roman" w:hAnsi="Times New Roman"/>
        </w:rPr>
        <w:t>B</w:t>
      </w:r>
      <w:r w:rsidRPr="003656DA">
        <w:rPr>
          <w:rStyle w:val="fontstyle21"/>
          <w:rFonts w:ascii="Times New Roman" w:hAnsi="Times New Roman"/>
        </w:rPr>
        <w:t>elirti ve</w:t>
      </w:r>
      <w:r>
        <w:rPr>
          <w:rStyle w:val="fontstyle21"/>
          <w:rFonts w:ascii="Times New Roman" w:hAnsi="Times New Roman"/>
        </w:rPr>
        <w:t xml:space="preserve"> </w:t>
      </w:r>
      <w:r w:rsidRPr="003656DA">
        <w:rPr>
          <w:rStyle w:val="fontstyle21"/>
          <w:rFonts w:ascii="Times New Roman" w:hAnsi="Times New Roman"/>
        </w:rPr>
        <w:t xml:space="preserve">bulguları olan hastalardan olası </w:t>
      </w:r>
      <w:r w:rsidR="00C56F2F" w:rsidRPr="003656DA">
        <w:rPr>
          <w:rStyle w:val="fontstyle21"/>
          <w:rFonts w:ascii="Times New Roman" w:hAnsi="Times New Roman"/>
        </w:rPr>
        <w:t>enfeksiyon</w:t>
      </w:r>
      <w:r w:rsidRPr="003656DA">
        <w:rPr>
          <w:rStyle w:val="fontstyle21"/>
          <w:rFonts w:ascii="Times New Roman" w:hAnsi="Times New Roman"/>
        </w:rPr>
        <w:t xml:space="preserve"> odağından kültürler alınmalı ve</w:t>
      </w:r>
      <w:r>
        <w:rPr>
          <w:rStyle w:val="fontstyle21"/>
          <w:rFonts w:ascii="Times New Roman" w:hAnsi="Times New Roman"/>
        </w:rPr>
        <w:t xml:space="preserve"> </w:t>
      </w:r>
      <w:r w:rsidRPr="003656DA">
        <w:rPr>
          <w:rStyle w:val="fontstyle21"/>
          <w:rFonts w:ascii="Times New Roman" w:hAnsi="Times New Roman"/>
        </w:rPr>
        <w:t xml:space="preserve">uygun </w:t>
      </w:r>
      <w:r w:rsidR="00607AD6">
        <w:rPr>
          <w:rStyle w:val="fontstyle21"/>
          <w:rFonts w:ascii="Times New Roman" w:hAnsi="Times New Roman"/>
        </w:rPr>
        <w:t xml:space="preserve">antibiyotik </w:t>
      </w:r>
      <w:r w:rsidRPr="003656DA">
        <w:rPr>
          <w:rStyle w:val="fontstyle21"/>
          <w:rFonts w:ascii="Times New Roman" w:hAnsi="Times New Roman"/>
        </w:rPr>
        <w:t>tedavi</w:t>
      </w:r>
      <w:r w:rsidR="00607AD6">
        <w:rPr>
          <w:rStyle w:val="fontstyle21"/>
          <w:rFonts w:ascii="Times New Roman" w:hAnsi="Times New Roman"/>
        </w:rPr>
        <w:t>sine erken</w:t>
      </w:r>
      <w:r w:rsidRPr="003656DA">
        <w:rPr>
          <w:rStyle w:val="fontstyle21"/>
          <w:rFonts w:ascii="Times New Roman" w:hAnsi="Times New Roman"/>
        </w:rPr>
        <w:t xml:space="preserve"> </w:t>
      </w:r>
      <w:r w:rsidR="00C56F2F" w:rsidRPr="003656DA">
        <w:rPr>
          <w:rStyle w:val="fontstyle21"/>
          <w:rFonts w:ascii="Times New Roman" w:hAnsi="Times New Roman"/>
        </w:rPr>
        <w:t>başlanmalıdır</w:t>
      </w:r>
      <w:r w:rsidR="00C56F2F">
        <w:rPr>
          <w:rStyle w:val="fontstyle21"/>
          <w:rFonts w:ascii="Times New Roman" w:hAnsi="Times New Roman"/>
        </w:rPr>
        <w:t>.</w:t>
      </w:r>
      <w:r w:rsidR="00C56F2F" w:rsidRPr="003656DA">
        <w:rPr>
          <w:rStyle w:val="fontstyle21"/>
          <w:rFonts w:ascii="Times New Roman" w:hAnsi="Times New Roman"/>
        </w:rPr>
        <w:t xml:space="preserve"> Sistemik</w:t>
      </w:r>
      <w:r w:rsidRPr="003656DA">
        <w:rPr>
          <w:rStyle w:val="fontstyle21"/>
          <w:rFonts w:ascii="Times New Roman" w:hAnsi="Times New Roman"/>
        </w:rPr>
        <w:t xml:space="preserve"> </w:t>
      </w:r>
      <w:r w:rsidR="008419DB" w:rsidRPr="003656DA">
        <w:rPr>
          <w:rStyle w:val="fontstyle21"/>
          <w:rFonts w:ascii="Times New Roman" w:hAnsi="Times New Roman"/>
        </w:rPr>
        <w:t>inflamatuar</w:t>
      </w:r>
      <w:r w:rsidRPr="003656DA">
        <w:rPr>
          <w:rStyle w:val="fontstyle21"/>
          <w:rFonts w:ascii="Times New Roman" w:hAnsi="Times New Roman"/>
        </w:rPr>
        <w:t xml:space="preserve"> yanıtın geliştiğini</w:t>
      </w:r>
      <w:r>
        <w:rPr>
          <w:rStyle w:val="fontstyle21"/>
          <w:rFonts w:ascii="Times New Roman" w:hAnsi="Times New Roman"/>
        </w:rPr>
        <w:t xml:space="preserve"> </w:t>
      </w:r>
      <w:r w:rsidRPr="003656DA">
        <w:rPr>
          <w:rStyle w:val="fontstyle21"/>
          <w:rFonts w:ascii="Times New Roman" w:hAnsi="Times New Roman"/>
        </w:rPr>
        <w:t xml:space="preserve">gösteren ilk ipuçları hastanın vital bulgularındaki değişiklikler ve </w:t>
      </w:r>
      <w:r w:rsidR="00C56F2F" w:rsidRPr="003656DA">
        <w:rPr>
          <w:rStyle w:val="fontstyle21"/>
          <w:rFonts w:ascii="Times New Roman" w:hAnsi="Times New Roman"/>
        </w:rPr>
        <w:t>enfeksiyonun</w:t>
      </w:r>
      <w:r w:rsidR="00607AD6">
        <w:rPr>
          <w:rStyle w:val="fontstyle21"/>
          <w:rFonts w:ascii="Times New Roman" w:hAnsi="Times New Roman"/>
        </w:rPr>
        <w:t xml:space="preserve"> görülmesidir.</w:t>
      </w:r>
      <w:r w:rsidRPr="003656DA">
        <w:rPr>
          <w:rStyle w:val="fontstyle21"/>
          <w:rFonts w:ascii="Times New Roman" w:hAnsi="Times New Roman"/>
        </w:rPr>
        <w:t xml:space="preserve"> Nötropenik ve</w:t>
      </w:r>
      <w:r w:rsidR="007769A2">
        <w:rPr>
          <w:rStyle w:val="fontstyle21"/>
          <w:rFonts w:ascii="Times New Roman" w:hAnsi="Times New Roman"/>
        </w:rPr>
        <w:t xml:space="preserve"> </w:t>
      </w:r>
      <w:r w:rsidR="00C56F2F" w:rsidRPr="003656DA">
        <w:rPr>
          <w:rStyle w:val="fontstyle21"/>
          <w:rFonts w:ascii="Times New Roman" w:hAnsi="Times New Roman"/>
        </w:rPr>
        <w:t>immünsüpresif</w:t>
      </w:r>
      <w:r w:rsidRPr="003656DA">
        <w:rPr>
          <w:rStyle w:val="fontstyle21"/>
          <w:rFonts w:ascii="Times New Roman" w:hAnsi="Times New Roman"/>
        </w:rPr>
        <w:t xml:space="preserve"> hastalar sistemik </w:t>
      </w:r>
      <w:r w:rsidR="008419DB" w:rsidRPr="003656DA">
        <w:rPr>
          <w:rStyle w:val="fontstyle21"/>
          <w:rFonts w:ascii="Times New Roman" w:hAnsi="Times New Roman"/>
        </w:rPr>
        <w:t>enfeksiyona</w:t>
      </w:r>
      <w:r w:rsidRPr="003656DA">
        <w:rPr>
          <w:rStyle w:val="fontstyle21"/>
          <w:rFonts w:ascii="Times New Roman" w:hAnsi="Times New Roman"/>
        </w:rPr>
        <w:t xml:space="preserve"> yatkındırlar. </w:t>
      </w:r>
      <w:r w:rsidRPr="003656DA">
        <w:rPr>
          <w:rStyle w:val="fontstyle21"/>
          <w:rFonts w:ascii="Times New Roman" w:hAnsi="Times New Roman"/>
        </w:rPr>
        <w:lastRenderedPageBreak/>
        <w:t xml:space="preserve">Vücut </w:t>
      </w:r>
      <w:r w:rsidR="00607AD6">
        <w:rPr>
          <w:rStyle w:val="fontstyle21"/>
          <w:rFonts w:ascii="Times New Roman" w:hAnsi="Times New Roman"/>
        </w:rPr>
        <w:t>sıcaklığı</w:t>
      </w:r>
      <w:r w:rsidRPr="003656DA">
        <w:rPr>
          <w:rStyle w:val="fontstyle21"/>
          <w:rFonts w:ascii="Times New Roman" w:hAnsi="Times New Roman"/>
        </w:rPr>
        <w:t xml:space="preserve"> değişiklikleri olası bir </w:t>
      </w:r>
      <w:r w:rsidR="00C56F2F" w:rsidRPr="003656DA">
        <w:rPr>
          <w:rStyle w:val="fontstyle21"/>
          <w:rFonts w:ascii="Times New Roman" w:hAnsi="Times New Roman"/>
        </w:rPr>
        <w:t>enfeksiyon</w:t>
      </w:r>
      <w:r w:rsidRPr="003656DA">
        <w:rPr>
          <w:rStyle w:val="fontstyle21"/>
          <w:rFonts w:ascii="Times New Roman" w:hAnsi="Times New Roman"/>
        </w:rPr>
        <w:t xml:space="preserve"> için</w:t>
      </w:r>
      <w:r>
        <w:rPr>
          <w:rStyle w:val="fontstyle21"/>
          <w:rFonts w:ascii="Times New Roman" w:hAnsi="Times New Roman"/>
        </w:rPr>
        <w:t xml:space="preserve"> </w:t>
      </w:r>
      <w:r w:rsidR="00607AD6">
        <w:rPr>
          <w:rStyle w:val="fontstyle21"/>
          <w:rFonts w:ascii="Times New Roman" w:hAnsi="Times New Roman"/>
        </w:rPr>
        <w:t>değerlendirilmelidir.</w:t>
      </w:r>
      <w:r w:rsidRPr="003656DA">
        <w:rPr>
          <w:rStyle w:val="fontstyle21"/>
          <w:rFonts w:ascii="Times New Roman" w:hAnsi="Times New Roman"/>
        </w:rPr>
        <w:t xml:space="preserve"> </w:t>
      </w:r>
      <w:r w:rsidR="00607AD6">
        <w:rPr>
          <w:rStyle w:val="fontstyle21"/>
          <w:rFonts w:ascii="Times New Roman" w:hAnsi="Times New Roman"/>
        </w:rPr>
        <w:t xml:space="preserve">Salınan </w:t>
      </w:r>
      <w:r w:rsidR="00607AD6" w:rsidRPr="003656DA">
        <w:rPr>
          <w:rStyle w:val="fontstyle21"/>
          <w:rFonts w:ascii="Times New Roman" w:hAnsi="Times New Roman"/>
        </w:rPr>
        <w:t>IL-1</w:t>
      </w:r>
      <w:r w:rsidR="00607AD6">
        <w:rPr>
          <w:rStyle w:val="fontstyle21"/>
          <w:rFonts w:ascii="Times New Roman" w:hAnsi="Times New Roman"/>
        </w:rPr>
        <w:t xml:space="preserve"> ve </w:t>
      </w:r>
      <w:r w:rsidR="00607AD6" w:rsidRPr="003656DA">
        <w:rPr>
          <w:rStyle w:val="fontstyle21"/>
          <w:rFonts w:ascii="Times New Roman" w:hAnsi="Times New Roman"/>
        </w:rPr>
        <w:t xml:space="preserve">TNF-α </w:t>
      </w:r>
      <w:r w:rsidR="00607AD6">
        <w:rPr>
          <w:rStyle w:val="fontstyle21"/>
          <w:rFonts w:ascii="Times New Roman" w:hAnsi="Times New Roman"/>
        </w:rPr>
        <w:t xml:space="preserve"> aracılığıyla ateş meydana gelmektedir.</w:t>
      </w:r>
      <w:r w:rsidR="00607AD6" w:rsidRPr="003656DA">
        <w:rPr>
          <w:rStyle w:val="fontstyle21"/>
          <w:rFonts w:ascii="Times New Roman" w:hAnsi="Times New Roman"/>
        </w:rPr>
        <w:t xml:space="preserve"> </w:t>
      </w:r>
    </w:p>
    <w:p w14:paraId="31CB25DF" w14:textId="77777777" w:rsidR="00361C1F" w:rsidRDefault="00361C1F" w:rsidP="007402F8">
      <w:pPr>
        <w:rPr>
          <w:rStyle w:val="fontstyle21"/>
          <w:rFonts w:ascii="Times New Roman" w:hAnsi="Times New Roman"/>
        </w:rPr>
      </w:pPr>
    </w:p>
    <w:p w14:paraId="31CB25E0" w14:textId="77777777" w:rsidR="00C70703" w:rsidRPr="009662A3" w:rsidRDefault="00462525" w:rsidP="00C50692">
      <w:pPr>
        <w:pStyle w:val="Balk2"/>
        <w:numPr>
          <w:ilvl w:val="0"/>
          <w:numId w:val="12"/>
        </w:numPr>
      </w:pPr>
      <w:bookmarkStart w:id="97" w:name="_Toc45265890"/>
      <w:bookmarkStart w:id="98" w:name="_Toc55727786"/>
      <w:r w:rsidRPr="009662A3">
        <w:t>Sepsis Tanı Kriterleri</w:t>
      </w:r>
      <w:bookmarkEnd w:id="97"/>
      <w:bookmarkEnd w:id="98"/>
    </w:p>
    <w:p w14:paraId="31CB25E2" w14:textId="43C48681" w:rsidR="00B71F47" w:rsidRDefault="00B71F47" w:rsidP="00B71F47">
      <w:pPr>
        <w:jc w:val="left"/>
        <w:rPr>
          <w:lang w:eastAsia="tr-TR"/>
        </w:rPr>
      </w:pPr>
      <w:r w:rsidRPr="00037DDE">
        <w:rPr>
          <w:lang w:eastAsia="tr-TR"/>
        </w:rPr>
        <w:t xml:space="preserve">Sepsis-3 isimli </w:t>
      </w:r>
      <w:r>
        <w:rPr>
          <w:lang w:eastAsia="tr-TR"/>
        </w:rPr>
        <w:t xml:space="preserve">2016 yılındaki </w:t>
      </w:r>
      <w:r w:rsidRPr="00037DDE">
        <w:rPr>
          <w:lang w:eastAsia="tr-TR"/>
        </w:rPr>
        <w:t>uzla</w:t>
      </w:r>
      <w:r>
        <w:rPr>
          <w:lang w:eastAsia="tr-TR"/>
        </w:rPr>
        <w:t>ş</w:t>
      </w:r>
      <w:r w:rsidRPr="00037DDE">
        <w:rPr>
          <w:lang w:eastAsia="tr-TR"/>
        </w:rPr>
        <w:t>ı toplantısında</w:t>
      </w:r>
      <w:r>
        <w:rPr>
          <w:lang w:eastAsia="tr-TR"/>
        </w:rPr>
        <w:t xml:space="preserve"> </w:t>
      </w:r>
      <w:r>
        <w:t>yayınlanan</w:t>
      </w:r>
      <w:r w:rsidRPr="00D67D8F">
        <w:t xml:space="preserve"> sepsis kılavuzunda</w:t>
      </w:r>
      <w:r>
        <w:rPr>
          <w:lang w:eastAsia="tr-TR"/>
        </w:rPr>
        <w:t xml:space="preserve"> “Sepsis, </w:t>
      </w:r>
      <w:r w:rsidRPr="00037DDE">
        <w:rPr>
          <w:lang w:eastAsia="tr-TR"/>
        </w:rPr>
        <w:t>enfeksiyona kar</w:t>
      </w:r>
      <w:r w:rsidR="008E6A64">
        <w:rPr>
          <w:lang w:eastAsia="tr-TR"/>
        </w:rPr>
        <w:t>ş</w:t>
      </w:r>
      <w:r w:rsidRPr="00037DDE">
        <w:rPr>
          <w:lang w:eastAsia="tr-TR"/>
        </w:rPr>
        <w:t>ı disregüle</w:t>
      </w:r>
      <w:r>
        <w:rPr>
          <w:lang w:eastAsia="tr-TR"/>
        </w:rPr>
        <w:t xml:space="preserve"> </w:t>
      </w:r>
      <w:r w:rsidRPr="00037DDE">
        <w:rPr>
          <w:lang w:eastAsia="tr-TR"/>
        </w:rPr>
        <w:t xml:space="preserve">konak yanıtına bağlı organ disfonksiyonu” </w:t>
      </w:r>
      <w:r>
        <w:rPr>
          <w:lang w:eastAsia="tr-TR"/>
        </w:rPr>
        <w:t>ş</w:t>
      </w:r>
      <w:r w:rsidRPr="00037DDE">
        <w:rPr>
          <w:lang w:eastAsia="tr-TR"/>
        </w:rPr>
        <w:t>eklinde tanımlanmı</w:t>
      </w:r>
      <w:r>
        <w:rPr>
          <w:lang w:eastAsia="tr-TR"/>
        </w:rPr>
        <w:t>ş</w:t>
      </w:r>
      <w:r w:rsidRPr="00037DDE">
        <w:rPr>
          <w:lang w:eastAsia="tr-TR"/>
        </w:rPr>
        <w:t xml:space="preserve"> ve “kanıtlanmı</w:t>
      </w:r>
      <w:r>
        <w:rPr>
          <w:lang w:eastAsia="tr-TR"/>
        </w:rPr>
        <w:t xml:space="preserve">ş </w:t>
      </w:r>
      <w:r w:rsidRPr="00037DDE">
        <w:rPr>
          <w:lang w:eastAsia="tr-TR"/>
        </w:rPr>
        <w:t>enfeksiyonun yanında ya</w:t>
      </w:r>
      <w:r>
        <w:rPr>
          <w:lang w:eastAsia="tr-TR"/>
        </w:rPr>
        <w:t>ş</w:t>
      </w:r>
      <w:r w:rsidRPr="00037DDE">
        <w:rPr>
          <w:lang w:eastAsia="tr-TR"/>
        </w:rPr>
        <w:t>amı tehdit eden organ yetmezliği” tanı kriteri olarak</w:t>
      </w:r>
      <w:r>
        <w:rPr>
          <w:lang w:eastAsia="tr-TR"/>
        </w:rPr>
        <w:t xml:space="preserve"> </w:t>
      </w:r>
      <w:r w:rsidRPr="00037DDE">
        <w:rPr>
          <w:lang w:eastAsia="tr-TR"/>
        </w:rPr>
        <w:t>belirlenmi</w:t>
      </w:r>
      <w:r>
        <w:rPr>
          <w:lang w:eastAsia="tr-TR"/>
        </w:rPr>
        <w:t>ş</w:t>
      </w:r>
      <w:r w:rsidRPr="00037DDE">
        <w:rPr>
          <w:lang w:eastAsia="tr-TR"/>
        </w:rPr>
        <w:t xml:space="preserve">tir. </w:t>
      </w:r>
    </w:p>
    <w:p w14:paraId="31CB25E3" w14:textId="2A573E33" w:rsidR="00B71F47" w:rsidRDefault="00B71F47" w:rsidP="00B71F47">
      <w:pPr>
        <w:rPr>
          <w:color w:val="FF0000"/>
        </w:rPr>
      </w:pPr>
      <w:r w:rsidRPr="00037DDE">
        <w:rPr>
          <w:lang w:eastAsia="tr-TR"/>
        </w:rPr>
        <w:t>Bu organ i</w:t>
      </w:r>
      <w:r>
        <w:rPr>
          <w:lang w:eastAsia="tr-TR"/>
        </w:rPr>
        <w:t>ş</w:t>
      </w:r>
      <w:r w:rsidRPr="00037DDE">
        <w:rPr>
          <w:lang w:eastAsia="tr-TR"/>
        </w:rPr>
        <w:t>lev bozukluğu SOFA skorunda 2 puan ve daha fazla artı</w:t>
      </w:r>
      <w:r>
        <w:rPr>
          <w:lang w:eastAsia="tr-TR"/>
        </w:rPr>
        <w:t>ş</w:t>
      </w:r>
      <w:r w:rsidRPr="00037DDE">
        <w:rPr>
          <w:lang w:eastAsia="tr-TR"/>
        </w:rPr>
        <w:br/>
        <w:t>olması ile karakterizedir.</w:t>
      </w:r>
      <w:r>
        <w:rPr>
          <w:lang w:eastAsia="tr-TR"/>
        </w:rPr>
        <w:t xml:space="preserve"> </w:t>
      </w:r>
      <w:r w:rsidRPr="00037DDE">
        <w:rPr>
          <w:lang w:eastAsia="tr-TR"/>
        </w:rPr>
        <w:t>Kolay uygulanabilirliği açısından üstünlüğü kabul edilen qSOFA skoru, 2 veya</w:t>
      </w:r>
      <w:r>
        <w:rPr>
          <w:lang w:eastAsia="tr-TR"/>
        </w:rPr>
        <w:t xml:space="preserve"> </w:t>
      </w:r>
      <w:r w:rsidRPr="00037DDE">
        <w:rPr>
          <w:lang w:eastAsia="tr-TR"/>
        </w:rPr>
        <w:t>üzeri olduğunda sepsis ön planda dü</w:t>
      </w:r>
      <w:r>
        <w:rPr>
          <w:lang w:eastAsia="tr-TR"/>
        </w:rPr>
        <w:t>ş</w:t>
      </w:r>
      <w:r w:rsidRPr="00037DDE">
        <w:rPr>
          <w:lang w:eastAsia="tr-TR"/>
        </w:rPr>
        <w:t>ünülmelidir</w:t>
      </w:r>
      <w:r>
        <w:rPr>
          <w:lang w:eastAsia="tr-TR"/>
        </w:rPr>
        <w:t xml:space="preserve"> </w:t>
      </w:r>
      <w:r>
        <w:rPr>
          <w:lang w:eastAsia="tr-TR"/>
        </w:rPr>
        <w:fldChar w:fldCharType="begin" w:fldLock="1"/>
      </w:r>
      <w:r w:rsidR="0085653B">
        <w:rPr>
          <w:lang w:eastAsia="tr-TR"/>
        </w:rPr>
        <w:instrText>ADDIN CSL_CITATION {"citationItems":[{"id":"ITEM-1","itemData":{"id":"ITEM-1","issued":{"date-parts":[["0"]]},"title":"Singer M, Deutschman CS, Seymour CW, Shankar-Hari M, Annane D, Bauer M, et al. The Third International Consensus Definitions for Sepsis and Septic Shock (Sepsis-3) JAMA. 2016;315(8):801–10","type":"article-journal"},"uris":["http://www.mendeley.com/documents/?uuid=d1a74f50-693e-4a6e-9b3b-e944e2e371ed"]}],"mendeley":{"formattedCitation":"(42)","plainTextFormattedCitation":"(42)","previouslyFormattedCitation":"(42)"},"properties":{"noteIndex":0},"schema":"https://github.com/citation-style-language/schema/raw/master/csl-citation.json"}</w:instrText>
      </w:r>
      <w:r>
        <w:rPr>
          <w:lang w:eastAsia="tr-TR"/>
        </w:rPr>
        <w:fldChar w:fldCharType="separate"/>
      </w:r>
      <w:r w:rsidR="0085653B" w:rsidRPr="0085653B">
        <w:rPr>
          <w:noProof/>
          <w:lang w:eastAsia="tr-TR"/>
        </w:rPr>
        <w:t>(42)</w:t>
      </w:r>
      <w:r>
        <w:rPr>
          <w:lang w:eastAsia="tr-TR"/>
        </w:rPr>
        <w:fldChar w:fldCharType="end"/>
      </w:r>
      <w:r w:rsidRPr="00037DDE">
        <w:rPr>
          <w:lang w:eastAsia="tr-TR"/>
        </w:rPr>
        <w:t>.</w:t>
      </w:r>
      <w:r w:rsidRPr="00037DDE">
        <w:rPr>
          <w:color w:val="FF0000"/>
        </w:rPr>
        <w:t xml:space="preserve"> </w:t>
      </w:r>
    </w:p>
    <w:p w14:paraId="31CB25E4" w14:textId="066326DF" w:rsidR="00B71F47" w:rsidRDefault="00C56F2F" w:rsidP="00B71F47">
      <w:pPr>
        <w:rPr>
          <w:color w:val="FF0000"/>
        </w:rPr>
      </w:pPr>
      <w:r>
        <w:t>E</w:t>
      </w:r>
      <w:r w:rsidRPr="00D67D8F">
        <w:t>nfeksiyon</w:t>
      </w:r>
      <w:r w:rsidR="00D67D8F" w:rsidRPr="00D67D8F">
        <w:t xml:space="preserve"> tanısı</w:t>
      </w:r>
      <w:r w:rsidR="00B71F47">
        <w:t>,</w:t>
      </w:r>
      <w:r w:rsidR="00D67D8F" w:rsidRPr="00D67D8F">
        <w:t xml:space="preserve"> patojenlerin kan veya doku kültürlerinde üremesi ile kesin</w:t>
      </w:r>
      <w:r w:rsidR="00D67D8F" w:rsidRPr="00D67D8F">
        <w:br/>
        <w:t xml:space="preserve">olarak </w:t>
      </w:r>
      <w:r w:rsidRPr="00D67D8F">
        <w:t>anlaşılır</w:t>
      </w:r>
      <w:r w:rsidR="00D67D8F" w:rsidRPr="00D67D8F">
        <w:t>. Ancak kültürler 6-48 saatte sonuç verir</w:t>
      </w:r>
      <w:r w:rsidR="00B71F47">
        <w:t xml:space="preserve">ler. </w:t>
      </w:r>
      <w:r w:rsidR="00B71F47" w:rsidRPr="00D925AB">
        <w:t>Sepsisli hastaların çoğunda kan</w:t>
      </w:r>
      <w:r w:rsidR="00B71F47">
        <w:t xml:space="preserve"> </w:t>
      </w:r>
      <w:r w:rsidR="00B71F47" w:rsidRPr="00D925AB">
        <w:t xml:space="preserve">kültürlerinde üreme saptanamamaktadır. </w:t>
      </w:r>
      <w:r w:rsidR="00B71F47">
        <w:t xml:space="preserve">Kültürde üreme </w:t>
      </w:r>
      <w:r w:rsidR="00186C44">
        <w:t xml:space="preserve">olmaması erken antibiyotik başlanması ile ilişkili olabilmektedir. </w:t>
      </w:r>
      <w:r w:rsidR="00186C44" w:rsidRPr="003A4709">
        <w:t>Kültür negatif ve kültür pozitif sepsis hastaları, büyük ölçüde benzer özellikler ve mortalite gösterirler</w:t>
      </w:r>
      <w:r w:rsidR="00186C44">
        <w:t xml:space="preserve"> </w:t>
      </w:r>
      <w:r w:rsidR="00186C44">
        <w:fldChar w:fldCharType="begin" w:fldLock="1"/>
      </w:r>
      <w:r w:rsidR="0085653B">
        <w:instrText>ADDIN CSL_CITATION {"citationItems":[{"id":"ITEM-1","itemData":{"DOI":"10.1213/ANE.0000000000004072","ISSN":"0003-2999","abstract":"BACKGROUND: The primary objective of this study was to compare the characteristics of culture-positive and culture-negative status in septic patients. We also determined whether culture status is associated with mortality and whether unique variables are associated with mortality in culture-positive and culture-negative patients separately. METHODS: Utilizing patient records from intensive care units, emergency department, and general care wards in a large academic medical center, we identified adult patients with suspected infection and ≥2 systemic inflammatory response syndrome criteria between January 1, 2007, and May 31, 2014. We compared the characteristics between culture-positive and culture-negative patients and used binary logistic regression to identify variables independently associated with culture status and mortality. We also did sensitivity analyses using patients with Sequential Organ Failure Assessment and quick Sequential Organ Failure Assessment criteria for sepsis. RESULTS: The study population included 9288 culture-negative patients (89%) and 1105 culture-positive patients (11%). Culture-negative patients received more antibiotics during the 48 hours preceding diagnosis but otherwise demonstrated similar characteristics as culture-positive patients. After adjusting for illness severity, a positive culture was not independently associated with mortality (odds ratio = 1.01 [95% CI, 0.81-1.26]; P =.945). The models predicting mortality separately in culture-negative and culture-positive patients demonstrated very good and excellent discrimination (C-statistic ± SD, 0.87 ± 0.01 and 0.92 ± 0.01), respectively. In the sensitivity analyses using patients with sepsis by Sequential Organ Failure Assessment and quick Sequential Organ Failure Assessment criteria, after adjustments for illness severity, positive cultures were still not associated with mortality (odds ratio = 1.13 [95% CI, 0.86-1.43]; P =.303; and odds ratio = 1.05 [95% CI, 0.83-1.33]; P =.665), respectively. In all models, physiological derangements were associated with mortality. CONCLUSIONS: While culture status is important for tailoring antibiotics, culture-negative and culture-positive patients with sepsis demonstrate similar characteristics and, after adjusting for severity of illness, similar mortality. The most important factor associated with negative cultures is receipt of antibiotics during the preceding 48 hours. The risk of death in patients suspected of having an …","author":[{"dropping-particle":"","family":"Sigakis","given":"Matthew J. G.","non-dropping-particle":"","parse-names":false,"suffix":""},{"dropping-particle":"","family":"Jewell","given":"Elizabeth","non-dropping-particle":"","parse-names":false,"suffix":""},{"dropping-particle":"","family":"Maile","given":"Michael D.","non-dropping-particle":"","parse-names":false,"suffix":""},{"dropping-particle":"","family":"Cinti","given":"Sandro K.","non-dropping-particle":"","parse-names":false,"suffix":""},{"dropping-particle":"","family":"Bateman","given":"Brian T.","non-dropping-particle":"","parse-names":false,"suffix":""},{"dropping-particle":"","family":"Engoren","given":"Milo","non-dropping-particle":"","parse-names":false,"suffix":""}],"container-title":"Anesthesia &amp; Analgesia","id":"ITEM-1","issue":"5","issued":{"date-parts":[["2019","11","1"]]},"page":"1300-1309","publisher":"Lippincott Williams and Wilkins","title":"Culture-Negative and Culture-Positive Sepsis","type":"article-journal","volume":"129"},"uris":["http://www.mendeley.com/documents/?uuid=62c249ed-4c5c-370d-bf3c-daba590fe8b5"]}],"mendeley":{"formattedCitation":"(43)","plainTextFormattedCitation":"(43)","previouslyFormattedCitation":"(43)"},"properties":{"noteIndex":0},"schema":"https://github.com/citation-style-language/schema/raw/master/csl-citation.json"}</w:instrText>
      </w:r>
      <w:r w:rsidR="00186C44">
        <w:fldChar w:fldCharType="separate"/>
      </w:r>
      <w:r w:rsidR="0085653B" w:rsidRPr="0085653B">
        <w:rPr>
          <w:noProof/>
        </w:rPr>
        <w:t>(43)</w:t>
      </w:r>
      <w:r w:rsidR="00186C44">
        <w:fldChar w:fldCharType="end"/>
      </w:r>
      <w:r w:rsidR="00B71F47" w:rsidRPr="00D925AB">
        <w:t>.</w:t>
      </w:r>
    </w:p>
    <w:p w14:paraId="31CB25E5" w14:textId="13D967AE" w:rsidR="00D67D8F" w:rsidRDefault="00B71F47" w:rsidP="00B71F47">
      <w:pPr>
        <w:rPr>
          <w:color w:val="FF0000"/>
        </w:rPr>
      </w:pPr>
      <w:r>
        <w:t>A</w:t>
      </w:r>
      <w:r w:rsidR="00D67D8F" w:rsidRPr="00D67D8F">
        <w:t>yrıca sepsis sadece patojenlere bağlı değil, patojenlerin ürettiği toksinlere bağlı da</w:t>
      </w:r>
      <w:r>
        <w:t xml:space="preserve"> </w:t>
      </w:r>
      <w:r w:rsidR="00C56F2F" w:rsidRPr="00D67D8F">
        <w:t>oluşabilir</w:t>
      </w:r>
      <w:r w:rsidR="00D67D8F" w:rsidRPr="00D67D8F">
        <w:t>. Bu nedenlerle Polymerase Chain Reaction (PCR) veya bazı bakteri türlerinin</w:t>
      </w:r>
      <w:r>
        <w:t xml:space="preserve"> </w:t>
      </w:r>
      <w:r w:rsidR="008419DB">
        <w:t xml:space="preserve">hızlı (&lt;4 </w:t>
      </w:r>
      <w:r w:rsidR="00D67D8F" w:rsidRPr="00D67D8F">
        <w:t>sa) tanısını sağlayan moleküler yöntemler geleneksel kültür yönteminin yerini</w:t>
      </w:r>
      <w:r>
        <w:t xml:space="preserve"> </w:t>
      </w:r>
      <w:r w:rsidR="00D67D8F" w:rsidRPr="00D67D8F">
        <w:t xml:space="preserve">alabilir </w:t>
      </w:r>
      <w:r w:rsidR="00995B2D">
        <w:fldChar w:fldCharType="begin" w:fldLock="1"/>
      </w:r>
      <w:r w:rsidR="0085653B">
        <w:instrText>ADDIN CSL_CITATION {"citationItems":[{"id":"ITEM-1","itemData":{"DOI":"10.1086/345438","ISSN":"1058-4838","abstract":"The diagnosis of bacterial meningitis often depends on isolation of bacteria on culture, which may take 24-48 h. DNA amplification techniques could provide rapid diagnosis, which would guide the clinician in antimicrobial therapy decisions. This study determined the clinical utility of polymerase chain reaction (PCR) for the diagnosis of meningitis with use of a broad range of bacterial primers. Seventy-four cerebrospinal fluid specimens obtained from 70 patients were subjected to PCR with use of primers derived from conserved regions of the bacterial 16S RNA gene. The test characteristics for the broad-range bacterial PCR were as follows: sensitivity, 100%; specificity, 98.2%; positive predictive value, 94.4%; and negative predictive value, 100%. Broad-range bacterial PCR may be useful for excluding the diagnosis of meningitis, and the results may influence the decision to initiate or discontinue antimicrobial therapy.","author":[{"dropping-particle":"","family":"Saravolatz","given":"Louis D.","non-dropping-particle":"","parse-names":false,"suffix":""},{"dropping-particle":"","family":"Manzor","given":"Odette","non-dropping-particle":"","parse-names":false,"suffix":""},{"dropping-particle":"","family":"VanderVelde","given":"Nancy","non-dropping-particle":"","parse-names":false,"suffix":""},{"dropping-particle":"","family":"Pawlak","given":"Joan","non-dropping-particle":"","parse-names":false,"suffix":""},{"dropping-particle":"","family":"Belian","given":"Bradley","non-dropping-particle":"","parse-names":false,"suffix":""}],"container-title":"Clinical Infectious Diseases","id":"ITEM-1","issue":"1","issued":{"date-parts":[["2003","1","1"]]},"page":"40-45","publisher":"Oxford University Press (OUP)","title":"Broad</w:instrText>
      </w:r>
      <w:r w:rsidR="0085653B">
        <w:rPr>
          <w:rFonts w:ascii="Cambria Math" w:hAnsi="Cambria Math" w:cs="Cambria Math"/>
        </w:rPr>
        <w:instrText>‐</w:instrText>
      </w:r>
      <w:r w:rsidR="0085653B">
        <w:instrText>Range Bacterial Polymerase Chain Reaction for Early Detection of Bacterial Meningitis","type":"article-journal","volume":"36"},"uris":["http://www.mendeley.com/documents/?uuid=39c46eb9-62b0-3cb9-8a25-360b75a17912"]}],"mendeley":{"formattedCitation":"(44)","plainTextFormattedCitation":"(44)","previouslyFormattedCitation":"(44)"},"properties":{"noteIndex":0},"schema":"https://github.com/citation-style-language/schema/raw/master/csl-citation.json"}</w:instrText>
      </w:r>
      <w:r w:rsidR="00995B2D">
        <w:fldChar w:fldCharType="separate"/>
      </w:r>
      <w:r w:rsidR="0085653B" w:rsidRPr="0085653B">
        <w:rPr>
          <w:noProof/>
        </w:rPr>
        <w:t>(44)</w:t>
      </w:r>
      <w:r w:rsidR="00995B2D">
        <w:fldChar w:fldCharType="end"/>
      </w:r>
      <w:r w:rsidR="00995B2D">
        <w:t>.</w:t>
      </w:r>
    </w:p>
    <w:p w14:paraId="31CB25E6" w14:textId="0DA676CC" w:rsidR="00D67D8F" w:rsidRDefault="00D67D8F" w:rsidP="00B71F47">
      <w:r w:rsidRPr="00D67D8F">
        <w:t>Antibiyotik tedavisinde bariz bir gecikmeye neden olmayacaksa antibiyotik</w:t>
      </w:r>
      <w:r w:rsidRPr="00D67D8F">
        <w:br/>
        <w:t>tedavisinden önce kültürlerin alınmasını önerilir. Etken mikroorganizmanın tanınması</w:t>
      </w:r>
      <w:r w:rsidRPr="00D67D8F">
        <w:br/>
        <w:t>için antibiyotikten önce en az iki kan kültürü alınmalıdır. Bunlardan biri perkütan olarak</w:t>
      </w:r>
      <w:r w:rsidRPr="00D67D8F">
        <w:br/>
      </w:r>
      <w:r w:rsidR="00C56F2F">
        <w:t>diğeri vasküler giriş</w:t>
      </w:r>
      <w:r w:rsidRPr="00D67D8F">
        <w:t>i 48 saatten önce olan bir yerden alınmalıdır. Diğer yandan eğer</w:t>
      </w:r>
      <w:r w:rsidRPr="00D67D8F">
        <w:br/>
        <w:t>antibiyotik tedavisinde gecikme olmayacaksa kültür</w:t>
      </w:r>
      <w:r w:rsidR="00B71F47">
        <w:t>;</w:t>
      </w:r>
      <w:r w:rsidRPr="00D67D8F">
        <w:t xml:space="preserve"> idrar, BOS, yara, </w:t>
      </w:r>
      <w:r w:rsidR="00C56F2F" w:rsidRPr="00D67D8F">
        <w:t>respiratuvar</w:t>
      </w:r>
      <w:r w:rsidRPr="00D67D8F">
        <w:br/>
      </w:r>
      <w:r w:rsidR="00C56F2F">
        <w:t>sekresyon</w:t>
      </w:r>
      <w:r w:rsidRPr="00D67D8F">
        <w:t xml:space="preserve"> ya da diğer vücut sıvılarından da alınabilir </w:t>
      </w:r>
      <w:r w:rsidR="00995B2D">
        <w:fldChar w:fldCharType="begin" w:fldLock="1"/>
      </w:r>
      <w:r w:rsidR="0085653B">
        <w:instrText>ADDIN CSL_CITATION {"citationItems":[{"id":"ITEM-1","itemData":{"DOI":"10.1210/jc.2002-021808","ISSN":"0021-972X","abstract":"The role of resistin in obesity and insulin resistance in humans is controversial. Therefore, resistin protein was quantitated by ELISA in serum of 27 lean [13 women/14 men, body mass index (BMI) 21.7 ± 0.4 kg/m 2, age 33 ± 2 yr] and 50 obese (37 women/13 men, BMI 49.8 ± 1.5 kg/m2, age 47 ± 1 yr) subjects. There was more serum resistin protein in the obese (mean ± SEM: 5.3 ± 0.4 ng/ml; range 1.8-17.9) than lean subjects (3.6 ± 0.4 ng/ml; range 1.5-9.9; P = 0.001). The elevation of serum resistin in obese humans was confirmed by Western blot as was expression of resistin protein in human adipose tissue and isolated adipocytes. There was a significant positive correlation between resistin and BMI (r = 0.37; P = 0.002). Multiple regression analysis with predictors BMI and resistin explained 25% of the variance in homeostasis model assessment of insulin resistance score. BMI was a significant predictor of insulin resistance (P = 0.0002), but resistin adjusted for BMI was not (P = 0.11). The data demonstrate that resistin protein is present in human adipose tissue and blood, and that there is significantly more resistin in the serum of obese subjects. Serum resistin is not a significant predictor of insulin resistance in humans.","author":[{"dropping-particle":"","family":"Degawa-Yamauchi","given":"Mikako","non-dropping-particle":"","parse-names":false,"suffix":""},{"dropping-particle":"","family":"Bovenkerk","given":"Jason E.","non-dropping-particle":"","parse-names":false,"suffix":""},{"dropping-particle":"","family":"Juliar","given":"Beth Elisa","non-dropping-particle":"","parse-names":false,"suffix":""},{"dropping-particle":"","family":"Watson","given":"William","non-dropping-particle":"","parse-names":false,"suffix":""},{"dropping-particle":"","family":"Kerr","given":"Kimberly","non-dropping-particle":"","parse-names":false,"suffix":""},{"dropping-particle":"","family":"Jones","given":"RoseMarie","non-dropping-particle":"","parse-names":false,"suffix":""},{"dropping-particle":"","family":"Zhu","given":"Qihong","non-dropping-particle":"","parse-names":false,"suffix":""},{"dropping-particle":"V.","family":"Considine","given":"Robert","non-dropping-particle":"","parse-names":false,"suffix":""}],"container-title":"The Journal of Clinical Endocrinology &amp; Metabolism","id":"ITEM-1","issue":"11","issued":{"date-parts":[["2003","11","1"]]},"page":"5452-5455","publisher":"Oxford Academic","title":"Serum Resistin (FIZZ3) Protein Is Increased in Obese Humans","type":"article-journal","volume":"88"},"uris":["http://www.mendeley.com/documents/?uuid=82a2921c-d879-3e97-b9ad-0a6a7002032b"]}],"mendeley":{"formattedCitation":"(45)","plainTextFormattedCitation":"(45)","previouslyFormattedCitation":"(45)"},"properties":{"noteIndex":0},"schema":"https://github.com/citation-style-language/schema/raw/master/csl-citation.json"}</w:instrText>
      </w:r>
      <w:r w:rsidR="00995B2D">
        <w:fldChar w:fldCharType="separate"/>
      </w:r>
      <w:r w:rsidR="0085653B" w:rsidRPr="0085653B">
        <w:rPr>
          <w:noProof/>
        </w:rPr>
        <w:t>(45)</w:t>
      </w:r>
      <w:r w:rsidR="00995B2D">
        <w:fldChar w:fldCharType="end"/>
      </w:r>
      <w:r w:rsidR="00995B2D">
        <w:t>.</w:t>
      </w:r>
    </w:p>
    <w:p w14:paraId="6455DE31" w14:textId="77777777" w:rsidR="00186C44" w:rsidRDefault="00186C44" w:rsidP="00B71F47"/>
    <w:p w14:paraId="31CB25E7" w14:textId="77777777" w:rsidR="007402F8" w:rsidRDefault="00F14ADC" w:rsidP="007402F8">
      <w:pPr>
        <w:rPr>
          <w:lang w:eastAsia="tr-TR"/>
        </w:rPr>
      </w:pPr>
      <w:r>
        <w:t>S</w:t>
      </w:r>
      <w:r w:rsidRPr="003656DA">
        <w:t>epsiste tanı ve prognoz tayininde kullanılan</w:t>
      </w:r>
      <w:r>
        <w:t xml:space="preserve"> iki</w:t>
      </w:r>
      <w:r w:rsidRPr="003656DA">
        <w:t xml:space="preserve"> skorlama </w:t>
      </w:r>
      <w:r>
        <w:t>sistemi vardır:</w:t>
      </w:r>
      <w:r w:rsidR="007F7666">
        <w:t xml:space="preserve"> </w:t>
      </w:r>
      <w:r w:rsidR="008B7DB3">
        <w:t>S</w:t>
      </w:r>
      <w:r w:rsidR="007402F8" w:rsidRPr="00037DDE">
        <w:rPr>
          <w:lang w:eastAsia="tr-TR"/>
        </w:rPr>
        <w:t>OFA</w:t>
      </w:r>
      <w:r w:rsidR="005C31FA">
        <w:rPr>
          <w:lang w:eastAsia="tr-TR"/>
        </w:rPr>
        <w:t xml:space="preserve"> ve </w:t>
      </w:r>
      <w:r w:rsidR="007402F8" w:rsidRPr="00037DDE">
        <w:rPr>
          <w:lang w:eastAsia="tr-TR"/>
        </w:rPr>
        <w:t>qSOFA</w:t>
      </w:r>
      <w:r w:rsidR="007F7666">
        <w:rPr>
          <w:lang w:eastAsia="tr-TR"/>
        </w:rPr>
        <w:t xml:space="preserve">. </w:t>
      </w:r>
    </w:p>
    <w:p w14:paraId="31CB25E8" w14:textId="77777777" w:rsidR="007402F8" w:rsidRPr="007402F8" w:rsidRDefault="007402F8" w:rsidP="00C50692">
      <w:pPr>
        <w:pStyle w:val="ListeParagraf"/>
        <w:keepNext/>
        <w:keepLines/>
        <w:numPr>
          <w:ilvl w:val="1"/>
          <w:numId w:val="4"/>
        </w:numPr>
        <w:spacing w:before="40" w:line="240" w:lineRule="auto"/>
        <w:contextualSpacing w:val="0"/>
        <w:outlineLvl w:val="2"/>
        <w:rPr>
          <w:rFonts w:eastAsiaTheme="majorEastAsia" w:cstheme="majorBidi"/>
          <w:b/>
          <w:vanish/>
          <w:szCs w:val="24"/>
        </w:rPr>
      </w:pPr>
      <w:bookmarkStart w:id="99" w:name="_Toc41803204"/>
      <w:bookmarkStart w:id="100" w:name="_Toc41808309"/>
      <w:bookmarkStart w:id="101" w:name="_Toc43775380"/>
      <w:bookmarkStart w:id="102" w:name="_Toc43775469"/>
      <w:bookmarkStart w:id="103" w:name="_Toc45265665"/>
      <w:bookmarkStart w:id="104" w:name="_Toc45265891"/>
      <w:bookmarkStart w:id="105" w:name="_Toc45497737"/>
      <w:bookmarkStart w:id="106" w:name="_Toc45497836"/>
      <w:bookmarkStart w:id="107" w:name="_Toc45497934"/>
      <w:bookmarkStart w:id="108" w:name="_Toc45498034"/>
      <w:bookmarkStart w:id="109" w:name="_Toc46048042"/>
      <w:bookmarkStart w:id="110" w:name="_Toc46154295"/>
      <w:bookmarkStart w:id="111" w:name="_Toc46495159"/>
      <w:bookmarkStart w:id="112" w:name="_Toc47882217"/>
      <w:bookmarkStart w:id="113" w:name="_Toc49815726"/>
      <w:bookmarkStart w:id="114" w:name="_Toc55727787"/>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p w14:paraId="31CB25E9" w14:textId="77777777" w:rsidR="00F23CF6" w:rsidRDefault="00F23CF6" w:rsidP="00D84756">
      <w:pPr>
        <w:pStyle w:val="Balk3"/>
        <w:numPr>
          <w:ilvl w:val="2"/>
          <w:numId w:val="4"/>
        </w:numPr>
        <w:ind w:left="851" w:firstLine="0"/>
      </w:pPr>
      <w:bookmarkStart w:id="115" w:name="_Toc45265892"/>
      <w:bookmarkStart w:id="116" w:name="_Toc55727788"/>
      <w:r w:rsidRPr="00A769E9">
        <w:t>SOFA</w:t>
      </w:r>
      <w:bookmarkEnd w:id="115"/>
      <w:bookmarkEnd w:id="116"/>
    </w:p>
    <w:p w14:paraId="31CB25EA" w14:textId="046C65FE" w:rsidR="007402F8" w:rsidRDefault="00F23CF6" w:rsidP="00F23CF6">
      <w:r w:rsidRPr="00F23CF6">
        <w:rPr>
          <w:color w:val="000000"/>
          <w:szCs w:val="24"/>
        </w:rPr>
        <w:t>Ba</w:t>
      </w:r>
      <w:r w:rsidR="00A272AB">
        <w:rPr>
          <w:color w:val="000000"/>
          <w:szCs w:val="24"/>
        </w:rPr>
        <w:t>ş</w:t>
      </w:r>
      <w:r w:rsidRPr="00F23CF6">
        <w:rPr>
          <w:color w:val="000000"/>
          <w:szCs w:val="24"/>
        </w:rPr>
        <w:t xml:space="preserve">langıçta sepsis </w:t>
      </w:r>
      <w:r w:rsidR="00C56F2F" w:rsidRPr="00F23CF6">
        <w:rPr>
          <w:color w:val="000000"/>
          <w:szCs w:val="24"/>
        </w:rPr>
        <w:t>ili</w:t>
      </w:r>
      <w:r w:rsidR="00C56F2F">
        <w:rPr>
          <w:color w:val="000000"/>
          <w:szCs w:val="24"/>
        </w:rPr>
        <w:t>ş</w:t>
      </w:r>
      <w:r w:rsidR="00C56F2F" w:rsidRPr="00F23CF6">
        <w:rPr>
          <w:color w:val="000000"/>
          <w:szCs w:val="24"/>
        </w:rPr>
        <w:t>kili</w:t>
      </w:r>
      <w:r w:rsidRPr="00F23CF6">
        <w:rPr>
          <w:color w:val="000000"/>
          <w:szCs w:val="24"/>
        </w:rPr>
        <w:t xml:space="preserve"> organ yetersizlik değerlendirme skoru</w:t>
      </w:r>
      <w:r w:rsidRPr="00F23CF6">
        <w:rPr>
          <w:color w:val="000000"/>
        </w:rPr>
        <w:br/>
      </w:r>
      <w:r w:rsidRPr="00F23CF6">
        <w:rPr>
          <w:color w:val="000000"/>
          <w:szCs w:val="24"/>
        </w:rPr>
        <w:t>olarak adlandırılmı</w:t>
      </w:r>
      <w:r w:rsidR="00A272AB">
        <w:rPr>
          <w:color w:val="000000"/>
          <w:szCs w:val="24"/>
        </w:rPr>
        <w:t>ş</w:t>
      </w:r>
      <w:r w:rsidRPr="00F23CF6">
        <w:rPr>
          <w:color w:val="000000"/>
          <w:szCs w:val="24"/>
        </w:rPr>
        <w:t xml:space="preserve"> olmakla birlikte, septik olmayan hastalara da e</w:t>
      </w:r>
      <w:r w:rsidR="00A272AB">
        <w:rPr>
          <w:color w:val="000000"/>
          <w:szCs w:val="24"/>
        </w:rPr>
        <w:t>ş</w:t>
      </w:r>
      <w:r w:rsidRPr="00F23CF6">
        <w:rPr>
          <w:color w:val="000000"/>
          <w:szCs w:val="24"/>
        </w:rPr>
        <w:t xml:space="preserve">it bir </w:t>
      </w:r>
      <w:r w:rsidR="00A272AB">
        <w:rPr>
          <w:color w:val="000000"/>
          <w:szCs w:val="24"/>
        </w:rPr>
        <w:t>ş</w:t>
      </w:r>
      <w:r w:rsidRPr="00F23CF6">
        <w:rPr>
          <w:color w:val="000000"/>
          <w:szCs w:val="24"/>
        </w:rPr>
        <w:t>ekilde</w:t>
      </w:r>
      <w:r w:rsidRPr="00F23CF6">
        <w:rPr>
          <w:color w:val="000000"/>
        </w:rPr>
        <w:br/>
      </w:r>
      <w:r w:rsidRPr="00F23CF6">
        <w:rPr>
          <w:color w:val="000000"/>
          <w:szCs w:val="24"/>
        </w:rPr>
        <w:t xml:space="preserve">uygulanabileceği görüldüğünden </w:t>
      </w:r>
      <w:r w:rsidRPr="00EF4B44">
        <w:rPr>
          <w:b/>
          <w:color w:val="000000"/>
          <w:szCs w:val="24"/>
        </w:rPr>
        <w:t>“ardı</w:t>
      </w:r>
      <w:r w:rsidR="00A272AB" w:rsidRPr="00EF4B44">
        <w:rPr>
          <w:b/>
          <w:color w:val="000000"/>
          <w:szCs w:val="24"/>
        </w:rPr>
        <w:t>ş</w:t>
      </w:r>
      <w:r w:rsidRPr="00EF4B44">
        <w:rPr>
          <w:b/>
          <w:color w:val="000000"/>
          <w:szCs w:val="24"/>
        </w:rPr>
        <w:t>ık organ yetersizliği değerlendirmesi”</w:t>
      </w:r>
      <w:r w:rsidRPr="00F23CF6">
        <w:rPr>
          <w:color w:val="000000"/>
          <w:szCs w:val="24"/>
        </w:rPr>
        <w:t xml:space="preserve"> olarak</w:t>
      </w:r>
      <w:r w:rsidRPr="00F23CF6">
        <w:rPr>
          <w:color w:val="000000"/>
        </w:rPr>
        <w:br/>
      </w:r>
      <w:r w:rsidRPr="00F23CF6">
        <w:rPr>
          <w:color w:val="000000"/>
          <w:szCs w:val="24"/>
        </w:rPr>
        <w:t>yeniden adlandırılmı</w:t>
      </w:r>
      <w:r w:rsidR="00A272AB">
        <w:rPr>
          <w:color w:val="000000"/>
          <w:szCs w:val="24"/>
        </w:rPr>
        <w:t>ş</w:t>
      </w:r>
      <w:r w:rsidRPr="00F23CF6">
        <w:rPr>
          <w:color w:val="000000"/>
          <w:szCs w:val="24"/>
        </w:rPr>
        <w:t>tır. Diğer sistemlerden farklı olarak, kritik hastalarda geli</w:t>
      </w:r>
      <w:r w:rsidR="00A272AB">
        <w:rPr>
          <w:color w:val="000000"/>
          <w:szCs w:val="24"/>
        </w:rPr>
        <w:t>ş</w:t>
      </w:r>
      <w:r w:rsidRPr="00F23CF6">
        <w:rPr>
          <w:color w:val="000000"/>
          <w:szCs w:val="24"/>
        </w:rPr>
        <w:t>en</w:t>
      </w:r>
      <w:r w:rsidRPr="00F23CF6">
        <w:rPr>
          <w:color w:val="000000"/>
        </w:rPr>
        <w:br/>
      </w:r>
      <w:r w:rsidRPr="00F23CF6">
        <w:rPr>
          <w:color w:val="000000"/>
          <w:szCs w:val="24"/>
        </w:rPr>
        <w:lastRenderedPageBreak/>
        <w:t>komplikasyonları tanımlamayı amaçlar. Burada altı organ sisteminin fonksiyonu</w:t>
      </w:r>
      <w:r w:rsidR="00EF4B44">
        <w:rPr>
          <w:color w:val="000000"/>
          <w:szCs w:val="24"/>
        </w:rPr>
        <w:t xml:space="preserve">, </w:t>
      </w:r>
      <w:r w:rsidRPr="00F23CF6">
        <w:rPr>
          <w:color w:val="000000"/>
          <w:szCs w:val="24"/>
        </w:rPr>
        <w:t>normal</w:t>
      </w:r>
      <w:r w:rsidRPr="00F23CF6">
        <w:rPr>
          <w:color w:val="000000"/>
        </w:rPr>
        <w:br/>
      </w:r>
      <w:r w:rsidRPr="009C2AD4">
        <w:t>değer</w:t>
      </w:r>
      <w:r w:rsidR="00EF4B44" w:rsidRPr="009C2AD4">
        <w:t>:</w:t>
      </w:r>
      <w:r w:rsidRPr="009C2AD4">
        <w:t>1 olmak üzere</w:t>
      </w:r>
      <w:r w:rsidR="00EF4B44" w:rsidRPr="009C2AD4">
        <w:t>,</w:t>
      </w:r>
      <w:r w:rsidRPr="009C2AD4">
        <w:t xml:space="preserve"> 1-4 arasında skorlanır. Her gün, gün içi en kötü değer kaydedilir</w:t>
      </w:r>
      <w:r w:rsidR="009C2AD4">
        <w:t xml:space="preserve">, </w:t>
      </w:r>
      <w:r w:rsidR="009C2AD4" w:rsidRPr="009C2AD4">
        <w:t>15 ve üzeri SOFA skorunda mortalite &gt;%90</w:t>
      </w:r>
      <w:r w:rsidR="00B0144B">
        <w:t>’</w:t>
      </w:r>
      <w:r w:rsidR="009C2AD4" w:rsidRPr="009C2AD4">
        <w:t>dır.</w:t>
      </w:r>
      <w:r w:rsidR="00186C44">
        <w:t xml:space="preserve"> SOFA skoru</w:t>
      </w:r>
      <w:r w:rsidR="00272116">
        <w:t xml:space="preserve"> parametreleri</w:t>
      </w:r>
      <w:r w:rsidR="00186C44">
        <w:t xml:space="preserve"> Tablo 2.7 de </w:t>
      </w:r>
      <w:r w:rsidR="00272116">
        <w:t>gösterilmiştir.</w:t>
      </w:r>
    </w:p>
    <w:p w14:paraId="31CB25EC" w14:textId="77777777" w:rsidR="00F23CF6" w:rsidRPr="00A769E9" w:rsidRDefault="00F23CF6" w:rsidP="00D84756">
      <w:pPr>
        <w:pStyle w:val="Balk3"/>
        <w:numPr>
          <w:ilvl w:val="2"/>
          <w:numId w:val="4"/>
        </w:numPr>
        <w:ind w:left="1418" w:hanging="567"/>
      </w:pPr>
      <w:bookmarkStart w:id="117" w:name="_Toc45265893"/>
      <w:bookmarkStart w:id="118" w:name="_Toc55727789"/>
      <w:r w:rsidRPr="00A769E9">
        <w:t>qSOFA</w:t>
      </w:r>
      <w:bookmarkEnd w:id="117"/>
      <w:bookmarkEnd w:id="118"/>
    </w:p>
    <w:p w14:paraId="31CB25ED" w14:textId="2E8FF104" w:rsidR="009C2AD4" w:rsidRPr="003656DA" w:rsidRDefault="00FC60B7" w:rsidP="00FC60B7">
      <w:r>
        <w:t xml:space="preserve">Tek başına sepsis tanısı koydurmaz, enfeksiyon şüphesi olan hastalarda sepsis açısından uyarıcıdır. Yoğun bakım dışı hastalar için hızlı değerlendirme amaçlı tasarlanmıştır. </w:t>
      </w:r>
      <w:r>
        <w:rPr>
          <w:color w:val="000000"/>
          <w:szCs w:val="24"/>
        </w:rPr>
        <w:t>H</w:t>
      </w:r>
      <w:r w:rsidR="00C30B7E" w:rsidRPr="00C30B7E">
        <w:rPr>
          <w:color w:val="000000"/>
          <w:szCs w:val="24"/>
        </w:rPr>
        <w:t xml:space="preserve">er biri 1 puan </w:t>
      </w:r>
      <w:r>
        <w:rPr>
          <w:color w:val="000000"/>
          <w:szCs w:val="24"/>
        </w:rPr>
        <w:t xml:space="preserve">olarak </w:t>
      </w:r>
      <w:r w:rsidR="00C30B7E" w:rsidRPr="00C30B7E">
        <w:rPr>
          <w:color w:val="000000"/>
          <w:szCs w:val="24"/>
        </w:rPr>
        <w:t>değerlendirilen; hipotansiyon ≤100 mmHg,</w:t>
      </w:r>
      <w:r w:rsidR="00864CED">
        <w:rPr>
          <w:color w:val="000000"/>
          <w:szCs w:val="24"/>
        </w:rPr>
        <w:t xml:space="preserve"> </w:t>
      </w:r>
      <w:r w:rsidR="00C30B7E" w:rsidRPr="00C30B7E">
        <w:rPr>
          <w:color w:val="000000"/>
          <w:szCs w:val="24"/>
        </w:rPr>
        <w:t xml:space="preserve">GKS≤13, takipne ≥22/dk kriterlerinden </w:t>
      </w:r>
      <w:r w:rsidR="00F52B2F" w:rsidRPr="00C30B7E">
        <w:rPr>
          <w:color w:val="000000"/>
          <w:szCs w:val="24"/>
        </w:rPr>
        <w:t>oluşan</w:t>
      </w:r>
      <w:r w:rsidR="00C30B7E" w:rsidRPr="00C30B7E">
        <w:rPr>
          <w:color w:val="000000"/>
          <w:szCs w:val="24"/>
        </w:rPr>
        <w:t xml:space="preserve"> hızlı SOFA skorunun primer sonlanım</w:t>
      </w:r>
      <w:r w:rsidR="00864CED">
        <w:rPr>
          <w:color w:val="000000"/>
          <w:szCs w:val="24"/>
        </w:rPr>
        <w:t xml:space="preserve"> </w:t>
      </w:r>
      <w:r w:rsidR="00C30B7E" w:rsidRPr="00C30B7E">
        <w:rPr>
          <w:color w:val="000000"/>
          <w:szCs w:val="24"/>
        </w:rPr>
        <w:t>noktalarını öngörmede diğer skorlardan daha hızlı olduğu ve kolay uygulanabilirliği</w:t>
      </w:r>
      <w:r w:rsidR="00864CED">
        <w:rPr>
          <w:color w:val="000000"/>
          <w:szCs w:val="24"/>
        </w:rPr>
        <w:t xml:space="preserve"> </w:t>
      </w:r>
      <w:r w:rsidR="00F52B2F" w:rsidRPr="00C30B7E">
        <w:rPr>
          <w:color w:val="000000"/>
          <w:szCs w:val="24"/>
        </w:rPr>
        <w:t>belirtilmiştir</w:t>
      </w:r>
      <w:r w:rsidR="00C30B7E" w:rsidRPr="00C30B7E">
        <w:rPr>
          <w:color w:val="000000"/>
          <w:szCs w:val="24"/>
        </w:rPr>
        <w:t xml:space="preserve">. qSOFA skoru 2 veya üzeri olduğunda sepsisin öncelikle </w:t>
      </w:r>
      <w:r w:rsidR="00F52B2F" w:rsidRPr="00C30B7E">
        <w:rPr>
          <w:color w:val="000000"/>
          <w:szCs w:val="24"/>
        </w:rPr>
        <w:t>düşünülmesi</w:t>
      </w:r>
      <w:r w:rsidR="00864CED">
        <w:rPr>
          <w:color w:val="000000"/>
          <w:szCs w:val="24"/>
        </w:rPr>
        <w:t xml:space="preserve"> </w:t>
      </w:r>
      <w:r w:rsidR="00C30B7E" w:rsidRPr="00C30B7E">
        <w:rPr>
          <w:color w:val="000000"/>
          <w:szCs w:val="24"/>
        </w:rPr>
        <w:t>önerilmektedir</w:t>
      </w:r>
      <w:r>
        <w:rPr>
          <w:color w:val="000000"/>
          <w:szCs w:val="24"/>
        </w:rPr>
        <w:t xml:space="preserve">. </w:t>
      </w:r>
      <w:r>
        <w:t xml:space="preserve">Skorun 2 veya daha yüksek olması, hastane içi mortalitede 3-14 kat artışı ön görmektedir </w:t>
      </w:r>
      <w:r w:rsidR="00864CED">
        <w:rPr>
          <w:color w:val="000000"/>
          <w:szCs w:val="24"/>
        </w:rPr>
        <w:fldChar w:fldCharType="begin" w:fldLock="1"/>
      </w:r>
      <w:r w:rsidR="0085653B">
        <w:rPr>
          <w:color w:val="000000"/>
          <w:szCs w:val="24"/>
        </w:rPr>
        <w:instrText>ADDIN CSL_CITATION {"citationItems":[{"id":"ITEM-1","itemData":{"id":"ITEM-1","issued":{"date-parts":[["0"]]},"title":"Singer M, Deutschman CS, Seymour CW, Shankar-Hari M, Annane D, Bauer M, et al. The Third International Consensus Definitions for Sepsis and Septic Shock (Sepsis-3) JAMA. 2016;315(8):801–10","type":"article-journal"},"uris":["http://www.mendeley.com/documents/?uuid=d1a74f50-693e-4a6e-9b3b-e944e2e371ed"]}],"mendeley":{"formattedCitation":"(42)","plainTextFormattedCitation":"(42)","previouslyFormattedCitation":"(42)"},"properties":{"noteIndex":0},"schema":"https://github.com/citation-style-language/schema/raw/master/csl-citation.json"}</w:instrText>
      </w:r>
      <w:r w:rsidR="00864CED">
        <w:rPr>
          <w:color w:val="000000"/>
          <w:szCs w:val="24"/>
        </w:rPr>
        <w:fldChar w:fldCharType="separate"/>
      </w:r>
      <w:r w:rsidR="0085653B" w:rsidRPr="0085653B">
        <w:rPr>
          <w:noProof/>
          <w:color w:val="000000"/>
          <w:szCs w:val="24"/>
        </w:rPr>
        <w:t>(42)</w:t>
      </w:r>
      <w:r w:rsidR="00864CED">
        <w:rPr>
          <w:color w:val="000000"/>
          <w:szCs w:val="24"/>
        </w:rPr>
        <w:fldChar w:fldCharType="end"/>
      </w:r>
      <w:r w:rsidR="00C30B7E" w:rsidRPr="00C30B7E">
        <w:rPr>
          <w:color w:val="000000"/>
          <w:szCs w:val="24"/>
        </w:rPr>
        <w:t>.</w:t>
      </w:r>
      <w:r>
        <w:rPr>
          <w:color w:val="FF0000"/>
          <w:szCs w:val="24"/>
        </w:rPr>
        <w:t xml:space="preserve"> </w:t>
      </w:r>
      <w:r w:rsidR="00186C44">
        <w:rPr>
          <w:color w:val="FF0000"/>
          <w:szCs w:val="24"/>
        </w:rPr>
        <w:t xml:space="preserve"> </w:t>
      </w:r>
      <w:r w:rsidR="00272116" w:rsidRPr="00271271">
        <w:rPr>
          <w:szCs w:val="24"/>
        </w:rPr>
        <w:t>qSOFA skoru parametreleri Tablo 2.8 de gösterilmiştir.</w:t>
      </w:r>
    </w:p>
    <w:p w14:paraId="31CB25EE" w14:textId="7F4644C6" w:rsidR="00084E0A" w:rsidRDefault="00084E0A">
      <w:pPr>
        <w:spacing w:after="160"/>
        <w:ind w:left="680" w:firstLine="0"/>
        <w:rPr>
          <w:iCs/>
          <w:color w:val="000000" w:themeColor="text1"/>
          <w:szCs w:val="24"/>
          <w:highlight w:val="yellow"/>
        </w:rPr>
      </w:pPr>
    </w:p>
    <w:p w14:paraId="31CB25EF" w14:textId="6A8B8F32" w:rsidR="00084E0A" w:rsidRPr="00EF4B44" w:rsidRDefault="00084E0A" w:rsidP="00084E0A">
      <w:pPr>
        <w:spacing w:line="240" w:lineRule="auto"/>
        <w:rPr>
          <w:color w:val="000000" w:themeColor="text1"/>
          <w:szCs w:val="24"/>
        </w:rPr>
      </w:pPr>
      <w:bookmarkStart w:id="119" w:name="_Toc45383391"/>
      <w:bookmarkStart w:id="120" w:name="_Toc49818013"/>
      <w:r w:rsidRPr="00EF4B44">
        <w:rPr>
          <w:color w:val="000000" w:themeColor="text1"/>
          <w:szCs w:val="24"/>
        </w:rPr>
        <w:t xml:space="preserve">Tablo </w:t>
      </w:r>
      <w:r w:rsidR="002B4CBE">
        <w:rPr>
          <w:color w:val="000000" w:themeColor="text1"/>
          <w:szCs w:val="24"/>
        </w:rPr>
        <w:fldChar w:fldCharType="begin"/>
      </w:r>
      <w:r w:rsidR="002B4CBE">
        <w:rPr>
          <w:color w:val="000000" w:themeColor="text1"/>
          <w:szCs w:val="24"/>
        </w:rPr>
        <w:instrText xml:space="preserve"> STYLEREF 1 \s </w:instrText>
      </w:r>
      <w:r w:rsidR="002B4CBE">
        <w:rPr>
          <w:color w:val="000000" w:themeColor="text1"/>
          <w:szCs w:val="24"/>
        </w:rPr>
        <w:fldChar w:fldCharType="separate"/>
      </w:r>
      <w:r w:rsidR="00063441">
        <w:rPr>
          <w:noProof/>
          <w:color w:val="000000" w:themeColor="text1"/>
          <w:szCs w:val="24"/>
        </w:rPr>
        <w:t>2</w:t>
      </w:r>
      <w:r w:rsidR="002B4CBE">
        <w:rPr>
          <w:color w:val="000000" w:themeColor="text1"/>
          <w:szCs w:val="24"/>
        </w:rPr>
        <w:fldChar w:fldCharType="end"/>
      </w:r>
      <w:r w:rsidR="002B4CBE">
        <w:rPr>
          <w:color w:val="000000" w:themeColor="text1"/>
          <w:szCs w:val="24"/>
        </w:rPr>
        <w:t>.</w:t>
      </w:r>
      <w:r w:rsidR="002B4CBE">
        <w:rPr>
          <w:color w:val="000000" w:themeColor="text1"/>
          <w:szCs w:val="24"/>
        </w:rPr>
        <w:fldChar w:fldCharType="begin"/>
      </w:r>
      <w:r w:rsidR="002B4CBE">
        <w:rPr>
          <w:color w:val="000000" w:themeColor="text1"/>
          <w:szCs w:val="24"/>
        </w:rPr>
        <w:instrText xml:space="preserve"> SEQ Tablo \* ARABIC \s 1 </w:instrText>
      </w:r>
      <w:r w:rsidR="002B4CBE">
        <w:rPr>
          <w:color w:val="000000" w:themeColor="text1"/>
          <w:szCs w:val="24"/>
        </w:rPr>
        <w:fldChar w:fldCharType="separate"/>
      </w:r>
      <w:r w:rsidR="00063441">
        <w:rPr>
          <w:noProof/>
          <w:color w:val="000000" w:themeColor="text1"/>
          <w:szCs w:val="24"/>
        </w:rPr>
        <w:t>7</w:t>
      </w:r>
      <w:r w:rsidR="002B4CBE">
        <w:rPr>
          <w:color w:val="000000" w:themeColor="text1"/>
          <w:szCs w:val="24"/>
        </w:rPr>
        <w:fldChar w:fldCharType="end"/>
      </w:r>
      <w:r w:rsidRPr="00EF4B44">
        <w:rPr>
          <w:color w:val="000000" w:themeColor="text1"/>
          <w:szCs w:val="24"/>
        </w:rPr>
        <w:t xml:space="preserve"> </w:t>
      </w:r>
      <w:r w:rsidRPr="00EF4B44">
        <w:rPr>
          <w:rFonts w:eastAsia="Times New Roman"/>
          <w:bCs/>
          <w:szCs w:val="24"/>
          <w:lang w:eastAsia="tr-TR"/>
        </w:rPr>
        <w:t xml:space="preserve"> </w:t>
      </w:r>
      <w:r w:rsidRPr="00EF4B44">
        <w:rPr>
          <w:szCs w:val="24"/>
        </w:rPr>
        <w:t>Sequential Organ Failure Assessment Score</w:t>
      </w:r>
      <w:r w:rsidRPr="00EF4B44">
        <w:rPr>
          <w:rFonts w:eastAsia="Times New Roman"/>
          <w:bCs/>
          <w:szCs w:val="24"/>
          <w:lang w:eastAsia="tr-TR"/>
        </w:rPr>
        <w:t xml:space="preserve"> (</w:t>
      </w:r>
      <w:r w:rsidRPr="00EF4B44">
        <w:rPr>
          <w:color w:val="000000" w:themeColor="text1"/>
          <w:szCs w:val="24"/>
        </w:rPr>
        <w:t>SOFA)</w:t>
      </w:r>
      <w:bookmarkEnd w:id="119"/>
      <w:bookmarkEnd w:id="120"/>
      <w:r w:rsidRPr="00EF4B44">
        <w:rPr>
          <w:color w:val="000000" w:themeColor="text1"/>
          <w:szCs w:val="24"/>
        </w:rPr>
        <w:t xml:space="preserve"> </w:t>
      </w:r>
    </w:p>
    <w:p w14:paraId="31CB25F0" w14:textId="77777777" w:rsidR="00084E0A" w:rsidRPr="00B128AF" w:rsidRDefault="00084E0A" w:rsidP="00084E0A">
      <w:pPr>
        <w:spacing w:line="240" w:lineRule="auto"/>
        <w:rPr>
          <w:i/>
          <w:color w:val="000000" w:themeColor="text1"/>
          <w:szCs w:val="24"/>
          <w:highlight w:val="yellow"/>
        </w:rPr>
      </w:pPr>
    </w:p>
    <w:tbl>
      <w:tblPr>
        <w:tblStyle w:val="KlavuzTablo2-Vurgu3"/>
        <w:tblW w:w="10127" w:type="dxa"/>
        <w:tblInd w:w="-10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4"/>
        <w:gridCol w:w="1025"/>
        <w:gridCol w:w="1028"/>
        <w:gridCol w:w="1502"/>
        <w:gridCol w:w="2213"/>
        <w:gridCol w:w="2245"/>
      </w:tblGrid>
      <w:tr w:rsidR="00084E0A" w:rsidRPr="00340764" w14:paraId="31CB25F2" w14:textId="77777777" w:rsidTr="00A81EDF">
        <w:trPr>
          <w:cnfStyle w:val="100000000000" w:firstRow="1" w:lastRow="0" w:firstColumn="0" w:lastColumn="0" w:oddVBand="0" w:evenVBand="0" w:oddHBand="0"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10127" w:type="dxa"/>
            <w:gridSpan w:val="6"/>
            <w:tcBorders>
              <w:top w:val="none" w:sz="0" w:space="0" w:color="auto"/>
              <w:bottom w:val="none" w:sz="0" w:space="0" w:color="auto"/>
            </w:tcBorders>
            <w:hideMark/>
          </w:tcPr>
          <w:p w14:paraId="31CB25F1" w14:textId="77777777" w:rsidR="00084E0A" w:rsidRPr="00340764" w:rsidRDefault="00084E0A" w:rsidP="00084E0A">
            <w:pPr>
              <w:jc w:val="center"/>
              <w:rPr>
                <w:rFonts w:eastAsia="Times New Roman"/>
                <w:szCs w:val="24"/>
                <w:lang w:eastAsia="tr-TR"/>
              </w:rPr>
            </w:pPr>
            <w:r w:rsidRPr="00340764">
              <w:rPr>
                <w:rFonts w:eastAsia="Times New Roman"/>
                <w:color w:val="000000"/>
                <w:szCs w:val="24"/>
                <w:lang w:eastAsia="tr-TR"/>
              </w:rPr>
              <w:t>SKOR</w:t>
            </w:r>
          </w:p>
        </w:tc>
      </w:tr>
      <w:tr w:rsidR="00084E0A" w:rsidRPr="007B4B72" w14:paraId="31CB25FA" w14:textId="77777777" w:rsidTr="00A81EDF">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0" w:type="auto"/>
            <w:hideMark/>
          </w:tcPr>
          <w:p w14:paraId="31CB25F3" w14:textId="77777777" w:rsidR="00084E0A" w:rsidRPr="00340764" w:rsidRDefault="00084E0A" w:rsidP="00084E0A">
            <w:pPr>
              <w:ind w:firstLine="0"/>
              <w:jc w:val="left"/>
              <w:rPr>
                <w:rFonts w:eastAsia="Times New Roman"/>
                <w:szCs w:val="24"/>
                <w:lang w:eastAsia="tr-TR"/>
              </w:rPr>
            </w:pPr>
          </w:p>
        </w:tc>
        <w:tc>
          <w:tcPr>
            <w:tcW w:w="0" w:type="auto"/>
            <w:hideMark/>
          </w:tcPr>
          <w:p w14:paraId="31CB25F4" w14:textId="77777777" w:rsidR="00084E0A" w:rsidRPr="007B4B72" w:rsidRDefault="00084E0A" w:rsidP="00084E0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szCs w:val="24"/>
                <w:lang w:eastAsia="tr-TR"/>
              </w:rPr>
            </w:pPr>
            <w:r w:rsidRPr="007B4B72">
              <w:rPr>
                <w:rFonts w:eastAsia="Times New Roman"/>
                <w:b/>
                <w:color w:val="000000"/>
                <w:szCs w:val="24"/>
                <w:lang w:eastAsia="tr-TR"/>
              </w:rPr>
              <w:t>0</w:t>
            </w:r>
          </w:p>
        </w:tc>
        <w:tc>
          <w:tcPr>
            <w:tcW w:w="0" w:type="auto"/>
            <w:hideMark/>
          </w:tcPr>
          <w:p w14:paraId="31CB25F5" w14:textId="77777777" w:rsidR="00084E0A" w:rsidRPr="007B4B72" w:rsidRDefault="00084E0A" w:rsidP="00084E0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szCs w:val="24"/>
                <w:lang w:eastAsia="tr-TR"/>
              </w:rPr>
            </w:pPr>
            <w:r w:rsidRPr="007B4B72">
              <w:rPr>
                <w:rFonts w:eastAsia="Times New Roman"/>
                <w:b/>
                <w:color w:val="000000"/>
                <w:szCs w:val="24"/>
                <w:lang w:eastAsia="tr-TR"/>
              </w:rPr>
              <w:t>1</w:t>
            </w:r>
          </w:p>
        </w:tc>
        <w:tc>
          <w:tcPr>
            <w:tcW w:w="1497" w:type="dxa"/>
            <w:hideMark/>
          </w:tcPr>
          <w:p w14:paraId="31CB25F6" w14:textId="77777777" w:rsidR="00084E0A" w:rsidRPr="007B4B72"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b/>
                <w:szCs w:val="24"/>
                <w:lang w:eastAsia="tr-TR"/>
              </w:rPr>
            </w:pPr>
            <w:r>
              <w:rPr>
                <w:rFonts w:eastAsia="Times New Roman"/>
                <w:b/>
                <w:color w:val="000000"/>
                <w:szCs w:val="24"/>
                <w:lang w:eastAsia="tr-TR"/>
              </w:rPr>
              <w:t xml:space="preserve">    </w:t>
            </w:r>
            <w:r w:rsidRPr="007B4B72">
              <w:rPr>
                <w:rFonts w:eastAsia="Times New Roman"/>
                <w:b/>
                <w:color w:val="000000"/>
                <w:szCs w:val="24"/>
                <w:lang w:eastAsia="tr-TR"/>
              </w:rPr>
              <w:t>2</w:t>
            </w:r>
          </w:p>
        </w:tc>
        <w:tc>
          <w:tcPr>
            <w:tcW w:w="2206" w:type="dxa"/>
            <w:hideMark/>
          </w:tcPr>
          <w:p w14:paraId="31CB25F7" w14:textId="77777777" w:rsidR="00084E0A" w:rsidRPr="007B4B72" w:rsidRDefault="00084E0A" w:rsidP="00084E0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szCs w:val="24"/>
                <w:lang w:eastAsia="tr-TR"/>
              </w:rPr>
            </w:pPr>
            <w:r w:rsidRPr="007B4B72">
              <w:rPr>
                <w:rFonts w:eastAsia="Times New Roman"/>
                <w:b/>
                <w:color w:val="000000"/>
                <w:szCs w:val="24"/>
                <w:lang w:eastAsia="tr-TR"/>
              </w:rPr>
              <w:t>3</w:t>
            </w:r>
          </w:p>
        </w:tc>
        <w:tc>
          <w:tcPr>
            <w:tcW w:w="2238" w:type="dxa"/>
            <w:hideMark/>
          </w:tcPr>
          <w:p w14:paraId="31CB25F8" w14:textId="77777777" w:rsidR="00084E0A" w:rsidRDefault="00084E0A" w:rsidP="00084E0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szCs w:val="24"/>
                <w:lang w:eastAsia="tr-TR"/>
              </w:rPr>
            </w:pPr>
            <w:r w:rsidRPr="007B4B72">
              <w:rPr>
                <w:rFonts w:eastAsia="Times New Roman"/>
                <w:b/>
                <w:color w:val="000000"/>
                <w:szCs w:val="24"/>
                <w:lang w:eastAsia="tr-TR"/>
              </w:rPr>
              <w:t>4</w:t>
            </w:r>
          </w:p>
          <w:p w14:paraId="31CB25F9" w14:textId="77777777" w:rsidR="00084E0A" w:rsidRPr="007B4B72" w:rsidRDefault="00084E0A" w:rsidP="00084E0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szCs w:val="24"/>
                <w:lang w:eastAsia="tr-TR"/>
              </w:rPr>
            </w:pPr>
          </w:p>
        </w:tc>
      </w:tr>
      <w:tr w:rsidR="00084E0A" w:rsidRPr="00340764" w14:paraId="31CB2607" w14:textId="77777777" w:rsidTr="00A81EDF">
        <w:trPr>
          <w:trHeight w:val="178"/>
        </w:trPr>
        <w:tc>
          <w:tcPr>
            <w:cnfStyle w:val="001000000000" w:firstRow="0" w:lastRow="0" w:firstColumn="1" w:lastColumn="0" w:oddVBand="0" w:evenVBand="0" w:oddHBand="0" w:evenHBand="0" w:firstRowFirstColumn="0" w:firstRowLastColumn="0" w:lastRowFirstColumn="0" w:lastRowLastColumn="0"/>
            <w:tcW w:w="0" w:type="auto"/>
            <w:hideMark/>
          </w:tcPr>
          <w:p w14:paraId="31CB25FB" w14:textId="77777777" w:rsidR="00084E0A" w:rsidRPr="0033724B" w:rsidRDefault="00084E0A" w:rsidP="00084E0A">
            <w:pPr>
              <w:ind w:firstLine="0"/>
              <w:jc w:val="left"/>
              <w:rPr>
                <w:rFonts w:eastAsia="Times New Roman"/>
                <w:b w:val="0"/>
                <w:color w:val="000000"/>
                <w:sz w:val="22"/>
                <w:lang w:eastAsia="tr-TR"/>
              </w:rPr>
            </w:pPr>
            <w:r w:rsidRPr="0033724B">
              <w:rPr>
                <w:rFonts w:eastAsia="Times New Roman"/>
                <w:color w:val="000000"/>
                <w:sz w:val="22"/>
                <w:lang w:eastAsia="tr-TR"/>
              </w:rPr>
              <w:t>Solunum</w:t>
            </w:r>
            <w:r w:rsidRPr="0033724B">
              <w:rPr>
                <w:rFonts w:eastAsia="Times New Roman"/>
                <w:b w:val="0"/>
                <w:color w:val="000000"/>
                <w:sz w:val="22"/>
                <w:lang w:eastAsia="tr-TR"/>
              </w:rPr>
              <w:t xml:space="preserve"> </w:t>
            </w:r>
          </w:p>
          <w:p w14:paraId="31CB25FC" w14:textId="77777777" w:rsidR="00084E0A" w:rsidRPr="0033724B" w:rsidRDefault="00084E0A" w:rsidP="00084E0A">
            <w:pPr>
              <w:ind w:firstLine="0"/>
              <w:jc w:val="left"/>
              <w:rPr>
                <w:rFonts w:eastAsia="Times New Roman"/>
                <w:b w:val="0"/>
                <w:sz w:val="22"/>
                <w:lang w:eastAsia="tr-TR"/>
              </w:rPr>
            </w:pPr>
            <w:r w:rsidRPr="0033724B">
              <w:rPr>
                <w:rFonts w:eastAsia="Times New Roman"/>
                <w:b w:val="0"/>
                <w:color w:val="000000"/>
                <w:sz w:val="22"/>
                <w:lang w:eastAsia="tr-TR"/>
              </w:rPr>
              <w:t>PaO2/FiO2 mmHg</w:t>
            </w:r>
          </w:p>
        </w:tc>
        <w:tc>
          <w:tcPr>
            <w:tcW w:w="0" w:type="auto"/>
            <w:hideMark/>
          </w:tcPr>
          <w:p w14:paraId="31CB25FD" w14:textId="77777777" w:rsidR="00084E0A" w:rsidRPr="0033724B" w:rsidRDefault="00084E0A" w:rsidP="00084E0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5FE" w14:textId="77777777" w:rsidR="00084E0A" w:rsidRPr="0033724B" w:rsidRDefault="00084E0A" w:rsidP="00084E0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≥400 </w:t>
            </w:r>
          </w:p>
        </w:tc>
        <w:tc>
          <w:tcPr>
            <w:tcW w:w="0" w:type="auto"/>
            <w:hideMark/>
          </w:tcPr>
          <w:p w14:paraId="31CB25FF" w14:textId="77777777" w:rsidR="00084E0A" w:rsidRPr="0033724B" w:rsidRDefault="00084E0A" w:rsidP="00084E0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00" w14:textId="77777777" w:rsidR="00084E0A" w:rsidRPr="0033724B" w:rsidRDefault="00084E0A" w:rsidP="00084E0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&lt;400 </w:t>
            </w:r>
          </w:p>
        </w:tc>
        <w:tc>
          <w:tcPr>
            <w:tcW w:w="1497" w:type="dxa"/>
            <w:hideMark/>
          </w:tcPr>
          <w:p w14:paraId="31CB2601" w14:textId="77777777" w:rsidR="00084E0A" w:rsidRPr="0033724B" w:rsidRDefault="00084E0A" w:rsidP="00084E0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02" w14:textId="77777777" w:rsidR="00084E0A" w:rsidRPr="0033724B" w:rsidRDefault="00084E0A" w:rsidP="00084E0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&lt;300 </w:t>
            </w:r>
          </w:p>
        </w:tc>
        <w:tc>
          <w:tcPr>
            <w:tcW w:w="2206" w:type="dxa"/>
            <w:hideMark/>
          </w:tcPr>
          <w:p w14:paraId="31CB2603" w14:textId="77777777" w:rsidR="00084E0A" w:rsidRPr="0033724B" w:rsidRDefault="00084E0A" w:rsidP="00084E0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04" w14:textId="77777777" w:rsidR="00084E0A" w:rsidRPr="0033724B" w:rsidRDefault="00084E0A" w:rsidP="00084E0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&lt;200, MV </w:t>
            </w:r>
            <w:r>
              <w:rPr>
                <w:rFonts w:eastAsia="Times New Roman"/>
                <w:color w:val="000000"/>
                <w:sz w:val="22"/>
                <w:lang w:eastAsia="tr-TR"/>
              </w:rPr>
              <w:t>desteği</w:t>
            </w:r>
            <w:r w:rsidRPr="0033724B">
              <w:rPr>
                <w:rFonts w:eastAsia="Times New Roman"/>
                <w:color w:val="000000"/>
                <w:sz w:val="22"/>
                <w:lang w:eastAsia="tr-TR"/>
              </w:rPr>
              <w:t xml:space="preserve"> </w:t>
            </w:r>
          </w:p>
        </w:tc>
        <w:tc>
          <w:tcPr>
            <w:tcW w:w="2238" w:type="dxa"/>
            <w:hideMark/>
          </w:tcPr>
          <w:p w14:paraId="31CB2605" w14:textId="77777777" w:rsidR="00084E0A" w:rsidRPr="0033724B" w:rsidRDefault="00084E0A" w:rsidP="00084E0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06" w14:textId="77777777" w:rsidR="00084E0A" w:rsidRPr="0033724B" w:rsidRDefault="00084E0A" w:rsidP="00084E0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&lt;100 MV </w:t>
            </w:r>
            <w:r>
              <w:rPr>
                <w:rFonts w:eastAsia="Times New Roman"/>
                <w:color w:val="000000"/>
                <w:sz w:val="22"/>
                <w:lang w:eastAsia="tr-TR"/>
              </w:rPr>
              <w:t>desteği</w:t>
            </w:r>
          </w:p>
        </w:tc>
      </w:tr>
      <w:tr w:rsidR="00084E0A" w:rsidRPr="00340764" w14:paraId="31CB2614" w14:textId="77777777" w:rsidTr="00A81EDF">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0" w:type="auto"/>
            <w:hideMark/>
          </w:tcPr>
          <w:p w14:paraId="31CB2608" w14:textId="77777777" w:rsidR="00084E0A" w:rsidRDefault="00084E0A" w:rsidP="00084E0A">
            <w:pPr>
              <w:ind w:firstLine="0"/>
              <w:jc w:val="left"/>
              <w:rPr>
                <w:rFonts w:eastAsia="Times New Roman"/>
                <w:b w:val="0"/>
                <w:color w:val="000000"/>
                <w:sz w:val="22"/>
                <w:lang w:eastAsia="tr-TR"/>
              </w:rPr>
            </w:pPr>
            <w:r w:rsidRPr="0033724B">
              <w:rPr>
                <w:rFonts w:eastAsia="Times New Roman"/>
                <w:color w:val="000000"/>
                <w:sz w:val="22"/>
                <w:lang w:eastAsia="tr-TR"/>
              </w:rPr>
              <w:t>Hematoloji</w:t>
            </w:r>
            <w:r w:rsidRPr="0033724B">
              <w:rPr>
                <w:rFonts w:eastAsia="Times New Roman"/>
                <w:b w:val="0"/>
                <w:color w:val="000000"/>
                <w:sz w:val="22"/>
                <w:lang w:eastAsia="tr-TR"/>
              </w:rPr>
              <w:t xml:space="preserve"> </w:t>
            </w:r>
          </w:p>
          <w:p w14:paraId="31CB2609" w14:textId="77777777" w:rsidR="00084E0A" w:rsidRPr="0033724B" w:rsidRDefault="00084E0A" w:rsidP="00084E0A">
            <w:pPr>
              <w:ind w:firstLine="0"/>
              <w:jc w:val="left"/>
              <w:rPr>
                <w:rFonts w:eastAsia="Times New Roman"/>
                <w:b w:val="0"/>
                <w:sz w:val="22"/>
                <w:lang w:eastAsia="tr-TR"/>
              </w:rPr>
            </w:pPr>
            <w:r>
              <w:rPr>
                <w:rFonts w:eastAsia="Times New Roman"/>
                <w:b w:val="0"/>
                <w:color w:val="000000"/>
                <w:sz w:val="22"/>
                <w:lang w:eastAsia="tr-TR"/>
              </w:rPr>
              <w:t>Trombosit, x</w:t>
            </w:r>
            <w:r w:rsidRPr="0033724B">
              <w:rPr>
                <w:rFonts w:eastAsia="Times New Roman"/>
                <w:b w:val="0"/>
                <w:color w:val="000000"/>
                <w:sz w:val="22"/>
                <w:lang w:eastAsia="tr-TR"/>
              </w:rPr>
              <w:t>10³/mm³</w:t>
            </w:r>
          </w:p>
        </w:tc>
        <w:tc>
          <w:tcPr>
            <w:tcW w:w="0" w:type="auto"/>
            <w:hideMark/>
          </w:tcPr>
          <w:p w14:paraId="31CB260A"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0B"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≥150 </w:t>
            </w:r>
          </w:p>
        </w:tc>
        <w:tc>
          <w:tcPr>
            <w:tcW w:w="0" w:type="auto"/>
            <w:hideMark/>
          </w:tcPr>
          <w:p w14:paraId="31CB260C"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0D"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&lt;150 </w:t>
            </w:r>
          </w:p>
        </w:tc>
        <w:tc>
          <w:tcPr>
            <w:tcW w:w="1497" w:type="dxa"/>
            <w:hideMark/>
          </w:tcPr>
          <w:p w14:paraId="31CB260E"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0F"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&lt;100 </w:t>
            </w:r>
          </w:p>
        </w:tc>
        <w:tc>
          <w:tcPr>
            <w:tcW w:w="2206" w:type="dxa"/>
            <w:hideMark/>
          </w:tcPr>
          <w:p w14:paraId="31CB2610"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11"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&lt;50 </w:t>
            </w:r>
          </w:p>
        </w:tc>
        <w:tc>
          <w:tcPr>
            <w:tcW w:w="2238" w:type="dxa"/>
            <w:hideMark/>
          </w:tcPr>
          <w:p w14:paraId="31CB2612"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13"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&lt;20</w:t>
            </w:r>
          </w:p>
        </w:tc>
      </w:tr>
      <w:tr w:rsidR="00084E0A" w:rsidRPr="00340764" w14:paraId="31CB2621" w14:textId="77777777" w:rsidTr="00A81EDF">
        <w:trPr>
          <w:trHeight w:val="178"/>
        </w:trPr>
        <w:tc>
          <w:tcPr>
            <w:cnfStyle w:val="001000000000" w:firstRow="0" w:lastRow="0" w:firstColumn="1" w:lastColumn="0" w:oddVBand="0" w:evenVBand="0" w:oddHBand="0" w:evenHBand="0" w:firstRowFirstColumn="0" w:firstRowLastColumn="0" w:lastRowFirstColumn="0" w:lastRowLastColumn="0"/>
            <w:tcW w:w="0" w:type="auto"/>
            <w:hideMark/>
          </w:tcPr>
          <w:p w14:paraId="31CB2615" w14:textId="77777777" w:rsidR="00084E0A" w:rsidRPr="0033724B" w:rsidRDefault="00084E0A" w:rsidP="00084E0A">
            <w:pPr>
              <w:ind w:firstLine="0"/>
              <w:jc w:val="left"/>
              <w:rPr>
                <w:rFonts w:eastAsia="Times New Roman"/>
                <w:b w:val="0"/>
                <w:color w:val="000000"/>
                <w:sz w:val="22"/>
                <w:lang w:eastAsia="tr-TR"/>
              </w:rPr>
            </w:pPr>
            <w:r w:rsidRPr="0033724B">
              <w:rPr>
                <w:rFonts w:eastAsia="Times New Roman"/>
                <w:color w:val="000000"/>
                <w:sz w:val="22"/>
                <w:lang w:eastAsia="tr-TR"/>
              </w:rPr>
              <w:t>Karaciğer</w:t>
            </w:r>
          </w:p>
          <w:p w14:paraId="31CB2616" w14:textId="12BCB21F" w:rsidR="00084E0A" w:rsidRPr="0033724B" w:rsidRDefault="00084E0A" w:rsidP="00084E0A">
            <w:pPr>
              <w:ind w:firstLine="0"/>
              <w:jc w:val="left"/>
              <w:rPr>
                <w:rFonts w:eastAsia="Times New Roman"/>
                <w:b w:val="0"/>
                <w:sz w:val="22"/>
                <w:lang w:eastAsia="tr-TR"/>
              </w:rPr>
            </w:pPr>
            <w:r w:rsidRPr="0033724B">
              <w:rPr>
                <w:rFonts w:eastAsia="Times New Roman"/>
                <w:b w:val="0"/>
                <w:color w:val="000000"/>
                <w:sz w:val="22"/>
                <w:lang w:eastAsia="tr-TR"/>
              </w:rPr>
              <w:t xml:space="preserve">Bilirübin, </w:t>
            </w:r>
            <w:r w:rsidR="00742672">
              <w:rPr>
                <w:rFonts w:eastAsia="Times New Roman"/>
                <w:b w:val="0"/>
                <w:color w:val="000000"/>
                <w:sz w:val="22"/>
                <w:lang w:eastAsia="tr-TR"/>
              </w:rPr>
              <w:t>mg/dl</w:t>
            </w:r>
            <w:r w:rsidRPr="0033724B">
              <w:rPr>
                <w:rFonts w:eastAsia="Times New Roman"/>
                <w:b w:val="0"/>
                <w:color w:val="000000"/>
                <w:sz w:val="22"/>
                <w:lang w:eastAsia="tr-TR"/>
              </w:rPr>
              <w:t xml:space="preserve"> </w:t>
            </w:r>
          </w:p>
        </w:tc>
        <w:tc>
          <w:tcPr>
            <w:tcW w:w="0" w:type="auto"/>
            <w:hideMark/>
          </w:tcPr>
          <w:p w14:paraId="31CB2617"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18"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&lt;1.2 </w:t>
            </w:r>
          </w:p>
        </w:tc>
        <w:tc>
          <w:tcPr>
            <w:tcW w:w="0" w:type="auto"/>
            <w:hideMark/>
          </w:tcPr>
          <w:p w14:paraId="31CB2619"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1A"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1.2-1.9 </w:t>
            </w:r>
          </w:p>
        </w:tc>
        <w:tc>
          <w:tcPr>
            <w:tcW w:w="1497" w:type="dxa"/>
            <w:hideMark/>
          </w:tcPr>
          <w:p w14:paraId="31CB261B"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1C"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2.0-5.9 </w:t>
            </w:r>
          </w:p>
        </w:tc>
        <w:tc>
          <w:tcPr>
            <w:tcW w:w="2206" w:type="dxa"/>
            <w:hideMark/>
          </w:tcPr>
          <w:p w14:paraId="31CB261D"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1E"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6.0-11.9 </w:t>
            </w:r>
          </w:p>
        </w:tc>
        <w:tc>
          <w:tcPr>
            <w:tcW w:w="2238" w:type="dxa"/>
            <w:hideMark/>
          </w:tcPr>
          <w:p w14:paraId="31CB261F"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20"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&gt;12.0</w:t>
            </w:r>
          </w:p>
        </w:tc>
      </w:tr>
      <w:tr w:rsidR="00084E0A" w:rsidRPr="00340764" w14:paraId="31CB262F" w14:textId="77777777" w:rsidTr="00A81EDF">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0" w:type="auto"/>
            <w:hideMark/>
          </w:tcPr>
          <w:p w14:paraId="31CB2622" w14:textId="77777777" w:rsidR="00084E0A" w:rsidRPr="0033724B" w:rsidRDefault="00084E0A" w:rsidP="00084E0A">
            <w:pPr>
              <w:ind w:firstLine="0"/>
              <w:jc w:val="left"/>
              <w:rPr>
                <w:rFonts w:eastAsia="Times New Roman"/>
                <w:color w:val="000000"/>
                <w:sz w:val="22"/>
                <w:lang w:eastAsia="tr-TR"/>
              </w:rPr>
            </w:pPr>
          </w:p>
          <w:p w14:paraId="31CB2623" w14:textId="77777777" w:rsidR="00084E0A" w:rsidRDefault="00084E0A" w:rsidP="00084E0A">
            <w:pPr>
              <w:ind w:firstLine="0"/>
              <w:jc w:val="left"/>
              <w:rPr>
                <w:rFonts w:eastAsia="Times New Roman"/>
                <w:color w:val="000000"/>
                <w:sz w:val="22"/>
                <w:lang w:eastAsia="tr-TR"/>
              </w:rPr>
            </w:pPr>
            <w:r w:rsidRPr="0033724B">
              <w:rPr>
                <w:rFonts w:eastAsia="Times New Roman"/>
                <w:color w:val="000000"/>
                <w:sz w:val="22"/>
                <w:lang w:eastAsia="tr-TR"/>
              </w:rPr>
              <w:t>Kardiyovasküler</w:t>
            </w:r>
          </w:p>
          <w:p w14:paraId="31CB2624" w14:textId="77777777" w:rsidR="00084E0A" w:rsidRPr="0033724B" w:rsidRDefault="00084E0A" w:rsidP="00084E0A">
            <w:pPr>
              <w:ind w:firstLine="0"/>
              <w:jc w:val="left"/>
              <w:rPr>
                <w:rFonts w:eastAsia="Times New Roman"/>
                <w:b w:val="0"/>
                <w:sz w:val="22"/>
                <w:lang w:eastAsia="tr-TR"/>
              </w:rPr>
            </w:pPr>
            <w:r w:rsidRPr="0033724B">
              <w:rPr>
                <w:rFonts w:eastAsia="Times New Roman"/>
                <w:b w:val="0"/>
                <w:color w:val="000000"/>
                <w:sz w:val="22"/>
                <w:lang w:eastAsia="tr-TR"/>
              </w:rPr>
              <w:t xml:space="preserve">(Hipotansiyon) </w:t>
            </w:r>
          </w:p>
        </w:tc>
        <w:tc>
          <w:tcPr>
            <w:tcW w:w="0" w:type="auto"/>
            <w:hideMark/>
          </w:tcPr>
          <w:p w14:paraId="31CB2625"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26"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OAB≥70</w:t>
            </w:r>
            <w:r w:rsidRPr="0033724B">
              <w:rPr>
                <w:rFonts w:eastAsia="Times New Roman"/>
                <w:color w:val="000000"/>
                <w:sz w:val="22"/>
                <w:lang w:eastAsia="tr-TR"/>
              </w:rPr>
              <w:br/>
              <w:t>mmHg</w:t>
            </w:r>
          </w:p>
        </w:tc>
        <w:tc>
          <w:tcPr>
            <w:tcW w:w="0" w:type="auto"/>
            <w:hideMark/>
          </w:tcPr>
          <w:p w14:paraId="31CB2627" w14:textId="77777777" w:rsidR="00084E0A" w:rsidRPr="0033724B" w:rsidRDefault="00084E0A" w:rsidP="00084E0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28" w14:textId="77777777" w:rsidR="00084E0A" w:rsidRPr="0033724B" w:rsidRDefault="00084E0A" w:rsidP="00084E0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OAB&lt;70</w:t>
            </w:r>
            <w:r w:rsidRPr="0033724B">
              <w:rPr>
                <w:rFonts w:eastAsia="Times New Roman"/>
                <w:color w:val="000000"/>
                <w:sz w:val="22"/>
                <w:lang w:eastAsia="tr-TR"/>
              </w:rPr>
              <w:br/>
              <w:t>mmHg</w:t>
            </w:r>
          </w:p>
        </w:tc>
        <w:tc>
          <w:tcPr>
            <w:tcW w:w="1497" w:type="dxa"/>
            <w:hideMark/>
          </w:tcPr>
          <w:p w14:paraId="31CB2629" w14:textId="77777777" w:rsidR="00084E0A" w:rsidRPr="0033724B" w:rsidRDefault="00084E0A" w:rsidP="00084E0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2A" w14:textId="77777777" w:rsidR="00084E0A" w:rsidRPr="0033724B" w:rsidRDefault="00084E0A" w:rsidP="00084E0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Dopamin&lt;5</w:t>
            </w:r>
            <w:r>
              <w:rPr>
                <w:rFonts w:eastAsia="Times New Roman"/>
                <w:color w:val="000000"/>
                <w:sz w:val="22"/>
                <w:lang w:eastAsia="tr-TR"/>
              </w:rPr>
              <w:t xml:space="preserve"> ya da</w:t>
            </w:r>
            <w:r w:rsidRPr="0033724B">
              <w:rPr>
                <w:rFonts w:eastAsia="Times New Roman"/>
                <w:color w:val="000000"/>
                <w:sz w:val="22"/>
                <w:lang w:eastAsia="tr-TR"/>
              </w:rPr>
              <w:br/>
              <w:t>Dobutamin*</w:t>
            </w:r>
          </w:p>
        </w:tc>
        <w:tc>
          <w:tcPr>
            <w:tcW w:w="2206" w:type="dxa"/>
            <w:hideMark/>
          </w:tcPr>
          <w:p w14:paraId="31CB262B" w14:textId="77777777" w:rsidR="00084E0A" w:rsidRPr="0033724B" w:rsidRDefault="00084E0A" w:rsidP="00084E0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2C" w14:textId="77777777" w:rsidR="00084E0A" w:rsidRPr="0033724B" w:rsidRDefault="00084E0A" w:rsidP="00084E0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Dopamin&gt;5 ya da</w:t>
            </w:r>
            <w:r w:rsidRPr="0033724B">
              <w:rPr>
                <w:rFonts w:eastAsia="Times New Roman"/>
                <w:color w:val="000000"/>
                <w:sz w:val="22"/>
                <w:lang w:eastAsia="tr-TR"/>
              </w:rPr>
              <w:br/>
              <w:t>Epinefrin;≤0.1</w:t>
            </w:r>
            <w:r>
              <w:rPr>
                <w:rFonts w:eastAsia="Times New Roman"/>
                <w:color w:val="000000"/>
                <w:sz w:val="22"/>
                <w:lang w:eastAsia="tr-TR"/>
              </w:rPr>
              <w:t xml:space="preserve"> ya da</w:t>
            </w:r>
            <w:r w:rsidRPr="0033724B">
              <w:rPr>
                <w:rFonts w:eastAsia="Times New Roman"/>
                <w:color w:val="000000"/>
                <w:sz w:val="22"/>
                <w:lang w:eastAsia="tr-TR"/>
              </w:rPr>
              <w:br/>
              <w:t>Norepinefrin≤0.1*</w:t>
            </w:r>
          </w:p>
        </w:tc>
        <w:tc>
          <w:tcPr>
            <w:tcW w:w="2238" w:type="dxa"/>
            <w:hideMark/>
          </w:tcPr>
          <w:p w14:paraId="31CB262D" w14:textId="77777777" w:rsidR="00084E0A" w:rsidRPr="0033724B" w:rsidRDefault="00084E0A" w:rsidP="00084E0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2E" w14:textId="77777777" w:rsidR="00084E0A" w:rsidRPr="0033724B" w:rsidRDefault="00084E0A" w:rsidP="00084E0A">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Dopamin; &gt;15</w:t>
            </w:r>
            <w:r>
              <w:rPr>
                <w:rFonts w:eastAsia="Times New Roman"/>
                <w:color w:val="000000"/>
                <w:sz w:val="22"/>
                <w:lang w:eastAsia="tr-TR"/>
              </w:rPr>
              <w:t xml:space="preserve"> ya da</w:t>
            </w:r>
            <w:r w:rsidRPr="0033724B">
              <w:rPr>
                <w:rFonts w:eastAsia="Times New Roman"/>
                <w:color w:val="000000"/>
                <w:sz w:val="22"/>
                <w:lang w:eastAsia="tr-TR"/>
              </w:rPr>
              <w:br/>
              <w:t>Epinefrin; &gt;0.1</w:t>
            </w:r>
            <w:r>
              <w:rPr>
                <w:rFonts w:eastAsia="Times New Roman"/>
                <w:color w:val="000000"/>
                <w:sz w:val="22"/>
                <w:lang w:eastAsia="tr-TR"/>
              </w:rPr>
              <w:t xml:space="preserve"> ya da</w:t>
            </w:r>
            <w:r w:rsidRPr="0033724B">
              <w:rPr>
                <w:rFonts w:eastAsia="Times New Roman"/>
                <w:color w:val="000000"/>
                <w:sz w:val="22"/>
                <w:lang w:eastAsia="tr-TR"/>
              </w:rPr>
              <w:br/>
              <w:t>Norepinefrin&gt;0.1*</w:t>
            </w:r>
          </w:p>
        </w:tc>
      </w:tr>
      <w:tr w:rsidR="00084E0A" w:rsidRPr="00340764" w14:paraId="31CB263B" w14:textId="77777777" w:rsidTr="00A81EDF">
        <w:trPr>
          <w:trHeight w:val="353"/>
        </w:trPr>
        <w:tc>
          <w:tcPr>
            <w:cnfStyle w:val="001000000000" w:firstRow="0" w:lastRow="0" w:firstColumn="1" w:lastColumn="0" w:oddVBand="0" w:evenVBand="0" w:oddHBand="0" w:evenHBand="0" w:firstRowFirstColumn="0" w:firstRowLastColumn="0" w:lastRowFirstColumn="0" w:lastRowLastColumn="0"/>
            <w:tcW w:w="0" w:type="auto"/>
            <w:hideMark/>
          </w:tcPr>
          <w:p w14:paraId="31CB2630" w14:textId="77777777" w:rsidR="00084E0A" w:rsidRPr="0033724B" w:rsidRDefault="00084E0A" w:rsidP="00084E0A">
            <w:pPr>
              <w:ind w:firstLine="0"/>
              <w:jc w:val="left"/>
              <w:rPr>
                <w:rFonts w:eastAsia="Times New Roman"/>
                <w:b w:val="0"/>
                <w:color w:val="000000"/>
                <w:sz w:val="22"/>
                <w:lang w:eastAsia="tr-TR"/>
              </w:rPr>
            </w:pPr>
            <w:r w:rsidRPr="0033724B">
              <w:rPr>
                <w:rFonts w:eastAsia="Times New Roman"/>
                <w:color w:val="000000"/>
                <w:sz w:val="22"/>
                <w:lang w:eastAsia="tr-TR"/>
              </w:rPr>
              <w:t>Santral Sinir</w:t>
            </w:r>
            <w:r w:rsidRPr="0033724B">
              <w:rPr>
                <w:rFonts w:eastAsia="Times New Roman"/>
                <w:color w:val="000000"/>
                <w:sz w:val="22"/>
                <w:lang w:eastAsia="tr-TR"/>
              </w:rPr>
              <w:br/>
              <w:t>Sistemi</w:t>
            </w:r>
            <w:r w:rsidRPr="0033724B">
              <w:rPr>
                <w:rFonts w:eastAsia="Times New Roman"/>
                <w:b w:val="0"/>
                <w:color w:val="000000"/>
                <w:sz w:val="22"/>
                <w:lang w:eastAsia="tr-TR"/>
              </w:rPr>
              <w:t xml:space="preserve"> (GKS)</w:t>
            </w:r>
          </w:p>
        </w:tc>
        <w:tc>
          <w:tcPr>
            <w:tcW w:w="0" w:type="auto"/>
            <w:hideMark/>
          </w:tcPr>
          <w:p w14:paraId="31CB2631"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32"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15 </w:t>
            </w:r>
          </w:p>
        </w:tc>
        <w:tc>
          <w:tcPr>
            <w:tcW w:w="0" w:type="auto"/>
            <w:hideMark/>
          </w:tcPr>
          <w:p w14:paraId="31CB2633"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34"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13-14 </w:t>
            </w:r>
          </w:p>
        </w:tc>
        <w:tc>
          <w:tcPr>
            <w:tcW w:w="1497" w:type="dxa"/>
            <w:hideMark/>
          </w:tcPr>
          <w:p w14:paraId="31CB2635"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36"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10-12 </w:t>
            </w:r>
          </w:p>
        </w:tc>
        <w:tc>
          <w:tcPr>
            <w:tcW w:w="2206" w:type="dxa"/>
            <w:hideMark/>
          </w:tcPr>
          <w:p w14:paraId="31CB2637"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38"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6-9 </w:t>
            </w:r>
          </w:p>
        </w:tc>
        <w:tc>
          <w:tcPr>
            <w:tcW w:w="2238" w:type="dxa"/>
            <w:hideMark/>
          </w:tcPr>
          <w:p w14:paraId="31CB2639"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2"/>
                <w:lang w:eastAsia="tr-TR"/>
              </w:rPr>
            </w:pPr>
          </w:p>
          <w:p w14:paraId="31CB263A" w14:textId="77777777" w:rsidR="00084E0A" w:rsidRPr="0033724B" w:rsidRDefault="00084E0A" w:rsidP="00084E0A">
            <w:pPr>
              <w:ind w:firstLine="0"/>
              <w:cnfStyle w:val="000000000000" w:firstRow="0" w:lastRow="0" w:firstColumn="0" w:lastColumn="0" w:oddVBand="0" w:evenVBand="0" w:oddHBand="0"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&lt;6</w:t>
            </w:r>
          </w:p>
        </w:tc>
      </w:tr>
      <w:tr w:rsidR="00084E0A" w:rsidRPr="00340764" w14:paraId="31CB264C" w14:textId="77777777" w:rsidTr="00A81EDF">
        <w:trPr>
          <w:cnfStyle w:val="000000100000" w:firstRow="0" w:lastRow="0" w:firstColumn="0" w:lastColumn="0" w:oddVBand="0" w:evenVBand="0" w:oddHBand="1" w:evenHBand="0" w:firstRowFirstColumn="0" w:firstRowLastColumn="0" w:lastRowFirstColumn="0" w:lastRowLastColumn="0"/>
          <w:trHeight w:val="759"/>
        </w:trPr>
        <w:tc>
          <w:tcPr>
            <w:cnfStyle w:val="001000000000" w:firstRow="0" w:lastRow="0" w:firstColumn="1" w:lastColumn="0" w:oddVBand="0" w:evenVBand="0" w:oddHBand="0" w:evenHBand="0" w:firstRowFirstColumn="0" w:firstRowLastColumn="0" w:lastRowFirstColumn="0" w:lastRowLastColumn="0"/>
            <w:tcW w:w="0" w:type="auto"/>
            <w:hideMark/>
          </w:tcPr>
          <w:p w14:paraId="31CB263C" w14:textId="77777777" w:rsidR="00084E0A" w:rsidRPr="0033724B" w:rsidRDefault="00084E0A" w:rsidP="00084E0A">
            <w:pPr>
              <w:ind w:firstLine="0"/>
              <w:jc w:val="left"/>
              <w:rPr>
                <w:rFonts w:eastAsia="Times New Roman"/>
                <w:b w:val="0"/>
                <w:color w:val="000000"/>
                <w:sz w:val="22"/>
                <w:lang w:eastAsia="tr-TR"/>
              </w:rPr>
            </w:pPr>
            <w:r w:rsidRPr="0033724B">
              <w:rPr>
                <w:rFonts w:eastAsia="Times New Roman"/>
                <w:color w:val="000000"/>
                <w:sz w:val="22"/>
                <w:lang w:eastAsia="tr-TR"/>
              </w:rPr>
              <w:t>Renal</w:t>
            </w:r>
            <w:r w:rsidRPr="0033724B">
              <w:rPr>
                <w:rFonts w:eastAsia="Times New Roman"/>
                <w:b w:val="0"/>
                <w:color w:val="000000"/>
                <w:sz w:val="22"/>
                <w:lang w:eastAsia="tr-TR"/>
              </w:rPr>
              <w:t xml:space="preserve"> </w:t>
            </w:r>
          </w:p>
          <w:p w14:paraId="31CB263D" w14:textId="5AB8548F" w:rsidR="00084E0A" w:rsidRPr="0033724B" w:rsidRDefault="00084E0A" w:rsidP="00084E0A">
            <w:pPr>
              <w:ind w:firstLine="0"/>
              <w:jc w:val="left"/>
              <w:rPr>
                <w:rFonts w:eastAsia="Times New Roman"/>
                <w:b w:val="0"/>
                <w:color w:val="000000"/>
                <w:sz w:val="22"/>
                <w:lang w:eastAsia="tr-TR"/>
              </w:rPr>
            </w:pPr>
            <w:r w:rsidRPr="0033724B">
              <w:rPr>
                <w:rFonts w:eastAsia="Times New Roman"/>
                <w:b w:val="0"/>
                <w:color w:val="000000"/>
                <w:sz w:val="22"/>
                <w:lang w:eastAsia="tr-TR"/>
              </w:rPr>
              <w:t xml:space="preserve">Kreatinin </w:t>
            </w:r>
            <w:r w:rsidR="00742672">
              <w:rPr>
                <w:rFonts w:eastAsia="Times New Roman"/>
                <w:b w:val="0"/>
                <w:color w:val="000000"/>
                <w:sz w:val="22"/>
                <w:lang w:eastAsia="tr-TR"/>
              </w:rPr>
              <w:t>mg/dl</w:t>
            </w:r>
            <w:r w:rsidRPr="0033724B">
              <w:rPr>
                <w:rFonts w:eastAsia="Times New Roman"/>
                <w:b w:val="0"/>
                <w:color w:val="000000"/>
                <w:sz w:val="22"/>
                <w:lang w:eastAsia="tr-TR"/>
              </w:rPr>
              <w:t xml:space="preserve"> </w:t>
            </w:r>
          </w:p>
          <w:p w14:paraId="31CB263E" w14:textId="77777777" w:rsidR="00084E0A" w:rsidRPr="0033724B" w:rsidRDefault="00084E0A" w:rsidP="00084E0A">
            <w:pPr>
              <w:ind w:firstLine="0"/>
              <w:jc w:val="left"/>
              <w:rPr>
                <w:rFonts w:eastAsia="Times New Roman"/>
                <w:b w:val="0"/>
                <w:sz w:val="22"/>
                <w:lang w:eastAsia="tr-TR"/>
              </w:rPr>
            </w:pPr>
            <w:r w:rsidRPr="0033724B">
              <w:rPr>
                <w:rFonts w:eastAsia="Times New Roman"/>
                <w:b w:val="0"/>
                <w:color w:val="000000"/>
                <w:sz w:val="22"/>
                <w:lang w:eastAsia="tr-TR"/>
              </w:rPr>
              <w:t>İdrar miktarı</w:t>
            </w:r>
          </w:p>
        </w:tc>
        <w:tc>
          <w:tcPr>
            <w:tcW w:w="0" w:type="auto"/>
            <w:hideMark/>
          </w:tcPr>
          <w:p w14:paraId="31CB263F"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40"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&lt;1.2</w:t>
            </w:r>
          </w:p>
        </w:tc>
        <w:tc>
          <w:tcPr>
            <w:tcW w:w="0" w:type="auto"/>
            <w:hideMark/>
          </w:tcPr>
          <w:p w14:paraId="31CB2641"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42"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1.2-1.9 </w:t>
            </w:r>
          </w:p>
        </w:tc>
        <w:tc>
          <w:tcPr>
            <w:tcW w:w="1497" w:type="dxa"/>
            <w:hideMark/>
          </w:tcPr>
          <w:p w14:paraId="31CB2643"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44"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 xml:space="preserve">2.0-3.4 </w:t>
            </w:r>
          </w:p>
        </w:tc>
        <w:tc>
          <w:tcPr>
            <w:tcW w:w="2206" w:type="dxa"/>
            <w:hideMark/>
          </w:tcPr>
          <w:p w14:paraId="31CB2645"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46"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r w:rsidRPr="0033724B">
              <w:rPr>
                <w:rFonts w:eastAsia="Times New Roman"/>
                <w:color w:val="000000"/>
                <w:sz w:val="22"/>
                <w:lang w:eastAsia="tr-TR"/>
              </w:rPr>
              <w:t xml:space="preserve">3.5-4.9 </w:t>
            </w:r>
          </w:p>
          <w:p w14:paraId="31CB2647"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r w:rsidRPr="0033724B">
              <w:rPr>
                <w:rFonts w:eastAsia="Times New Roman"/>
                <w:color w:val="000000"/>
                <w:sz w:val="22"/>
                <w:lang w:eastAsia="tr-TR"/>
              </w:rPr>
              <w:t>&lt;500</w:t>
            </w:r>
          </w:p>
        </w:tc>
        <w:tc>
          <w:tcPr>
            <w:tcW w:w="2238" w:type="dxa"/>
            <w:hideMark/>
          </w:tcPr>
          <w:p w14:paraId="31CB2648"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p>
          <w:p w14:paraId="31CB2649"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r w:rsidRPr="0033724B">
              <w:rPr>
                <w:rFonts w:eastAsia="Times New Roman"/>
                <w:color w:val="000000"/>
                <w:sz w:val="22"/>
                <w:lang w:eastAsia="tr-TR"/>
              </w:rPr>
              <w:t>&gt;5.0</w:t>
            </w:r>
          </w:p>
          <w:p w14:paraId="31CB264A"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2"/>
                <w:lang w:eastAsia="tr-TR"/>
              </w:rPr>
            </w:pPr>
            <w:r w:rsidRPr="0033724B">
              <w:rPr>
                <w:rFonts w:eastAsia="Times New Roman"/>
                <w:color w:val="000000"/>
                <w:sz w:val="22"/>
                <w:lang w:eastAsia="tr-TR"/>
              </w:rPr>
              <w:t>&lt;200</w:t>
            </w:r>
          </w:p>
          <w:p w14:paraId="31CB264B" w14:textId="77777777" w:rsidR="00084E0A" w:rsidRPr="0033724B" w:rsidRDefault="00084E0A" w:rsidP="00084E0A">
            <w:pPr>
              <w:ind w:firstLine="0"/>
              <w:cnfStyle w:val="000000100000" w:firstRow="0" w:lastRow="0" w:firstColumn="0" w:lastColumn="0" w:oddVBand="0" w:evenVBand="0" w:oddHBand="1" w:evenHBand="0" w:firstRowFirstColumn="0" w:firstRowLastColumn="0" w:lastRowFirstColumn="0" w:lastRowLastColumn="0"/>
              <w:rPr>
                <w:rFonts w:eastAsia="Times New Roman"/>
                <w:sz w:val="22"/>
                <w:lang w:eastAsia="tr-TR"/>
              </w:rPr>
            </w:pPr>
          </w:p>
        </w:tc>
      </w:tr>
      <w:tr w:rsidR="00084E0A" w:rsidRPr="00B128AF" w14:paraId="31CB264E" w14:textId="77777777" w:rsidTr="00A81EDF">
        <w:trPr>
          <w:trHeight w:val="353"/>
        </w:trPr>
        <w:tc>
          <w:tcPr>
            <w:cnfStyle w:val="001000000000" w:firstRow="0" w:lastRow="0" w:firstColumn="1" w:lastColumn="0" w:oddVBand="0" w:evenVBand="0" w:oddHBand="0" w:evenHBand="0" w:firstRowFirstColumn="0" w:firstRowLastColumn="0" w:lastRowFirstColumn="0" w:lastRowLastColumn="0"/>
            <w:tcW w:w="10127" w:type="dxa"/>
            <w:gridSpan w:val="6"/>
            <w:hideMark/>
          </w:tcPr>
          <w:p w14:paraId="31CB264D" w14:textId="77777777" w:rsidR="00084E0A" w:rsidRPr="0033724B" w:rsidRDefault="00084E0A" w:rsidP="00084E0A">
            <w:pPr>
              <w:ind w:firstLine="0"/>
              <w:jc w:val="left"/>
              <w:rPr>
                <w:sz w:val="20"/>
                <w:szCs w:val="20"/>
                <w:highlight w:val="yellow"/>
              </w:rPr>
            </w:pPr>
            <w:r w:rsidRPr="0033724B">
              <w:rPr>
                <w:rFonts w:eastAsia="Times New Roman"/>
                <w:b w:val="0"/>
                <w:color w:val="000000"/>
                <w:sz w:val="22"/>
                <w:lang w:eastAsia="tr-TR"/>
              </w:rPr>
              <w:t>FiO2: Fraction of Inspired Oxygen OAB: Ortalama arter basıncı, MV: Mekanik Ventilasyon</w:t>
            </w:r>
            <w:r w:rsidRPr="0033724B">
              <w:rPr>
                <w:rFonts w:eastAsia="Times New Roman"/>
                <w:b w:val="0"/>
                <w:color w:val="000000"/>
                <w:sz w:val="22"/>
                <w:lang w:eastAsia="tr-TR"/>
              </w:rPr>
              <w:br/>
            </w:r>
            <w:r w:rsidRPr="0033724B">
              <w:rPr>
                <w:rFonts w:eastAsia="Times New Roman"/>
                <w:b w:val="0"/>
                <w:bCs w:val="0"/>
                <w:color w:val="000000"/>
                <w:sz w:val="22"/>
                <w:lang w:eastAsia="tr-TR"/>
              </w:rPr>
              <w:t>*</w:t>
            </w:r>
            <w:r w:rsidRPr="0033724B">
              <w:rPr>
                <w:rFonts w:eastAsia="Times New Roman"/>
                <w:b w:val="0"/>
                <w:color w:val="000000"/>
                <w:sz w:val="22"/>
                <w:lang w:eastAsia="tr-TR"/>
              </w:rPr>
              <w:t xml:space="preserve">Katekolamin dozu </w:t>
            </w:r>
            <w:r w:rsidR="005A0FF4" w:rsidRPr="0033724B">
              <w:rPr>
                <w:rFonts w:eastAsia="Times New Roman"/>
                <w:b w:val="0"/>
                <w:color w:val="000000"/>
                <w:sz w:val="22"/>
                <w:lang w:eastAsia="tr-TR"/>
              </w:rPr>
              <w:t>mg</w:t>
            </w:r>
            <w:r w:rsidRPr="0033724B">
              <w:rPr>
                <w:rFonts w:eastAsia="Times New Roman"/>
                <w:b w:val="0"/>
                <w:color w:val="000000"/>
                <w:sz w:val="22"/>
                <w:lang w:eastAsia="tr-TR"/>
              </w:rPr>
              <w:t>/kg/dk (en az 1 saat)</w:t>
            </w:r>
            <w:r>
              <w:rPr>
                <w:rFonts w:eastAsia="Times New Roman"/>
                <w:b w:val="0"/>
                <w:color w:val="000000"/>
                <w:sz w:val="22"/>
                <w:lang w:eastAsia="tr-TR"/>
              </w:rPr>
              <w:t xml:space="preserve">, </w:t>
            </w:r>
            <w:r w:rsidRPr="0033724B">
              <w:rPr>
                <w:rFonts w:eastAsia="Times New Roman"/>
                <w:b w:val="0"/>
                <w:color w:val="000000"/>
                <w:sz w:val="22"/>
                <w:lang w:eastAsia="tr-TR"/>
              </w:rPr>
              <w:t xml:space="preserve"> GKS: Glasgow Koma Skoru</w:t>
            </w:r>
          </w:p>
        </w:tc>
      </w:tr>
    </w:tbl>
    <w:p w14:paraId="31CB264F" w14:textId="77777777" w:rsidR="00FC60B7" w:rsidRDefault="00FC60B7" w:rsidP="007402F8">
      <w:pPr>
        <w:pStyle w:val="ResimYazs"/>
        <w:rPr>
          <w:i w:val="0"/>
          <w:color w:val="000000" w:themeColor="text1"/>
          <w:sz w:val="24"/>
          <w:szCs w:val="24"/>
          <w:highlight w:val="yellow"/>
        </w:rPr>
      </w:pPr>
    </w:p>
    <w:p w14:paraId="31CB2650" w14:textId="5ADE3A10" w:rsidR="00084E0A" w:rsidRDefault="00084E0A" w:rsidP="00084E0A">
      <w:pPr>
        <w:rPr>
          <w:highlight w:val="yellow"/>
        </w:rPr>
      </w:pPr>
    </w:p>
    <w:p w14:paraId="31CB2651" w14:textId="77777777" w:rsidR="00084E0A" w:rsidRDefault="00084E0A" w:rsidP="00084E0A">
      <w:pPr>
        <w:rPr>
          <w:highlight w:val="yellow"/>
        </w:rPr>
      </w:pPr>
    </w:p>
    <w:p w14:paraId="3189C4AA" w14:textId="77777777" w:rsidR="00272116" w:rsidRDefault="00272116" w:rsidP="00084E0A">
      <w:pPr>
        <w:rPr>
          <w:highlight w:val="yellow"/>
        </w:rPr>
      </w:pPr>
    </w:p>
    <w:p w14:paraId="40D28F2B" w14:textId="77777777" w:rsidR="00272116" w:rsidRPr="00084E0A" w:rsidRDefault="00272116" w:rsidP="00084E0A">
      <w:pPr>
        <w:rPr>
          <w:highlight w:val="yellow"/>
        </w:rPr>
      </w:pPr>
    </w:p>
    <w:p w14:paraId="31CB2652" w14:textId="5D40D8FF" w:rsidR="007402F8" w:rsidRPr="009F195B" w:rsidRDefault="00FA28BF" w:rsidP="007402F8">
      <w:pPr>
        <w:pStyle w:val="ResimYazs"/>
        <w:rPr>
          <w:i w:val="0"/>
          <w:color w:val="000000" w:themeColor="text1"/>
          <w:sz w:val="24"/>
          <w:szCs w:val="24"/>
        </w:rPr>
      </w:pPr>
      <w:bookmarkStart w:id="121" w:name="_Toc45383392"/>
      <w:r>
        <w:rPr>
          <w:i w:val="0"/>
          <w:color w:val="000000" w:themeColor="text1"/>
          <w:sz w:val="24"/>
          <w:szCs w:val="24"/>
        </w:rPr>
        <w:lastRenderedPageBreak/>
        <w:t xml:space="preserve">        </w:t>
      </w:r>
      <w:bookmarkStart w:id="122" w:name="_Toc49818014"/>
      <w:r w:rsidR="007402F8" w:rsidRPr="009F195B">
        <w:rPr>
          <w:i w:val="0"/>
          <w:color w:val="000000" w:themeColor="text1"/>
          <w:sz w:val="24"/>
          <w:szCs w:val="24"/>
        </w:rPr>
        <w:t xml:space="preserve">Tablo </w:t>
      </w:r>
      <w:r w:rsidR="002B4CBE">
        <w:rPr>
          <w:i w:val="0"/>
          <w:color w:val="000000" w:themeColor="text1"/>
          <w:sz w:val="24"/>
          <w:szCs w:val="24"/>
        </w:rPr>
        <w:fldChar w:fldCharType="begin"/>
      </w:r>
      <w:r w:rsidR="002B4CBE">
        <w:rPr>
          <w:i w:val="0"/>
          <w:color w:val="000000" w:themeColor="text1"/>
          <w:sz w:val="24"/>
          <w:szCs w:val="24"/>
        </w:rPr>
        <w:instrText xml:space="preserve"> STYLEREF 1 \s </w:instrText>
      </w:r>
      <w:r w:rsidR="002B4CBE">
        <w:rPr>
          <w:i w:val="0"/>
          <w:color w:val="000000" w:themeColor="text1"/>
          <w:sz w:val="24"/>
          <w:szCs w:val="24"/>
        </w:rPr>
        <w:fldChar w:fldCharType="separate"/>
      </w:r>
      <w:r w:rsidR="00063441">
        <w:rPr>
          <w:i w:val="0"/>
          <w:noProof/>
          <w:color w:val="000000" w:themeColor="text1"/>
          <w:sz w:val="24"/>
          <w:szCs w:val="24"/>
        </w:rPr>
        <w:t>2</w:t>
      </w:r>
      <w:r w:rsidR="002B4CBE">
        <w:rPr>
          <w:i w:val="0"/>
          <w:color w:val="000000" w:themeColor="text1"/>
          <w:sz w:val="24"/>
          <w:szCs w:val="24"/>
        </w:rPr>
        <w:fldChar w:fldCharType="end"/>
      </w:r>
      <w:r w:rsidR="002B4CBE">
        <w:rPr>
          <w:i w:val="0"/>
          <w:color w:val="000000" w:themeColor="text1"/>
          <w:sz w:val="24"/>
          <w:szCs w:val="24"/>
        </w:rPr>
        <w:t>.</w:t>
      </w:r>
      <w:r w:rsidR="002B4CBE">
        <w:rPr>
          <w:i w:val="0"/>
          <w:color w:val="000000" w:themeColor="text1"/>
          <w:sz w:val="24"/>
          <w:szCs w:val="24"/>
        </w:rPr>
        <w:fldChar w:fldCharType="begin"/>
      </w:r>
      <w:r w:rsidR="002B4CBE">
        <w:rPr>
          <w:i w:val="0"/>
          <w:color w:val="000000" w:themeColor="text1"/>
          <w:sz w:val="24"/>
          <w:szCs w:val="24"/>
        </w:rPr>
        <w:instrText xml:space="preserve"> SEQ Tablo \* ARABIC \s 1 </w:instrText>
      </w:r>
      <w:r w:rsidR="002B4CBE">
        <w:rPr>
          <w:i w:val="0"/>
          <w:color w:val="000000" w:themeColor="text1"/>
          <w:sz w:val="24"/>
          <w:szCs w:val="24"/>
        </w:rPr>
        <w:fldChar w:fldCharType="separate"/>
      </w:r>
      <w:r w:rsidR="00063441">
        <w:rPr>
          <w:i w:val="0"/>
          <w:noProof/>
          <w:color w:val="000000" w:themeColor="text1"/>
          <w:sz w:val="24"/>
          <w:szCs w:val="24"/>
        </w:rPr>
        <w:t>8</w:t>
      </w:r>
      <w:r w:rsidR="002B4CBE">
        <w:rPr>
          <w:i w:val="0"/>
          <w:color w:val="000000" w:themeColor="text1"/>
          <w:sz w:val="24"/>
          <w:szCs w:val="24"/>
        </w:rPr>
        <w:fldChar w:fldCharType="end"/>
      </w:r>
      <w:r w:rsidR="007402F8" w:rsidRPr="009F195B">
        <w:rPr>
          <w:i w:val="0"/>
          <w:color w:val="000000" w:themeColor="text1"/>
          <w:sz w:val="24"/>
          <w:szCs w:val="24"/>
        </w:rPr>
        <w:t xml:space="preserve">  qSOFA Skoru</w:t>
      </w:r>
      <w:bookmarkEnd w:id="121"/>
      <w:bookmarkEnd w:id="122"/>
    </w:p>
    <w:tbl>
      <w:tblPr>
        <w:tblStyle w:val="KlavuzTablo2-Vurgu5"/>
        <w:tblW w:w="0" w:type="auto"/>
        <w:tblInd w:w="1163" w:type="dxa"/>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3317"/>
        <w:gridCol w:w="2161"/>
        <w:gridCol w:w="1100"/>
      </w:tblGrid>
      <w:tr w:rsidR="00457BEA" w:rsidRPr="00037DDE" w14:paraId="31CB2655" w14:textId="77777777" w:rsidTr="00FA28BF">
        <w:trPr>
          <w:cnfStyle w:val="100000000000" w:firstRow="1" w:lastRow="0" w:firstColumn="0" w:lastColumn="0" w:oddVBand="0" w:evenVBand="0" w:oddHBand="0"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5478" w:type="dxa"/>
            <w:gridSpan w:val="2"/>
            <w:tcBorders>
              <w:top w:val="none" w:sz="0" w:space="0" w:color="auto"/>
              <w:bottom w:val="none" w:sz="0" w:space="0" w:color="auto"/>
              <w:right w:val="none" w:sz="0" w:space="0" w:color="auto"/>
            </w:tcBorders>
            <w:hideMark/>
          </w:tcPr>
          <w:p w14:paraId="31CB2653" w14:textId="77777777" w:rsidR="00457BEA" w:rsidRPr="00457BEA" w:rsidRDefault="00457BEA" w:rsidP="00457BEA">
            <w:pPr>
              <w:ind w:firstLine="0"/>
              <w:rPr>
                <w:rFonts w:eastAsia="Times New Roman"/>
                <w:szCs w:val="24"/>
                <w:lang w:eastAsia="tr-TR"/>
              </w:rPr>
            </w:pPr>
            <w:r w:rsidRPr="00457BEA">
              <w:rPr>
                <w:rFonts w:eastAsia="Times New Roman"/>
                <w:color w:val="000000"/>
                <w:szCs w:val="24"/>
                <w:lang w:eastAsia="tr-TR"/>
              </w:rPr>
              <w:t>qSOFA Parametreleri:</w:t>
            </w:r>
          </w:p>
        </w:tc>
        <w:tc>
          <w:tcPr>
            <w:tcW w:w="1100" w:type="dxa"/>
            <w:tcBorders>
              <w:top w:val="none" w:sz="0" w:space="0" w:color="auto"/>
              <w:left w:val="none" w:sz="0" w:space="0" w:color="auto"/>
              <w:bottom w:val="none" w:sz="0" w:space="0" w:color="auto"/>
            </w:tcBorders>
          </w:tcPr>
          <w:p w14:paraId="31CB2654" w14:textId="77777777" w:rsidR="00457BEA" w:rsidRPr="00457BEA" w:rsidRDefault="00457BEA" w:rsidP="00457BEA">
            <w:pPr>
              <w:ind w:firstLine="0"/>
              <w:cnfStyle w:val="100000000000" w:firstRow="1" w:lastRow="0" w:firstColumn="0" w:lastColumn="0" w:oddVBand="0" w:evenVBand="0" w:oddHBand="0" w:evenHBand="0" w:firstRowFirstColumn="0" w:firstRowLastColumn="0" w:lastRowFirstColumn="0" w:lastRowLastColumn="0"/>
              <w:rPr>
                <w:rFonts w:eastAsia="Times New Roman"/>
                <w:szCs w:val="24"/>
                <w:lang w:eastAsia="tr-TR"/>
              </w:rPr>
            </w:pPr>
            <w:r>
              <w:rPr>
                <w:rFonts w:eastAsia="Times New Roman"/>
                <w:szCs w:val="24"/>
                <w:lang w:eastAsia="tr-TR"/>
              </w:rPr>
              <w:t xml:space="preserve">   </w:t>
            </w:r>
            <w:r w:rsidRPr="00457BEA">
              <w:rPr>
                <w:rFonts w:eastAsia="Times New Roman"/>
                <w:szCs w:val="24"/>
                <w:lang w:eastAsia="tr-TR"/>
              </w:rPr>
              <w:t xml:space="preserve">Puan </w:t>
            </w:r>
          </w:p>
        </w:tc>
      </w:tr>
      <w:tr w:rsidR="00457BEA" w:rsidRPr="00037DDE" w14:paraId="31CB2659" w14:textId="77777777" w:rsidTr="00FA28BF">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3317" w:type="dxa"/>
            <w:hideMark/>
          </w:tcPr>
          <w:p w14:paraId="31CB2656" w14:textId="77777777" w:rsidR="00457BEA" w:rsidRPr="00457BEA" w:rsidRDefault="00457BEA" w:rsidP="00A95C87">
            <w:pPr>
              <w:ind w:firstLine="0"/>
              <w:rPr>
                <w:rFonts w:eastAsia="Times New Roman"/>
                <w:b w:val="0"/>
                <w:szCs w:val="24"/>
                <w:lang w:eastAsia="tr-TR"/>
              </w:rPr>
            </w:pPr>
            <w:r w:rsidRPr="00457BEA">
              <w:rPr>
                <w:rFonts w:eastAsia="Times New Roman"/>
                <w:b w:val="0"/>
                <w:color w:val="000000"/>
                <w:szCs w:val="24"/>
                <w:lang w:eastAsia="tr-TR"/>
              </w:rPr>
              <w:t xml:space="preserve">Solunum Sayısı </w:t>
            </w:r>
          </w:p>
        </w:tc>
        <w:tc>
          <w:tcPr>
            <w:tcW w:w="2161" w:type="dxa"/>
            <w:hideMark/>
          </w:tcPr>
          <w:p w14:paraId="31CB2657" w14:textId="77777777" w:rsidR="00457BEA" w:rsidRPr="00037DDE" w:rsidRDefault="00457BEA" w:rsidP="00A95C87">
            <w:pPr>
              <w:ind w:firstLine="0"/>
              <w:cnfStyle w:val="000000100000" w:firstRow="0" w:lastRow="0" w:firstColumn="0" w:lastColumn="0" w:oddVBand="0" w:evenVBand="0" w:oddHBand="1" w:evenHBand="0" w:firstRowFirstColumn="0" w:firstRowLastColumn="0" w:lastRowFirstColumn="0" w:lastRowLastColumn="0"/>
              <w:rPr>
                <w:rFonts w:eastAsia="Times New Roman"/>
                <w:szCs w:val="24"/>
                <w:lang w:eastAsia="tr-TR"/>
              </w:rPr>
            </w:pPr>
            <w:r w:rsidRPr="00037DDE">
              <w:rPr>
                <w:rFonts w:eastAsia="Times New Roman"/>
                <w:color w:val="000000"/>
                <w:szCs w:val="24"/>
                <w:lang w:eastAsia="tr-TR"/>
              </w:rPr>
              <w:t>≥22</w:t>
            </w:r>
          </w:p>
        </w:tc>
        <w:tc>
          <w:tcPr>
            <w:tcW w:w="1100" w:type="dxa"/>
          </w:tcPr>
          <w:p w14:paraId="31CB2658" w14:textId="77777777" w:rsidR="00457BEA" w:rsidRPr="00037DDE" w:rsidRDefault="00457BEA" w:rsidP="00457BE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szCs w:val="24"/>
                <w:lang w:eastAsia="tr-TR"/>
              </w:rPr>
            </w:pPr>
            <w:r>
              <w:rPr>
                <w:rFonts w:eastAsia="Times New Roman"/>
                <w:szCs w:val="24"/>
                <w:lang w:eastAsia="tr-TR"/>
              </w:rPr>
              <w:t>1</w:t>
            </w:r>
          </w:p>
        </w:tc>
      </w:tr>
      <w:tr w:rsidR="00457BEA" w:rsidRPr="00037DDE" w14:paraId="31CB265D" w14:textId="77777777" w:rsidTr="00FA28BF">
        <w:trPr>
          <w:trHeight w:val="248"/>
        </w:trPr>
        <w:tc>
          <w:tcPr>
            <w:cnfStyle w:val="001000000000" w:firstRow="0" w:lastRow="0" w:firstColumn="1" w:lastColumn="0" w:oddVBand="0" w:evenVBand="0" w:oddHBand="0" w:evenHBand="0" w:firstRowFirstColumn="0" w:firstRowLastColumn="0" w:lastRowFirstColumn="0" w:lastRowLastColumn="0"/>
            <w:tcW w:w="3317" w:type="dxa"/>
            <w:hideMark/>
          </w:tcPr>
          <w:p w14:paraId="31CB265A" w14:textId="77777777" w:rsidR="00457BEA" w:rsidRPr="00457BEA" w:rsidRDefault="00457BEA" w:rsidP="00A95C87">
            <w:pPr>
              <w:ind w:firstLine="0"/>
              <w:jc w:val="left"/>
              <w:rPr>
                <w:rFonts w:eastAsia="Times New Roman"/>
                <w:b w:val="0"/>
                <w:szCs w:val="24"/>
                <w:lang w:eastAsia="tr-TR"/>
              </w:rPr>
            </w:pPr>
            <w:r w:rsidRPr="00457BEA">
              <w:rPr>
                <w:rFonts w:eastAsia="Times New Roman"/>
                <w:b w:val="0"/>
                <w:color w:val="000000"/>
                <w:szCs w:val="24"/>
                <w:lang w:eastAsia="tr-TR"/>
              </w:rPr>
              <w:t xml:space="preserve">Glasgow Koma Skalası (GKS) </w:t>
            </w:r>
          </w:p>
        </w:tc>
        <w:tc>
          <w:tcPr>
            <w:tcW w:w="2161" w:type="dxa"/>
            <w:hideMark/>
          </w:tcPr>
          <w:p w14:paraId="31CB265B" w14:textId="77777777" w:rsidR="00457BEA" w:rsidRPr="00037DDE" w:rsidRDefault="00457BEA" w:rsidP="00A95C87">
            <w:pPr>
              <w:ind w:firstLine="0"/>
              <w:cnfStyle w:val="000000000000" w:firstRow="0" w:lastRow="0" w:firstColumn="0" w:lastColumn="0" w:oddVBand="0" w:evenVBand="0" w:oddHBand="0" w:evenHBand="0" w:firstRowFirstColumn="0" w:firstRowLastColumn="0" w:lastRowFirstColumn="0" w:lastRowLastColumn="0"/>
              <w:rPr>
                <w:rFonts w:eastAsia="Times New Roman"/>
                <w:szCs w:val="24"/>
                <w:lang w:eastAsia="tr-TR"/>
              </w:rPr>
            </w:pPr>
            <w:r w:rsidRPr="00037DDE">
              <w:rPr>
                <w:rFonts w:eastAsia="Times New Roman"/>
                <w:color w:val="000000"/>
                <w:szCs w:val="24"/>
                <w:lang w:eastAsia="tr-TR"/>
              </w:rPr>
              <w:t>≤13</w:t>
            </w:r>
          </w:p>
        </w:tc>
        <w:tc>
          <w:tcPr>
            <w:tcW w:w="1100" w:type="dxa"/>
          </w:tcPr>
          <w:p w14:paraId="31CB265C" w14:textId="77777777" w:rsidR="00457BEA" w:rsidRPr="00037DDE" w:rsidRDefault="00457BEA" w:rsidP="00457BE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szCs w:val="24"/>
                <w:lang w:eastAsia="tr-TR"/>
              </w:rPr>
            </w:pPr>
            <w:r>
              <w:rPr>
                <w:rFonts w:eastAsia="Times New Roman"/>
                <w:szCs w:val="24"/>
                <w:lang w:eastAsia="tr-TR"/>
              </w:rPr>
              <w:t>1</w:t>
            </w:r>
          </w:p>
        </w:tc>
      </w:tr>
      <w:tr w:rsidR="00457BEA" w:rsidRPr="00037DDE" w14:paraId="31CB2661" w14:textId="77777777" w:rsidTr="00FA28BF">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3317" w:type="dxa"/>
            <w:hideMark/>
          </w:tcPr>
          <w:p w14:paraId="31CB265E" w14:textId="77777777" w:rsidR="00457BEA" w:rsidRPr="00457BEA" w:rsidRDefault="00457BEA" w:rsidP="00A95C87">
            <w:pPr>
              <w:ind w:firstLine="0"/>
              <w:rPr>
                <w:rFonts w:eastAsia="Times New Roman"/>
                <w:b w:val="0"/>
                <w:szCs w:val="24"/>
                <w:lang w:eastAsia="tr-TR"/>
              </w:rPr>
            </w:pPr>
            <w:r w:rsidRPr="00457BEA">
              <w:rPr>
                <w:rFonts w:eastAsia="Times New Roman"/>
                <w:b w:val="0"/>
                <w:color w:val="000000"/>
                <w:szCs w:val="24"/>
                <w:lang w:eastAsia="tr-TR"/>
              </w:rPr>
              <w:t xml:space="preserve">Sistolik Kan Basıncı </w:t>
            </w:r>
          </w:p>
        </w:tc>
        <w:tc>
          <w:tcPr>
            <w:tcW w:w="2161" w:type="dxa"/>
            <w:hideMark/>
          </w:tcPr>
          <w:p w14:paraId="31CB265F" w14:textId="77777777" w:rsidR="00457BEA" w:rsidRPr="00037DDE" w:rsidRDefault="00457BEA" w:rsidP="00A95C87">
            <w:pPr>
              <w:ind w:firstLine="0"/>
              <w:cnfStyle w:val="000000100000" w:firstRow="0" w:lastRow="0" w:firstColumn="0" w:lastColumn="0" w:oddVBand="0" w:evenVBand="0" w:oddHBand="1" w:evenHBand="0" w:firstRowFirstColumn="0" w:firstRowLastColumn="0" w:lastRowFirstColumn="0" w:lastRowLastColumn="0"/>
              <w:rPr>
                <w:rFonts w:eastAsia="Times New Roman"/>
                <w:szCs w:val="24"/>
                <w:lang w:eastAsia="tr-TR"/>
              </w:rPr>
            </w:pPr>
            <w:r w:rsidRPr="00037DDE">
              <w:rPr>
                <w:rFonts w:eastAsia="Times New Roman"/>
                <w:color w:val="000000"/>
                <w:szCs w:val="24"/>
                <w:lang w:eastAsia="tr-TR"/>
              </w:rPr>
              <w:t>≤100 mmHg</w:t>
            </w:r>
          </w:p>
        </w:tc>
        <w:tc>
          <w:tcPr>
            <w:tcW w:w="1100" w:type="dxa"/>
          </w:tcPr>
          <w:p w14:paraId="31CB2660" w14:textId="77777777" w:rsidR="00457BEA" w:rsidRPr="00037DDE" w:rsidRDefault="00457BEA" w:rsidP="00457BEA">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szCs w:val="24"/>
                <w:lang w:eastAsia="tr-TR"/>
              </w:rPr>
            </w:pPr>
            <w:r>
              <w:rPr>
                <w:rFonts w:eastAsia="Times New Roman"/>
                <w:szCs w:val="24"/>
                <w:lang w:eastAsia="tr-TR"/>
              </w:rPr>
              <w:t>1</w:t>
            </w:r>
          </w:p>
        </w:tc>
      </w:tr>
    </w:tbl>
    <w:p w14:paraId="31CB2662" w14:textId="77777777" w:rsidR="00B128AF" w:rsidRDefault="00B128AF" w:rsidP="00B128AF">
      <w:pPr>
        <w:rPr>
          <w:highlight w:val="yellow"/>
        </w:rPr>
      </w:pPr>
    </w:p>
    <w:p w14:paraId="6EE7BF7B" w14:textId="77777777" w:rsidR="00A81EDF" w:rsidRDefault="00A81EDF" w:rsidP="00B128AF">
      <w:pPr>
        <w:rPr>
          <w:highlight w:val="yellow"/>
        </w:rPr>
      </w:pPr>
    </w:p>
    <w:p w14:paraId="31CB2663" w14:textId="77777777" w:rsidR="00EF3DBD" w:rsidRDefault="00EF3DBD" w:rsidP="00EF3DBD">
      <w:pPr>
        <w:pStyle w:val="Balk2"/>
        <w:numPr>
          <w:ilvl w:val="0"/>
          <w:numId w:val="12"/>
        </w:numPr>
        <w:ind w:left="1843" w:hanging="142"/>
      </w:pPr>
      <w:bookmarkStart w:id="123" w:name="_Toc45265894"/>
      <w:bookmarkStart w:id="124" w:name="_Toc55727790"/>
      <w:r w:rsidRPr="003656DA">
        <w:t>Sepsis Risk Faktörleri</w:t>
      </w:r>
      <w:bookmarkEnd w:id="123"/>
      <w:bookmarkEnd w:id="124"/>
    </w:p>
    <w:p w14:paraId="31CB2665" w14:textId="77777777" w:rsidR="00EF3DBD" w:rsidRPr="00477372" w:rsidRDefault="00EF3DBD" w:rsidP="00EF3DBD">
      <w:pPr>
        <w:pStyle w:val="ListeParagraf"/>
        <w:keepNext/>
        <w:keepLines/>
        <w:numPr>
          <w:ilvl w:val="0"/>
          <w:numId w:val="3"/>
        </w:numPr>
        <w:spacing w:before="40" w:line="240" w:lineRule="auto"/>
        <w:contextualSpacing w:val="0"/>
        <w:outlineLvl w:val="2"/>
        <w:rPr>
          <w:rFonts w:eastAsiaTheme="majorEastAsia" w:cstheme="majorBidi"/>
          <w:b/>
          <w:vanish/>
          <w:szCs w:val="24"/>
        </w:rPr>
      </w:pPr>
      <w:bookmarkStart w:id="125" w:name="_Toc43775394"/>
      <w:bookmarkStart w:id="126" w:name="_Toc43775483"/>
      <w:bookmarkStart w:id="127" w:name="_Toc45265669"/>
      <w:bookmarkStart w:id="128" w:name="_Toc45265895"/>
      <w:bookmarkStart w:id="129" w:name="_Toc45497741"/>
      <w:bookmarkStart w:id="130" w:name="_Toc45497840"/>
      <w:bookmarkStart w:id="131" w:name="_Toc45497938"/>
      <w:bookmarkStart w:id="132" w:name="_Toc45498038"/>
      <w:bookmarkStart w:id="133" w:name="_Toc46048046"/>
      <w:bookmarkStart w:id="134" w:name="_Toc46154299"/>
      <w:bookmarkStart w:id="135" w:name="_Toc46495163"/>
      <w:bookmarkStart w:id="136" w:name="_Toc47882221"/>
      <w:bookmarkStart w:id="137" w:name="_Toc49815730"/>
      <w:bookmarkStart w:id="138" w:name="_Toc55727791"/>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14:paraId="31CB2666" w14:textId="77777777" w:rsidR="00EF3DBD" w:rsidRPr="00477372" w:rsidRDefault="00EF3DBD" w:rsidP="00EF3DBD">
      <w:pPr>
        <w:pStyle w:val="ListeParagraf"/>
        <w:keepNext/>
        <w:keepLines/>
        <w:numPr>
          <w:ilvl w:val="1"/>
          <w:numId w:val="3"/>
        </w:numPr>
        <w:spacing w:before="40" w:line="240" w:lineRule="auto"/>
        <w:contextualSpacing w:val="0"/>
        <w:outlineLvl w:val="2"/>
        <w:rPr>
          <w:rFonts w:eastAsiaTheme="majorEastAsia" w:cstheme="majorBidi"/>
          <w:b/>
          <w:vanish/>
          <w:szCs w:val="24"/>
        </w:rPr>
      </w:pPr>
      <w:bookmarkStart w:id="139" w:name="_Toc43775395"/>
      <w:bookmarkStart w:id="140" w:name="_Toc43775484"/>
      <w:bookmarkStart w:id="141" w:name="_Toc45265670"/>
      <w:bookmarkStart w:id="142" w:name="_Toc45265896"/>
      <w:bookmarkStart w:id="143" w:name="_Toc45497742"/>
      <w:bookmarkStart w:id="144" w:name="_Toc45497841"/>
      <w:bookmarkStart w:id="145" w:name="_Toc45497939"/>
      <w:bookmarkStart w:id="146" w:name="_Toc45498039"/>
      <w:bookmarkStart w:id="147" w:name="_Toc46048047"/>
      <w:bookmarkStart w:id="148" w:name="_Toc46154300"/>
      <w:bookmarkStart w:id="149" w:name="_Toc46495164"/>
      <w:bookmarkStart w:id="150" w:name="_Toc47882222"/>
      <w:bookmarkStart w:id="151" w:name="_Toc49815731"/>
      <w:bookmarkStart w:id="152" w:name="_Toc55727792"/>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p>
    <w:p w14:paraId="31CB2667" w14:textId="77777777" w:rsidR="00EF3DBD" w:rsidRPr="00477372" w:rsidRDefault="00EF3DBD" w:rsidP="00EF3DBD">
      <w:pPr>
        <w:pStyle w:val="ListeParagraf"/>
        <w:keepNext/>
        <w:keepLines/>
        <w:numPr>
          <w:ilvl w:val="1"/>
          <w:numId w:val="3"/>
        </w:numPr>
        <w:spacing w:before="40" w:line="240" w:lineRule="auto"/>
        <w:contextualSpacing w:val="0"/>
        <w:outlineLvl w:val="2"/>
        <w:rPr>
          <w:rFonts w:eastAsiaTheme="majorEastAsia" w:cstheme="majorBidi"/>
          <w:b/>
          <w:vanish/>
          <w:szCs w:val="24"/>
        </w:rPr>
      </w:pPr>
      <w:bookmarkStart w:id="153" w:name="_Toc43775396"/>
      <w:bookmarkStart w:id="154" w:name="_Toc43775485"/>
      <w:bookmarkStart w:id="155" w:name="_Toc45265671"/>
      <w:bookmarkStart w:id="156" w:name="_Toc45265897"/>
      <w:bookmarkStart w:id="157" w:name="_Toc45497743"/>
      <w:bookmarkStart w:id="158" w:name="_Toc45497842"/>
      <w:bookmarkStart w:id="159" w:name="_Toc45497940"/>
      <w:bookmarkStart w:id="160" w:name="_Toc45498040"/>
      <w:bookmarkStart w:id="161" w:name="_Toc46048048"/>
      <w:bookmarkStart w:id="162" w:name="_Toc46154301"/>
      <w:bookmarkStart w:id="163" w:name="_Toc46495165"/>
      <w:bookmarkStart w:id="164" w:name="_Toc47882223"/>
      <w:bookmarkStart w:id="165" w:name="_Toc49815732"/>
      <w:bookmarkStart w:id="166" w:name="_Toc55727793"/>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14:paraId="31CB2668" w14:textId="77777777" w:rsidR="00EF3DBD" w:rsidRPr="00477372" w:rsidRDefault="00EF3DBD" w:rsidP="00EF3DBD">
      <w:pPr>
        <w:pStyle w:val="ListeParagraf"/>
        <w:keepNext/>
        <w:keepLines/>
        <w:numPr>
          <w:ilvl w:val="1"/>
          <w:numId w:val="3"/>
        </w:numPr>
        <w:spacing w:before="40" w:line="240" w:lineRule="auto"/>
        <w:contextualSpacing w:val="0"/>
        <w:outlineLvl w:val="2"/>
        <w:rPr>
          <w:rFonts w:eastAsiaTheme="majorEastAsia" w:cstheme="majorBidi"/>
          <w:b/>
          <w:vanish/>
          <w:szCs w:val="24"/>
        </w:rPr>
      </w:pPr>
      <w:bookmarkStart w:id="167" w:name="_Toc43775397"/>
      <w:bookmarkStart w:id="168" w:name="_Toc43775486"/>
      <w:bookmarkStart w:id="169" w:name="_Toc45265672"/>
      <w:bookmarkStart w:id="170" w:name="_Toc45265898"/>
      <w:bookmarkStart w:id="171" w:name="_Toc45497744"/>
      <w:bookmarkStart w:id="172" w:name="_Toc45497843"/>
      <w:bookmarkStart w:id="173" w:name="_Toc45497941"/>
      <w:bookmarkStart w:id="174" w:name="_Toc45498041"/>
      <w:bookmarkStart w:id="175" w:name="_Toc46048049"/>
      <w:bookmarkStart w:id="176" w:name="_Toc46154302"/>
      <w:bookmarkStart w:id="177" w:name="_Toc46495166"/>
      <w:bookmarkStart w:id="178" w:name="_Toc47882224"/>
      <w:bookmarkStart w:id="179" w:name="_Toc49815733"/>
      <w:bookmarkStart w:id="180" w:name="_Toc55727794"/>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14:paraId="31CB2669" w14:textId="77777777" w:rsidR="00EF3DBD" w:rsidRPr="00477372" w:rsidRDefault="00EF3DBD" w:rsidP="00EF3DBD">
      <w:pPr>
        <w:pStyle w:val="ListeParagraf"/>
        <w:keepNext/>
        <w:keepLines/>
        <w:numPr>
          <w:ilvl w:val="1"/>
          <w:numId w:val="3"/>
        </w:numPr>
        <w:spacing w:before="40" w:line="240" w:lineRule="auto"/>
        <w:contextualSpacing w:val="0"/>
        <w:outlineLvl w:val="2"/>
        <w:rPr>
          <w:rFonts w:eastAsiaTheme="majorEastAsia" w:cstheme="majorBidi"/>
          <w:b/>
          <w:vanish/>
          <w:szCs w:val="24"/>
        </w:rPr>
      </w:pPr>
      <w:bookmarkStart w:id="181" w:name="_Toc43775398"/>
      <w:bookmarkStart w:id="182" w:name="_Toc43775487"/>
      <w:bookmarkStart w:id="183" w:name="_Toc45265673"/>
      <w:bookmarkStart w:id="184" w:name="_Toc45265899"/>
      <w:bookmarkStart w:id="185" w:name="_Toc45497745"/>
      <w:bookmarkStart w:id="186" w:name="_Toc45497844"/>
      <w:bookmarkStart w:id="187" w:name="_Toc45497942"/>
      <w:bookmarkStart w:id="188" w:name="_Toc45498042"/>
      <w:bookmarkStart w:id="189" w:name="_Toc46048050"/>
      <w:bookmarkStart w:id="190" w:name="_Toc46154303"/>
      <w:bookmarkStart w:id="191" w:name="_Toc46495167"/>
      <w:bookmarkStart w:id="192" w:name="_Toc47882225"/>
      <w:bookmarkStart w:id="193" w:name="_Toc49815734"/>
      <w:bookmarkStart w:id="194" w:name="_Toc55727795"/>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14:paraId="31CB266A" w14:textId="77777777" w:rsidR="00EF3DBD" w:rsidRPr="00477372" w:rsidRDefault="00EF3DBD" w:rsidP="00EF3DBD">
      <w:pPr>
        <w:pStyle w:val="ListeParagraf"/>
        <w:keepNext/>
        <w:keepLines/>
        <w:numPr>
          <w:ilvl w:val="1"/>
          <w:numId w:val="3"/>
        </w:numPr>
        <w:spacing w:before="40" w:line="240" w:lineRule="auto"/>
        <w:contextualSpacing w:val="0"/>
        <w:outlineLvl w:val="2"/>
        <w:rPr>
          <w:rFonts w:eastAsiaTheme="majorEastAsia" w:cstheme="majorBidi"/>
          <w:b/>
          <w:vanish/>
          <w:szCs w:val="24"/>
        </w:rPr>
      </w:pPr>
      <w:bookmarkStart w:id="195" w:name="_Toc43775399"/>
      <w:bookmarkStart w:id="196" w:name="_Toc43775488"/>
      <w:bookmarkStart w:id="197" w:name="_Toc45265674"/>
      <w:bookmarkStart w:id="198" w:name="_Toc45265900"/>
      <w:bookmarkStart w:id="199" w:name="_Toc45497746"/>
      <w:bookmarkStart w:id="200" w:name="_Toc45497845"/>
      <w:bookmarkStart w:id="201" w:name="_Toc45497943"/>
      <w:bookmarkStart w:id="202" w:name="_Toc45498043"/>
      <w:bookmarkStart w:id="203" w:name="_Toc46048051"/>
      <w:bookmarkStart w:id="204" w:name="_Toc46154304"/>
      <w:bookmarkStart w:id="205" w:name="_Toc46495168"/>
      <w:bookmarkStart w:id="206" w:name="_Toc47882226"/>
      <w:bookmarkStart w:id="207" w:name="_Toc49815735"/>
      <w:bookmarkStart w:id="208" w:name="_Toc55727796"/>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31CB266B" w14:textId="77777777" w:rsidR="00EF3DBD" w:rsidRPr="00477372" w:rsidRDefault="00EF3DBD" w:rsidP="00EF3DBD">
      <w:pPr>
        <w:pStyle w:val="ListeParagraf"/>
        <w:keepNext/>
        <w:keepLines/>
        <w:numPr>
          <w:ilvl w:val="1"/>
          <w:numId w:val="3"/>
        </w:numPr>
        <w:spacing w:before="40" w:line="240" w:lineRule="auto"/>
        <w:contextualSpacing w:val="0"/>
        <w:outlineLvl w:val="2"/>
        <w:rPr>
          <w:rFonts w:eastAsiaTheme="majorEastAsia" w:cstheme="majorBidi"/>
          <w:b/>
          <w:vanish/>
          <w:szCs w:val="24"/>
        </w:rPr>
      </w:pPr>
      <w:bookmarkStart w:id="209" w:name="_Toc43775400"/>
      <w:bookmarkStart w:id="210" w:name="_Toc43775489"/>
      <w:bookmarkStart w:id="211" w:name="_Toc45265675"/>
      <w:bookmarkStart w:id="212" w:name="_Toc45265901"/>
      <w:bookmarkStart w:id="213" w:name="_Toc45497747"/>
      <w:bookmarkStart w:id="214" w:name="_Toc45497846"/>
      <w:bookmarkStart w:id="215" w:name="_Toc45497944"/>
      <w:bookmarkStart w:id="216" w:name="_Toc45498044"/>
      <w:bookmarkStart w:id="217" w:name="_Toc46048052"/>
      <w:bookmarkStart w:id="218" w:name="_Toc46154305"/>
      <w:bookmarkStart w:id="219" w:name="_Toc46495169"/>
      <w:bookmarkStart w:id="220" w:name="_Toc47882227"/>
      <w:bookmarkStart w:id="221" w:name="_Toc49815736"/>
      <w:bookmarkStart w:id="222" w:name="_Toc55727797"/>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p w14:paraId="31CB266C" w14:textId="77777777" w:rsidR="00EF3DBD" w:rsidRPr="0085015D" w:rsidRDefault="00EF3DBD" w:rsidP="00EF3DBD">
      <w:pPr>
        <w:pStyle w:val="ListeParagraf"/>
        <w:keepNext/>
        <w:keepLines/>
        <w:numPr>
          <w:ilvl w:val="0"/>
          <w:numId w:val="10"/>
        </w:numPr>
        <w:spacing w:before="40" w:line="240" w:lineRule="auto"/>
        <w:contextualSpacing w:val="0"/>
        <w:outlineLvl w:val="2"/>
        <w:rPr>
          <w:rFonts w:eastAsiaTheme="majorEastAsia" w:cstheme="majorBidi"/>
          <w:b/>
          <w:vanish/>
          <w:szCs w:val="24"/>
        </w:rPr>
      </w:pPr>
      <w:bookmarkStart w:id="223" w:name="_Toc43775401"/>
      <w:bookmarkStart w:id="224" w:name="_Toc43775490"/>
      <w:bookmarkStart w:id="225" w:name="_Toc45265676"/>
      <w:bookmarkStart w:id="226" w:name="_Toc45265902"/>
      <w:bookmarkStart w:id="227" w:name="_Toc45497748"/>
      <w:bookmarkStart w:id="228" w:name="_Toc45497847"/>
      <w:bookmarkStart w:id="229" w:name="_Toc45497945"/>
      <w:bookmarkStart w:id="230" w:name="_Toc45498045"/>
      <w:bookmarkStart w:id="231" w:name="_Toc46048053"/>
      <w:bookmarkStart w:id="232" w:name="_Toc46154306"/>
      <w:bookmarkStart w:id="233" w:name="_Toc46495170"/>
      <w:bookmarkStart w:id="234" w:name="_Toc47882228"/>
      <w:bookmarkStart w:id="235" w:name="_Toc49815737"/>
      <w:bookmarkStart w:id="236" w:name="_Toc55727798"/>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p>
    <w:p w14:paraId="31CB266D" w14:textId="77777777" w:rsidR="00EF3DBD" w:rsidRPr="0085015D" w:rsidRDefault="00EF3DBD" w:rsidP="00EF3DBD">
      <w:pPr>
        <w:pStyle w:val="ListeParagraf"/>
        <w:keepNext/>
        <w:keepLines/>
        <w:numPr>
          <w:ilvl w:val="1"/>
          <w:numId w:val="10"/>
        </w:numPr>
        <w:spacing w:before="40" w:line="240" w:lineRule="auto"/>
        <w:contextualSpacing w:val="0"/>
        <w:outlineLvl w:val="2"/>
        <w:rPr>
          <w:rFonts w:eastAsiaTheme="majorEastAsia" w:cstheme="majorBidi"/>
          <w:b/>
          <w:vanish/>
          <w:szCs w:val="24"/>
        </w:rPr>
      </w:pPr>
      <w:bookmarkStart w:id="237" w:name="_Toc43775402"/>
      <w:bookmarkStart w:id="238" w:name="_Toc43775491"/>
      <w:bookmarkStart w:id="239" w:name="_Toc45265677"/>
      <w:bookmarkStart w:id="240" w:name="_Toc45265903"/>
      <w:bookmarkStart w:id="241" w:name="_Toc45497749"/>
      <w:bookmarkStart w:id="242" w:name="_Toc45497848"/>
      <w:bookmarkStart w:id="243" w:name="_Toc45497946"/>
      <w:bookmarkStart w:id="244" w:name="_Toc45498046"/>
      <w:bookmarkStart w:id="245" w:name="_Toc46048054"/>
      <w:bookmarkStart w:id="246" w:name="_Toc46154307"/>
      <w:bookmarkStart w:id="247" w:name="_Toc46495171"/>
      <w:bookmarkStart w:id="248" w:name="_Toc47882229"/>
      <w:bookmarkStart w:id="249" w:name="_Toc49815738"/>
      <w:bookmarkStart w:id="250" w:name="_Toc55727799"/>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14:paraId="31CB266E" w14:textId="77777777" w:rsidR="00EF3DBD" w:rsidRPr="0085015D" w:rsidRDefault="00EF3DBD" w:rsidP="00EF3DBD">
      <w:pPr>
        <w:pStyle w:val="ListeParagraf"/>
        <w:keepNext/>
        <w:keepLines/>
        <w:numPr>
          <w:ilvl w:val="1"/>
          <w:numId w:val="10"/>
        </w:numPr>
        <w:spacing w:before="40" w:line="240" w:lineRule="auto"/>
        <w:contextualSpacing w:val="0"/>
        <w:outlineLvl w:val="2"/>
        <w:rPr>
          <w:rFonts w:eastAsiaTheme="majorEastAsia" w:cstheme="majorBidi"/>
          <w:b/>
          <w:vanish/>
          <w:szCs w:val="24"/>
        </w:rPr>
      </w:pPr>
      <w:bookmarkStart w:id="251" w:name="_Toc43775403"/>
      <w:bookmarkStart w:id="252" w:name="_Toc43775492"/>
      <w:bookmarkStart w:id="253" w:name="_Toc45265678"/>
      <w:bookmarkStart w:id="254" w:name="_Toc45265904"/>
      <w:bookmarkStart w:id="255" w:name="_Toc45497750"/>
      <w:bookmarkStart w:id="256" w:name="_Toc45497849"/>
      <w:bookmarkStart w:id="257" w:name="_Toc45497947"/>
      <w:bookmarkStart w:id="258" w:name="_Toc45498047"/>
      <w:bookmarkStart w:id="259" w:name="_Toc46048055"/>
      <w:bookmarkStart w:id="260" w:name="_Toc46154308"/>
      <w:bookmarkStart w:id="261" w:name="_Toc46495172"/>
      <w:bookmarkStart w:id="262" w:name="_Toc47882230"/>
      <w:bookmarkStart w:id="263" w:name="_Toc49815739"/>
      <w:bookmarkStart w:id="264" w:name="_Toc5572780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p>
    <w:p w14:paraId="31CB266F" w14:textId="77777777" w:rsidR="00EF3DBD" w:rsidRPr="0085015D" w:rsidRDefault="00EF3DBD" w:rsidP="00EF3DBD">
      <w:pPr>
        <w:pStyle w:val="ListeParagraf"/>
        <w:keepNext/>
        <w:keepLines/>
        <w:numPr>
          <w:ilvl w:val="1"/>
          <w:numId w:val="10"/>
        </w:numPr>
        <w:spacing w:before="40" w:line="240" w:lineRule="auto"/>
        <w:contextualSpacing w:val="0"/>
        <w:outlineLvl w:val="2"/>
        <w:rPr>
          <w:rFonts w:eastAsiaTheme="majorEastAsia" w:cstheme="majorBidi"/>
          <w:b/>
          <w:vanish/>
          <w:szCs w:val="24"/>
        </w:rPr>
      </w:pPr>
      <w:bookmarkStart w:id="265" w:name="_Toc43775404"/>
      <w:bookmarkStart w:id="266" w:name="_Toc43775493"/>
      <w:bookmarkStart w:id="267" w:name="_Toc45265679"/>
      <w:bookmarkStart w:id="268" w:name="_Toc45265905"/>
      <w:bookmarkStart w:id="269" w:name="_Toc45497751"/>
      <w:bookmarkStart w:id="270" w:name="_Toc45497850"/>
      <w:bookmarkStart w:id="271" w:name="_Toc45497948"/>
      <w:bookmarkStart w:id="272" w:name="_Toc45498048"/>
      <w:bookmarkStart w:id="273" w:name="_Toc46048056"/>
      <w:bookmarkStart w:id="274" w:name="_Toc46154309"/>
      <w:bookmarkStart w:id="275" w:name="_Toc46495173"/>
      <w:bookmarkStart w:id="276" w:name="_Toc47882231"/>
      <w:bookmarkStart w:id="277" w:name="_Toc49815740"/>
      <w:bookmarkStart w:id="278" w:name="_Toc55727801"/>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p w14:paraId="31CB2670" w14:textId="77777777" w:rsidR="00EF3DBD" w:rsidRPr="0085015D" w:rsidRDefault="00EF3DBD" w:rsidP="00EF3DBD">
      <w:pPr>
        <w:pStyle w:val="ListeParagraf"/>
        <w:keepNext/>
        <w:keepLines/>
        <w:numPr>
          <w:ilvl w:val="1"/>
          <w:numId w:val="10"/>
        </w:numPr>
        <w:spacing w:before="40" w:line="240" w:lineRule="auto"/>
        <w:contextualSpacing w:val="0"/>
        <w:outlineLvl w:val="2"/>
        <w:rPr>
          <w:rFonts w:eastAsiaTheme="majorEastAsia" w:cstheme="majorBidi"/>
          <w:b/>
          <w:vanish/>
          <w:szCs w:val="24"/>
        </w:rPr>
      </w:pPr>
      <w:bookmarkStart w:id="279" w:name="_Toc43775405"/>
      <w:bookmarkStart w:id="280" w:name="_Toc43775494"/>
      <w:bookmarkStart w:id="281" w:name="_Toc45265680"/>
      <w:bookmarkStart w:id="282" w:name="_Toc45265906"/>
      <w:bookmarkStart w:id="283" w:name="_Toc45497752"/>
      <w:bookmarkStart w:id="284" w:name="_Toc45497851"/>
      <w:bookmarkStart w:id="285" w:name="_Toc45497949"/>
      <w:bookmarkStart w:id="286" w:name="_Toc45498049"/>
      <w:bookmarkStart w:id="287" w:name="_Toc46048057"/>
      <w:bookmarkStart w:id="288" w:name="_Toc46154310"/>
      <w:bookmarkStart w:id="289" w:name="_Toc46495174"/>
      <w:bookmarkStart w:id="290" w:name="_Toc47882232"/>
      <w:bookmarkStart w:id="291" w:name="_Toc49815741"/>
      <w:bookmarkStart w:id="292" w:name="_Toc55727802"/>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p>
    <w:p w14:paraId="31CB2671" w14:textId="77777777" w:rsidR="00EF3DBD" w:rsidRPr="00D84756" w:rsidRDefault="00EF3DBD" w:rsidP="00EF3DBD">
      <w:pPr>
        <w:pStyle w:val="ListeParagraf"/>
        <w:keepNext/>
        <w:keepLines/>
        <w:numPr>
          <w:ilvl w:val="0"/>
          <w:numId w:val="11"/>
        </w:numPr>
        <w:spacing w:before="40"/>
        <w:contextualSpacing w:val="0"/>
        <w:outlineLvl w:val="1"/>
        <w:rPr>
          <w:rFonts w:eastAsiaTheme="majorEastAsia" w:cstheme="majorBidi"/>
          <w:b/>
          <w:vanish/>
          <w:color w:val="000000" w:themeColor="text1"/>
          <w:szCs w:val="26"/>
        </w:rPr>
      </w:pPr>
      <w:bookmarkStart w:id="293" w:name="_Toc43775406"/>
      <w:bookmarkStart w:id="294" w:name="_Toc43775495"/>
      <w:bookmarkStart w:id="295" w:name="_Toc45265681"/>
      <w:bookmarkStart w:id="296" w:name="_Toc45265907"/>
      <w:bookmarkStart w:id="297" w:name="_Toc45497753"/>
      <w:bookmarkStart w:id="298" w:name="_Toc45497852"/>
      <w:bookmarkStart w:id="299" w:name="_Toc45497950"/>
      <w:bookmarkStart w:id="300" w:name="_Toc45498050"/>
      <w:bookmarkStart w:id="301" w:name="_Toc46048058"/>
      <w:bookmarkStart w:id="302" w:name="_Toc46154311"/>
      <w:bookmarkStart w:id="303" w:name="_Toc46495175"/>
      <w:bookmarkStart w:id="304" w:name="_Toc47882233"/>
      <w:bookmarkStart w:id="305" w:name="_Toc49815742"/>
      <w:bookmarkStart w:id="306" w:name="_Toc55727803"/>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p w14:paraId="31CB2672" w14:textId="77777777" w:rsidR="00EF3DBD" w:rsidRPr="00D84756" w:rsidRDefault="00EF3DBD" w:rsidP="00EF3DBD">
      <w:pPr>
        <w:pStyle w:val="ListeParagraf"/>
        <w:keepNext/>
        <w:keepLines/>
        <w:numPr>
          <w:ilvl w:val="1"/>
          <w:numId w:val="11"/>
        </w:numPr>
        <w:spacing w:before="40"/>
        <w:contextualSpacing w:val="0"/>
        <w:outlineLvl w:val="1"/>
        <w:rPr>
          <w:rFonts w:eastAsiaTheme="majorEastAsia" w:cstheme="majorBidi"/>
          <w:b/>
          <w:vanish/>
          <w:color w:val="000000" w:themeColor="text1"/>
          <w:szCs w:val="26"/>
        </w:rPr>
      </w:pPr>
      <w:bookmarkStart w:id="307" w:name="_Toc45265908"/>
      <w:bookmarkStart w:id="308" w:name="_Toc45497951"/>
      <w:bookmarkStart w:id="309" w:name="_Toc45498051"/>
      <w:bookmarkStart w:id="310" w:name="_Toc46154312"/>
      <w:bookmarkStart w:id="311" w:name="_Toc46495176"/>
      <w:bookmarkStart w:id="312" w:name="_Toc49815743"/>
      <w:bookmarkStart w:id="313" w:name="_Toc55727804"/>
      <w:bookmarkEnd w:id="307"/>
      <w:bookmarkEnd w:id="308"/>
      <w:bookmarkEnd w:id="309"/>
      <w:bookmarkEnd w:id="310"/>
      <w:bookmarkEnd w:id="311"/>
      <w:bookmarkEnd w:id="312"/>
      <w:bookmarkEnd w:id="313"/>
    </w:p>
    <w:p w14:paraId="31CB2673" w14:textId="77777777" w:rsidR="00EF3DBD" w:rsidRPr="0085015D" w:rsidRDefault="00EF3DBD" w:rsidP="00EF3DBD">
      <w:pPr>
        <w:pStyle w:val="Balk3"/>
        <w:ind w:left="1418"/>
      </w:pPr>
      <w:bookmarkStart w:id="314" w:name="_Toc45265909"/>
      <w:bookmarkStart w:id="315" w:name="_Toc55727805"/>
      <w:r w:rsidRPr="0085015D">
        <w:t>Normal Popülasyon İçin Risk Faktörleri</w:t>
      </w:r>
      <w:bookmarkEnd w:id="314"/>
      <w:bookmarkEnd w:id="315"/>
      <w:r w:rsidRPr="0085015D">
        <w:t xml:space="preserve"> </w:t>
      </w:r>
    </w:p>
    <w:p w14:paraId="31CB2674" w14:textId="476C3C3B" w:rsidR="00EF3DBD" w:rsidRDefault="00EF3DBD" w:rsidP="00EF3DBD">
      <w:pPr>
        <w:rPr>
          <w:color w:val="000000"/>
          <w:szCs w:val="24"/>
        </w:rPr>
      </w:pPr>
      <w:r>
        <w:rPr>
          <w:color w:val="000000"/>
          <w:szCs w:val="24"/>
        </w:rPr>
        <w:t xml:space="preserve">Sepsisin görülme sıklığı yaşa, cinsiyete toplumlara </w:t>
      </w:r>
      <w:r w:rsidRPr="007061DF">
        <w:rPr>
          <w:color w:val="000000"/>
          <w:szCs w:val="24"/>
        </w:rPr>
        <w:t>göre farklılıklar göste</w:t>
      </w:r>
      <w:r>
        <w:rPr>
          <w:color w:val="000000"/>
          <w:szCs w:val="24"/>
        </w:rPr>
        <w:t xml:space="preserve">rmekte olup </w:t>
      </w:r>
      <w:r w:rsidRPr="007061DF">
        <w:rPr>
          <w:color w:val="000000"/>
          <w:szCs w:val="24"/>
        </w:rPr>
        <w:t>sepsis</w:t>
      </w:r>
      <w:r>
        <w:rPr>
          <w:color w:val="000000"/>
          <w:szCs w:val="24"/>
        </w:rPr>
        <w:t xml:space="preserve"> </w:t>
      </w:r>
      <w:r w:rsidRPr="007061DF">
        <w:rPr>
          <w:color w:val="000000"/>
          <w:szCs w:val="24"/>
        </w:rPr>
        <w:t>sıklığında artı</w:t>
      </w:r>
      <w:r>
        <w:rPr>
          <w:color w:val="000000"/>
          <w:szCs w:val="24"/>
        </w:rPr>
        <w:t>ş</w:t>
      </w:r>
      <w:r w:rsidRPr="007061DF">
        <w:rPr>
          <w:color w:val="000000"/>
          <w:szCs w:val="24"/>
        </w:rPr>
        <w:t xml:space="preserve"> görülmektedir.</w:t>
      </w:r>
      <w:r>
        <w:rPr>
          <w:color w:val="000000"/>
          <w:szCs w:val="24"/>
        </w:rPr>
        <w:t xml:space="preserve"> Bunun sebebi olarak yeni geliştirilen </w:t>
      </w:r>
      <w:r w:rsidR="00846A6A">
        <w:rPr>
          <w:color w:val="000000"/>
          <w:szCs w:val="24"/>
        </w:rPr>
        <w:t xml:space="preserve">destek </w:t>
      </w:r>
      <w:r>
        <w:rPr>
          <w:color w:val="000000"/>
          <w:szCs w:val="24"/>
        </w:rPr>
        <w:t xml:space="preserve">tedaviler, </w:t>
      </w:r>
      <w:r w:rsidRPr="007061DF">
        <w:rPr>
          <w:color w:val="000000"/>
          <w:szCs w:val="24"/>
        </w:rPr>
        <w:t>iler</w:t>
      </w:r>
      <w:r>
        <w:rPr>
          <w:color w:val="000000"/>
          <w:szCs w:val="24"/>
        </w:rPr>
        <w:t>i yaş popülasyonundaki artış</w:t>
      </w:r>
      <w:r w:rsidRPr="007061DF">
        <w:rPr>
          <w:color w:val="000000"/>
          <w:szCs w:val="24"/>
        </w:rPr>
        <w:t>,</w:t>
      </w:r>
      <w:r>
        <w:rPr>
          <w:color w:val="000000"/>
        </w:rPr>
        <w:t xml:space="preserve"> </w:t>
      </w:r>
      <w:r w:rsidR="00846A6A">
        <w:rPr>
          <w:color w:val="000000"/>
          <w:szCs w:val="24"/>
        </w:rPr>
        <w:t>i</w:t>
      </w:r>
      <w:r w:rsidRPr="007061DF">
        <w:rPr>
          <w:color w:val="000000"/>
          <w:szCs w:val="24"/>
        </w:rPr>
        <w:t xml:space="preserve">mmünsüpresyon </w:t>
      </w:r>
      <w:r>
        <w:rPr>
          <w:color w:val="000000"/>
          <w:szCs w:val="24"/>
        </w:rPr>
        <w:t xml:space="preserve">kullanımı </w:t>
      </w:r>
      <w:r w:rsidRPr="007061DF">
        <w:rPr>
          <w:color w:val="000000"/>
          <w:szCs w:val="24"/>
        </w:rPr>
        <w:t xml:space="preserve">ve </w:t>
      </w:r>
      <w:r>
        <w:rPr>
          <w:color w:val="000000"/>
          <w:szCs w:val="24"/>
        </w:rPr>
        <w:t>multiple</w:t>
      </w:r>
      <w:r w:rsidRPr="007061DF">
        <w:rPr>
          <w:color w:val="000000"/>
          <w:szCs w:val="24"/>
        </w:rPr>
        <w:t xml:space="preserve"> ilaç direnci olan patojenlerin artması gösterilebilir</w:t>
      </w:r>
      <w:r>
        <w:rPr>
          <w:color w:val="000000"/>
          <w:szCs w:val="24"/>
        </w:rPr>
        <w:t xml:space="preserve"> </w:t>
      </w:r>
      <w:r>
        <w:rPr>
          <w:color w:val="000000"/>
          <w:szCs w:val="24"/>
        </w:rPr>
        <w:fldChar w:fldCharType="begin" w:fldLock="1"/>
      </w:r>
      <w:r w:rsidR="0085653B">
        <w:rPr>
          <w:color w:val="000000"/>
          <w:szCs w:val="24"/>
        </w:rPr>
        <w:instrText>ADDIN CSL_CITATION {"citationItems":[{"id":"ITEM-1","itemData":{"DOI":"10.1186/cc7704","ISSN":"1466609X","PMID":"19291262","abstract":"In the previous issue of Critical Care, Blanco and colleagues contributed to a growing body of literature on the international epidemiology of severe sepsis. Taken together, these studies confirm that the sepsis incidence is high, that the development of organ dysfunction is a major determinant of mortality and that the occurrence of organ dysfunction is influenced by chronic comorbid medical conditions. It is clear that early detection of organ dysfunction and serial sequential organ dysfunction scoring provides us with the best chance to optimize clinical care. Identifying factors that contribute to the development of organ dysfunction in sepsis will lead to the development of new treatment modalities that will reduce mortality. Future studies must therefore focus on the impact of new treatment modalities for preventing progression to multiple organ dysfunction syndrome and consequent mortality in sepsis.","author":[{"dropping-particle":"","family":"Esper","given":"Annette M.","non-dropping-particle":"","parse-names":false,"suffix":""},{"dropping-particle":"","family":"Martin","given":"Greg S.","non-dropping-particle":"","parse-names":false,"suffix":""}],"container-title":"Critical care (London, England)","id":"ITEM-1","issue":"1","issued":{"date-parts":[["2009","2","23"]]},"page":"120","publisher":"BioMed Central","title":"Extending international sepsis epidemiology: the impact of organ dysfunction.","type":"article","volume":"13"},"uris":["http://www.mendeley.com/documents/?uuid=a2ab222f-743e-3772-83f4-fa607679647d"]},{"id":"ITEM-2","itemData":{"DOI":"10.1056/NEJMoa022139","ISSN":"0028-4793","abstract":"BACKGROUND: Sepsis represents a substantial health care burden, and there is limited epidemiologic information about the demography of sepsis or about the temporal changes in its incidence and outcome. We investigated the epidemiology of sepsis in the United States, with specific examination of race and sex, causative organisms, the disposition of patients, and the incidence and outcome. METHODS: We analyzed the occurrence of sepsis from 1979 through 2000 using a nationally representative sample of all nonfederal acute care hospitals in the United States. Data on new cases were obtained from hospital discharge records coded according to the International Classification of Diseases, Ninth Revision, Clinical Modification. RESULTS: Review of discharge data on approximately 750 million hospitalizations in the United States over the 22-year period identified 10,319,418 cases of sepsis. Sepsis was more common among men than among women (mean annual relative risk, 1.28 [95 percent confidence interval, 1.24 to 1.32]) and among nonwhite persons than amongwhite persons (mean annual relative risk, 1.90 [95 percent confidence interval, 1.81 to 2.00]). Between 1979 and 2000, there was an annualized increase in the incidence of sepsis of 8.7 percent, from about 164,000 cases (82.7 per 100,000 population) to nearly 660,000 cases (240.4 per 100,000 population). The rate of sepsis due to fungal organisms increased by 207 percent, with gram-positive bacteria becoming the predominant pathogens after 1987. The total in-hospital mortality rate fell from 27.8 percent during the period from 1979 through 1984 to 17.9 percent during the period from 1995 through 2000, yet the total number of deaths continued to increase. Mortality was highest among black men. Organ failure contributed cumulatively to mortality, with temporal improvements in survival among patients with fewer than three failing organs. The average length of the hospital stay decreased, and the rate of discharge to nonacute care medical facilities increased. CONCLUSIONS: The incidence of sepsis and the number of sepsis-related deaths are increasing, although the overall mortality rate among patients with sepsis is declining. There are also disparities among races and between men and women in the incidence of sepsis. Gram-positive bacteria and fungal organisms are increasingly common causes of sepsis.","author":[{"dropping-particle":"","family":"Martin","given":"Greg S.","non-dropping-particle":"","parse-names":false,"suffix":""},{"dropping-particle":"","family":"Mannino","given":"David M.","non-dropping-particle":"","parse-names":false,"suffix":""},{"dropping-particle":"","family":"Eaton","given":"Stephanie","non-dropping-particle":"","parse-names":false,"suffix":""},{"dropping-particle":"","family":"Moss","given":"Marc","non-dropping-particle":"","parse-names":false,"suffix":""}],"container-title":"New England Journal of Medicine","id":"ITEM-2","issue":"16","issued":{"date-parts":[["2003","4","17"]]},"page":"1546-1554","publisher":" Massachusetts Medical Society ","title":"The Epidemiology of Sepsis in the United States from 1979 through 2000","type":"article-journal","volume":"348"},"uris":["http://www.mendeley.com/documents/?uuid=3c5a1ad0-4e02-3a68-976b-214810cd01b3"]}],"mendeley":{"formattedCitation":"(46,47)","plainTextFormattedCitation":"(46,47)","previouslyFormattedCitation":"(46,47)"},"properties":{"noteIndex":0},"schema":"https://github.com/citation-style-language/schema/raw/master/csl-citation.json"}</w:instrText>
      </w:r>
      <w:r>
        <w:rPr>
          <w:color w:val="000000"/>
          <w:szCs w:val="24"/>
        </w:rPr>
        <w:fldChar w:fldCharType="separate"/>
      </w:r>
      <w:r w:rsidR="0085653B" w:rsidRPr="0085653B">
        <w:rPr>
          <w:noProof/>
          <w:color w:val="000000"/>
          <w:szCs w:val="24"/>
        </w:rPr>
        <w:t>(46,47)</w:t>
      </w:r>
      <w:r>
        <w:rPr>
          <w:color w:val="000000"/>
          <w:szCs w:val="24"/>
        </w:rPr>
        <w:fldChar w:fldCharType="end"/>
      </w:r>
      <w:r w:rsidRPr="007061DF">
        <w:rPr>
          <w:color w:val="000000"/>
          <w:szCs w:val="24"/>
        </w:rPr>
        <w:t xml:space="preserve">. Aynı zamanda </w:t>
      </w:r>
      <w:r>
        <w:rPr>
          <w:color w:val="000000"/>
          <w:szCs w:val="24"/>
        </w:rPr>
        <w:t xml:space="preserve">yoğun bakımda </w:t>
      </w:r>
      <w:r w:rsidRPr="007061DF">
        <w:rPr>
          <w:color w:val="000000"/>
          <w:szCs w:val="24"/>
        </w:rPr>
        <w:t xml:space="preserve">sepsisin </w:t>
      </w:r>
      <w:r>
        <w:rPr>
          <w:color w:val="000000"/>
          <w:szCs w:val="24"/>
        </w:rPr>
        <w:t xml:space="preserve">anlaşılmasına bağlı </w:t>
      </w:r>
      <w:r w:rsidRPr="007061DF">
        <w:rPr>
          <w:color w:val="000000"/>
          <w:szCs w:val="24"/>
        </w:rPr>
        <w:t>tanı</w:t>
      </w:r>
      <w:r w:rsidR="00846A6A">
        <w:rPr>
          <w:color w:val="000000"/>
          <w:szCs w:val="24"/>
        </w:rPr>
        <w:t xml:space="preserve"> konması</w:t>
      </w:r>
      <w:r w:rsidRPr="007061DF">
        <w:rPr>
          <w:color w:val="000000"/>
          <w:szCs w:val="24"/>
        </w:rPr>
        <w:t xml:space="preserve"> da </w:t>
      </w:r>
      <w:r>
        <w:rPr>
          <w:color w:val="000000"/>
          <w:szCs w:val="24"/>
        </w:rPr>
        <w:t xml:space="preserve">sıklığı </w:t>
      </w:r>
      <w:r w:rsidRPr="007061DF">
        <w:rPr>
          <w:color w:val="000000"/>
          <w:szCs w:val="24"/>
        </w:rPr>
        <w:t>ar</w:t>
      </w:r>
      <w:r>
        <w:rPr>
          <w:color w:val="000000"/>
          <w:szCs w:val="24"/>
        </w:rPr>
        <w:t>t</w:t>
      </w:r>
      <w:r w:rsidRPr="007061DF">
        <w:rPr>
          <w:color w:val="000000"/>
          <w:szCs w:val="24"/>
        </w:rPr>
        <w:t>t</w:t>
      </w:r>
      <w:r>
        <w:rPr>
          <w:color w:val="000000"/>
          <w:szCs w:val="24"/>
        </w:rPr>
        <w:t>ırmaktadır</w:t>
      </w:r>
      <w:r w:rsidRPr="007061DF">
        <w:rPr>
          <w:color w:val="000000"/>
          <w:szCs w:val="24"/>
        </w:rPr>
        <w:t xml:space="preserve"> </w:t>
      </w:r>
      <w:r>
        <w:rPr>
          <w:color w:val="000000"/>
          <w:szCs w:val="24"/>
        </w:rPr>
        <w:fldChar w:fldCharType="begin" w:fldLock="1"/>
      </w:r>
      <w:r w:rsidR="0085653B">
        <w:rPr>
          <w:color w:val="000000"/>
          <w:szCs w:val="24"/>
        </w:rPr>
        <w:instrText>ADDIN CSL_CITATION {"citationItems":[{"id":"ITEM-1","itemData":{"id":"ITEM-1","issued":{"date-parts":[["0"]]},"title":"Singer M, Deutschman CS, Seymour CW, Shankar-Hari M, Annane D, Bauer M, et al. The Third International Consensus Definitions for Sepsis and Septic Shock (Sepsis-3) JAMA. 2016;315(8):801–10","type":"article-journal"},"uris":["http://www.mendeley.com/documents/?uuid=d1a74f50-693e-4a6e-9b3b-e944e2e371ed"]}],"mendeley":{"formattedCitation":"(42)","plainTextFormattedCitation":"(42)","previouslyFormattedCitation":"(42)"},"properties":{"noteIndex":0},"schema":"https://github.com/citation-style-language/schema/raw/master/csl-citation.json"}</w:instrText>
      </w:r>
      <w:r>
        <w:rPr>
          <w:color w:val="000000"/>
          <w:szCs w:val="24"/>
        </w:rPr>
        <w:fldChar w:fldCharType="separate"/>
      </w:r>
      <w:r w:rsidR="0085653B" w:rsidRPr="0085653B">
        <w:rPr>
          <w:noProof/>
          <w:color w:val="000000"/>
          <w:szCs w:val="24"/>
        </w:rPr>
        <w:t>(42)</w:t>
      </w:r>
      <w:r>
        <w:rPr>
          <w:color w:val="000000"/>
          <w:szCs w:val="24"/>
        </w:rPr>
        <w:fldChar w:fldCharType="end"/>
      </w:r>
      <w:r w:rsidRPr="007061DF">
        <w:rPr>
          <w:color w:val="000000"/>
          <w:szCs w:val="24"/>
        </w:rPr>
        <w:t xml:space="preserve">. </w:t>
      </w:r>
      <w:r>
        <w:rPr>
          <w:color w:val="000000"/>
          <w:szCs w:val="24"/>
        </w:rPr>
        <w:t>Sepsisteki hastada p</w:t>
      </w:r>
      <w:r w:rsidRPr="007061DF">
        <w:rPr>
          <w:color w:val="000000"/>
          <w:szCs w:val="24"/>
        </w:rPr>
        <w:t>rognoz, enfeksiyonun çe</w:t>
      </w:r>
      <w:r>
        <w:rPr>
          <w:color w:val="000000"/>
          <w:szCs w:val="24"/>
        </w:rPr>
        <w:t>ş</w:t>
      </w:r>
      <w:r w:rsidRPr="007061DF">
        <w:rPr>
          <w:color w:val="000000"/>
          <w:szCs w:val="24"/>
        </w:rPr>
        <w:t>idine,</w:t>
      </w:r>
      <w:r>
        <w:rPr>
          <w:color w:val="000000"/>
          <w:szCs w:val="24"/>
        </w:rPr>
        <w:t xml:space="preserve"> antibiyotik baş</w:t>
      </w:r>
      <w:r w:rsidRPr="007061DF">
        <w:rPr>
          <w:color w:val="000000"/>
          <w:szCs w:val="24"/>
        </w:rPr>
        <w:t>lanma süresine, hastanın tedavi yanıtına göre deği</w:t>
      </w:r>
      <w:r>
        <w:rPr>
          <w:color w:val="000000"/>
          <w:szCs w:val="24"/>
        </w:rPr>
        <w:t>ş</w:t>
      </w:r>
      <w:r w:rsidRPr="007061DF">
        <w:rPr>
          <w:color w:val="000000"/>
          <w:szCs w:val="24"/>
        </w:rPr>
        <w:t>mektedir.</w:t>
      </w:r>
      <w:r>
        <w:rPr>
          <w:color w:val="000000"/>
          <w:szCs w:val="24"/>
        </w:rPr>
        <w:t xml:space="preserve"> </w:t>
      </w:r>
      <w:r w:rsidRPr="007061DF">
        <w:rPr>
          <w:color w:val="000000"/>
          <w:szCs w:val="24"/>
        </w:rPr>
        <w:t>Toplum kaynaklı patojenlere bağlı geli</w:t>
      </w:r>
      <w:r>
        <w:rPr>
          <w:color w:val="000000"/>
          <w:szCs w:val="24"/>
        </w:rPr>
        <w:t>ş</w:t>
      </w:r>
      <w:r w:rsidRPr="007061DF">
        <w:rPr>
          <w:color w:val="000000"/>
          <w:szCs w:val="24"/>
        </w:rPr>
        <w:t>en sepsiste mortalite oranları hastane</w:t>
      </w:r>
      <w:r>
        <w:rPr>
          <w:color w:val="000000"/>
          <w:szCs w:val="24"/>
        </w:rPr>
        <w:t xml:space="preserve"> </w:t>
      </w:r>
      <w:r w:rsidRPr="007061DF">
        <w:rPr>
          <w:color w:val="000000"/>
          <w:szCs w:val="24"/>
        </w:rPr>
        <w:t>kökenli patojenlere bağlı geli</w:t>
      </w:r>
      <w:r>
        <w:rPr>
          <w:color w:val="000000"/>
          <w:szCs w:val="24"/>
        </w:rPr>
        <w:t xml:space="preserve">şen sepsisten daha azdır </w:t>
      </w:r>
      <w:r>
        <w:rPr>
          <w:color w:val="000000"/>
          <w:szCs w:val="24"/>
        </w:rPr>
        <w:fldChar w:fldCharType="begin" w:fldLock="1"/>
      </w:r>
      <w:r w:rsidR="0085653B">
        <w:rPr>
          <w:color w:val="000000"/>
          <w:szCs w:val="24"/>
        </w:rPr>
        <w:instrText>ADDIN CSL_CITATION {"citationItems":[{"id":"ITEM-1","itemData":{"DOI":"10.1001/jama.1995.03530080055041","ISSN":"15383598","abstract":"&lt;h3&gt;Objective.&lt;/h3&gt;&lt;p&gt;—To determine the prevalence of intensive care unit (ICU)—acquired infections and the risk factors for these infections, identify the predominant infecting organisms, and evaluate the relationship between ICU-acquired infection and mortality.&lt;/p&gt;&lt;h3&gt;Design.&lt;/h3&gt;&lt;p&gt;—A 1-day point-prevalence study.&lt;/p&gt;&lt;h3&gt;Setting.&lt;/h3&gt;&lt;p&gt;—Intensive care units in 17 countries in Western Europe, excluding coronary care units and pediatric and special care infant units.&lt;/p&gt;&lt;h3&gt;Patients.&lt;/h3&gt;&lt;p&gt;—All patients (&amp;gt;10 years of age) occupying an ICU bed over a 24-hour period. A total of 1417 ICUs provided 10 038 patient case reports.&lt;/p&gt;&lt;h3&gt;Main Outcome Measures.&lt;/h3&gt;&lt;p&gt;—Rates of ICU-acquired infection, prescription of antimicrobials, resistance patterns of microbiological isolates, and potential risk factors for ICU-acquired infection and death.&lt;/p&gt;&lt;h3&gt;Results.&lt;/h3&gt;&lt;p&gt;—A total of 4501 patients (44.8%) were infected, and 2064 (20.6%) had ICU-acquired infection. Pneumonia (46.9%), lower respiratory tract infection (17.8%), urinary tract infection (17.6%), and bloodstream infection (12%) were the most frequent types of ICU infection reported. Most frequently reported microorganisms were Enterobacteriaceae (34.4%),&lt;i&gt;Staphylococcus aureus&lt;/i&gt;(30.1%; [60% resistant to methicillin]),&lt;i&gt;Pseudomonas aeruginosa&lt;/i&gt;(28.7%), coagulase-negative staphylococci (19.1%), and fungi (17.1%). Seven risk factors for ICU-acquired infection were identified: increasing length of ICU stay (&amp;gt;48 hours), mechanical ventilation, diagnosis of trauma, central venous, pulmonary artery, and urinary catheterization, and stress ulcer prophylaxis. ICU-acquired pneumonia (odds ratio [OR], 1.91; 95% confidence interval [CI], 1.6 to 2.29), clinical sepsis (OR, 3.50; 95% CI, 1.71 to 7.18), and bloodstream infection (OR, 1.73; 95% CI, 1.25 to 2.41) increased the risk of ICU death.&lt;/p&gt;&lt;h3&gt;Conclusions.&lt;/h3&gt;&lt;p&gt;—ICU-acquired infection is common and often associated with microbiological isolates of resistant organisms. The potential effects on outcome emphasize the importance of specific measures for infection control in critically ill patients.&lt;/p&gt;&lt;p&gt;(&lt;i&gt;JAMA&lt;/i&gt;. 1995;274:639-644)&lt;/p&gt;","author":[{"dropping-particle":"","family":"Vincent","given":"Jean Louis","non-dropping-particle":"","parse-names":false,"suffix":""},{"dropping-particle":"","family":"Bihari","given":"David J.","non-dropping-particle":"","parse-names":false,"suffix":""},{"dropping-particle":"","family":"Suter","given":"Peter M.","non-dropping-particle":"","parse-names":false,"suffix":""},{"dropping-particle":"","family":"Bruining","given":"Hajo A.","non-dropping-particle":"","parse-names":false,"suffix":""},{"dropping-particle":"","family":"White","given":"Jane","non-dropping-particle":"","parse-names":false,"suffix":""},{"dropping-particle":"","family":"Nicolas Chanoin","given":"Marie Helene","non-dropping-particle":"","parse-names":false,"suffix":""},{"dropping-particle":"","family":"Wolff","given":"Michel","non-dropping-particle":"","parse-names":false,"suffix":""},{"dropping-particle":"","family":"Spencer","given":"Robert C.","non-dropping-particle":"","parse-names":false,"suffix":""},{"dropping-particle":"","family":"Hemmer","given":"Margaret","non-dropping-particle":"","parse-names":false,"suffix":""}],"container-title":"JAMA: The Journal of the American Medical Association","id":"ITEM-1","issue":"8","issued":{"date-parts":[["1995","8","23"]]},"page":"639-644","publisher":"American Medical Association","title":"The Prevalence of Nosocomial Infection in Intensive Care Units in Europe: Results of the European Prevalence of Infection in Intensive Care (EPIC) Study","type":"article-journal","volume":"274"},"uris":["http://www.mendeley.com/documents/?uuid=a1233e3e-b028-3bf4-802a-0b6790808c4d"]}],"mendeley":{"formattedCitation":"(48)","plainTextFormattedCitation":"(48)","previouslyFormattedCitation":"(48)"},"properties":{"noteIndex":0},"schema":"https://github.com/citation-style-language/schema/raw/master/csl-citation.json"}</w:instrText>
      </w:r>
      <w:r>
        <w:rPr>
          <w:color w:val="000000"/>
          <w:szCs w:val="24"/>
        </w:rPr>
        <w:fldChar w:fldCharType="separate"/>
      </w:r>
      <w:r w:rsidR="0085653B" w:rsidRPr="0085653B">
        <w:rPr>
          <w:noProof/>
          <w:color w:val="000000"/>
          <w:szCs w:val="24"/>
        </w:rPr>
        <w:t>(48)</w:t>
      </w:r>
      <w:r>
        <w:rPr>
          <w:color w:val="000000"/>
          <w:szCs w:val="24"/>
        </w:rPr>
        <w:fldChar w:fldCharType="end"/>
      </w:r>
      <w:r>
        <w:rPr>
          <w:color w:val="000000"/>
          <w:szCs w:val="24"/>
        </w:rPr>
        <w:t>.</w:t>
      </w:r>
    </w:p>
    <w:p w14:paraId="3AFD68BB" w14:textId="77777777" w:rsidR="00272116" w:rsidRDefault="00272116" w:rsidP="00EF3DBD">
      <w:pPr>
        <w:rPr>
          <w:color w:val="000000"/>
          <w:szCs w:val="24"/>
        </w:rPr>
      </w:pPr>
    </w:p>
    <w:p w14:paraId="31CB2676" w14:textId="02FBD629" w:rsidR="00EF3DBD" w:rsidRDefault="00EF3DBD" w:rsidP="00EF3DBD">
      <w:pPr>
        <w:pStyle w:val="Balk3"/>
        <w:ind w:left="426" w:firstLine="283"/>
      </w:pPr>
      <w:bookmarkStart w:id="316" w:name="_Toc45265910"/>
      <w:bookmarkStart w:id="317" w:name="_Toc55727806"/>
      <w:r w:rsidRPr="0085015D">
        <w:t>Karaciğer Nakli Alıcısında</w:t>
      </w:r>
      <w:r w:rsidR="008E6A64">
        <w:t xml:space="preserve"> Enfeksiyon</w:t>
      </w:r>
      <w:r w:rsidRPr="0085015D">
        <w:t xml:space="preserve"> Risk Faktörler</w:t>
      </w:r>
      <w:bookmarkEnd w:id="316"/>
      <w:r w:rsidR="008E6A64">
        <w:t>i</w:t>
      </w:r>
      <w:bookmarkEnd w:id="317"/>
    </w:p>
    <w:p w14:paraId="31CB2678" w14:textId="645B654E" w:rsidR="00E2344D" w:rsidRDefault="00EF3DBD" w:rsidP="00B54610">
      <w:r w:rsidRPr="00846A6A">
        <w:t xml:space="preserve">Karaciğer nakli sonrası bakteriyel enfeksiyonların oluşması; bakteriyel epidemiyoloji, preoperatif ve postoperatif antibiyotik proflaksisi, cerrahi teknikler, kullanılan immünsüpresan ilaçlar ve postoperatif bakımdaki gelişmelere göre değişim göstermektedir </w:t>
      </w:r>
      <w:r w:rsidRPr="00846A6A">
        <w:fldChar w:fldCharType="begin" w:fldLock="1"/>
      </w:r>
      <w:r w:rsidR="0085653B">
        <w:instrText>ADDIN CSL_CITATION {"citationItems":[{"id":"ITEM-1","itemData":{"DOI":"10.3748/wjg.v20.i20.6211","ISSN":"22192840","PMID":"24876741","abstract":"Infectious complications are major causes of morbidity and mortality after liver transplantation, despite recent advances in the transplant field. Bacteria, fungi, viruses and parasites can cause infection before and after transplantation. Among them, bacterial infections are predominant during the first two months posttransplantation and affect patient and graft survival. They might cause surgical site infections, including deep intra-abdominal infections, bacteremia, pneumonia, catheter-related infections and urinary tract infections. The risk factors for bacterial infections differ between the periods after transplant, and between centers. Recently, the emergence of multi-drug resistant bacteria is great concern in liver transplant (LT) patients. The instructive data about effects of infections with extended-spectrum beta lactamase producing bacteria, carbapenem-resistant gram-negative bacteria, and glycopeptide-resistant gram-positive bacteria were reported on a center-by-center basis. To prevent posttransplant bacterial infections, proper strategies need to be established based upon center-specific data and evidence from well-controlled studies. This article reviewed the recent epidemiological data, risk factors for each type of infections and important clinical issues in bacterial infection after LT. © 2014 Baishideng Publishing Group Inc. All rights reserved.","author":[{"dropping-particle":"Il","family":"Kim","given":"Sang","non-dropping-particle":"","parse-names":false,"suffix":""}],"container-title":"World Journal of Gastroenterology","id":"ITEM-1","issue":"20","issued":{"date-parts":[["2014","5","28"]]},"page":"6211-6220","publisher":"WJG Press","title":"Bacterial infection after liver transplantation","type":"article-journal","volume":"20"},"uris":["http://www.mendeley.com/documents/?uuid=b722d5ee-8a70-36a3-ae15-b1515d784b87"]},{"id":"ITEM-2","itemData":{"DOI":"10.1097/01.qco.0000172698.52408.be","ISSN":"0951-7375","abstract":"Purpose of review: The rates and types of infections associated with conventional immunosuppression regimens comprising calcineurin-inhibitor agents, tacrolimus, and cyclosporine could be used to compare similar data with the use of novel immunosuppressive regimens in organ transplant recipients. Recent findings: Tacrolimus appears to be superior to cyclosporine in preventing rejection. The frequency and spectrum of infections in organ transplant recipients does not appear to be notably modified by the choice of calcineurin-inhibitor agents per se. A higher risk of cytomegalovirus and poorer outcomes associated with hepatitis C virus with cyclosporine in some studies may be related to a greater requirement of adjunctive immunosuppression with cyclosporine-based regimens. Potent immunosuppression with tacrolimus, however, particularly when combined with mycophenolate mofetil, is believed to be a significant contributor to a higher incidence of BK virus nephropathy in renal transplant recipients in recent years. Calcineurin-inhibitor agents possess in-vitro activity against a number of fungal pathogens. In the clinical setting, however, the immunosuppressive effect outweighs their antifungal activity. Summary: Calcineurin inhibitor-based regimens have been the mainstay of immunosuppression after organ transplantation for almost two decades. However, suboptimal long-term outcomes in transplant recipients have led to a growing interest in the use of calcineurin inhibitor agent-sparing regimens. Whether novel immunosuppressive agents with a more selective mechanism of action would lead to a further reduction in the risk of posttransplant infections remains to be discerned. © 2005 Lippincott Williams &amp; Wilkins.","author":[{"dropping-particle":"","family":"Singh","given":"Nina","non-dropping-particle":"","parse-names":false,"suffix":""}],"container-title":"Current Opinion in Infectious Diseases","id":"ITEM-2","issue":"4","issued":{"date-parts":[["2005","8"]]},"page":"342-345","publisher":"Lippincott Williams and Wilkins","title":"Infectious complications in organ transplant recipients with the use of calcineurin-inhibitor agent-based immunosuppressive regimens","type":"article-journal","volume":"18"},"uris":["http://www.mendeley.com/documents/?uuid=a5833732-0bc1-3d62-a3fa-ab2e9ea3cdb0"]}],"mendeley":{"formattedCitation":"(49,50)","plainTextFormattedCitation":"(49,50)","previouslyFormattedCitation":"(49,50)"},"properties":{"noteIndex":0},"schema":"https://github.com/citation-style-language/schema/raw/master/csl-citation.json"}</w:instrText>
      </w:r>
      <w:r w:rsidRPr="00846A6A">
        <w:fldChar w:fldCharType="separate"/>
      </w:r>
      <w:r w:rsidR="0085653B" w:rsidRPr="0085653B">
        <w:rPr>
          <w:noProof/>
        </w:rPr>
        <w:t>(49,50)</w:t>
      </w:r>
      <w:r w:rsidRPr="00846A6A">
        <w:fldChar w:fldCharType="end"/>
      </w:r>
      <w:r w:rsidRPr="00846A6A">
        <w:t>. Karaciğer nakli alıcılarında, 1980-2000 yılları arasında yapılan çalışmalarda, hastaların nakil sonrası en az bir kez bakteriyel e</w:t>
      </w:r>
      <w:r w:rsidR="00B0144B">
        <w:t>nfeksiyon geçirme oranları %33-</w:t>
      </w:r>
      <w:r w:rsidRPr="00846A6A">
        <w:t>68 olarak değerlendirilmiştir</w:t>
      </w:r>
      <w:r w:rsidR="00246373">
        <w:t xml:space="preserve"> </w:t>
      </w:r>
      <w:r w:rsidR="00246373">
        <w:fldChar w:fldCharType="begin" w:fldLock="1"/>
      </w:r>
      <w:r w:rsidR="0085653B">
        <w:instrText>ADDIN CSL_CITATION {"citationItems":[{"id":"ITEM-1","itemData":{"author":[{"dropping-particle":"","family":"Patel","given":"R","non-dropping-particle":"","parse-names":false,"suffix":""},{"dropping-particle":"V","family":"Paya","given":"C","non-dropping-particle":"","parse-names":false,"suffix":""}],"container-title":"Clinical Microbiology Reviews","id":"ITEM-1","issue":"1","issued":{"date-parts":[["1997"]]},"title":"Infections in solid-organ transplant recipients.","type":"article-journal","volume":"10"},"uris":["http://www.mendeley.com/documents/?uuid=2ff57d22-d825-30cd-ad48-01c0b18bfa94"]}],"mendeley":{"formattedCitation":"(51)","plainTextFormattedCitation":"(51)","previouslyFormattedCitation":"(51)"},"properties":{"noteIndex":0},"schema":"https://github.com/citation-style-language/schema/raw/master/csl-citation.json"}</w:instrText>
      </w:r>
      <w:r w:rsidR="00246373">
        <w:fldChar w:fldCharType="separate"/>
      </w:r>
      <w:r w:rsidR="0085653B" w:rsidRPr="0085653B">
        <w:rPr>
          <w:noProof/>
        </w:rPr>
        <w:t>(51)</w:t>
      </w:r>
      <w:r w:rsidR="00246373">
        <w:fldChar w:fldCharType="end"/>
      </w:r>
      <w:r w:rsidRPr="00846A6A">
        <w:t xml:space="preserve">. Bu oranın </w:t>
      </w:r>
      <w:r w:rsidR="00B0144B">
        <w:t>ABD'deki büyük merkezlerde %53-</w:t>
      </w:r>
      <w:r w:rsidRPr="00846A6A">
        <w:t xml:space="preserve">56 olduğu bildirilmiştir </w:t>
      </w:r>
      <w:r w:rsidRPr="00846A6A">
        <w:fldChar w:fldCharType="begin" w:fldLock="1"/>
      </w:r>
      <w:r w:rsidR="0085653B">
        <w:instrText>ADDIN CSL_CITATION {"citationItems":[{"id":"ITEM-1","itemData":{"DOI":"10.3748/wjg.v20.i20.6211","ISSN":"22192840","PMID":"24876741","abstract":"Infectious complications are major causes of morbidity and mortality after liver transplantation, despite recent advances in the transplant field. Bacteria, fungi, viruses and parasites can cause infection before and after transplantation. Among them, bacterial infections are predominant during the first two months posttransplantation and affect patient and graft survival. They might cause surgical site infections, including deep intra-abdominal infections, bacteremia, pneumonia, catheter-related infections and urinary tract infections. The risk factors for bacterial infections differ between the periods after transplant, and between centers. Recently, the emergence of multi-drug resistant bacteria is great concern in liver transplant (LT) patients. The instructive data about effects of infections with extended-spectrum beta lactamase producing bacteria, carbapenem-resistant gram-negative bacteria, and glycopeptide-resistant gram-positive bacteria were reported on a center-by-center basis. To prevent posttransplant bacterial infections, proper strategies need to be established based upon center-specific data and evidence from well-controlled studies. This article reviewed the recent epidemiological data, risk factors for each type of infections and important clinical issues in bacterial infection after LT. © 2014 Baishideng Publishing Group Inc. All rights reserved.","author":[{"dropping-particle":"Il","family":"Kim","given":"Sang","non-dropping-particle":"","parse-names":false,"suffix":""}],"container-title":"World Journal of Gastroenterology","id":"ITEM-1","issue":"20","issued":{"date-parts":[["2014","5","28"]]},"page":"6211-6220","publisher":"WJG Press","title":"Bacterial infection after liver transplantation","type":"article-journal","volume":"20"},"uris":["http://www.mendeley.com/documents/?uuid=b722d5ee-8a70-36a3-ae15-b1515d784b87"]}],"mendeley":{"formattedCitation":"(49)","plainTextFormattedCitation":"(49)","previouslyFormattedCitation":"(49)"},"properties":{"noteIndex":0},"schema":"https://github.com/citation-style-language/schema/raw/master/csl-citation.json"}</w:instrText>
      </w:r>
      <w:r w:rsidRPr="00846A6A">
        <w:fldChar w:fldCharType="separate"/>
      </w:r>
      <w:r w:rsidR="0085653B" w:rsidRPr="0085653B">
        <w:rPr>
          <w:noProof/>
        </w:rPr>
        <w:t>(49)</w:t>
      </w:r>
      <w:r w:rsidRPr="00846A6A">
        <w:fldChar w:fldCharType="end"/>
      </w:r>
      <w:r w:rsidRPr="00846A6A">
        <w:t xml:space="preserve">. Enfeksiyonların yaklaşık yarısı nakil sonrası ilk 2 aylık dönemde gözlenmiştir. </w:t>
      </w:r>
      <w:r w:rsidR="009426A9">
        <w:t>T</w:t>
      </w:r>
      <w:r w:rsidR="009426A9" w:rsidRPr="009426A9">
        <w:t>ransplantasyonu izleyen ilk 6 ay içinde</w:t>
      </w:r>
      <w:r w:rsidR="009426A9">
        <w:t xml:space="preserve"> hastaların </w:t>
      </w:r>
      <w:r w:rsidR="009426A9" w:rsidRPr="009426A9">
        <w:t xml:space="preserve">%80'inden fazlası enfeksiyöz bir komplikasyon yaşar. </w:t>
      </w:r>
      <w:r w:rsidRPr="00846A6A">
        <w:t xml:space="preserve"> </w:t>
      </w:r>
      <w:r w:rsidR="009426A9" w:rsidRPr="009426A9">
        <w:t xml:space="preserve">Karaciğer nakli hastalarında bakteriyel enfeksiyonlar baskındır. Kan dolaşımı, batın içi, yara veya safra yollarında görülebilirler. </w:t>
      </w:r>
    </w:p>
    <w:p w14:paraId="31CB2679" w14:textId="6AC1FD01" w:rsidR="00E2344D" w:rsidRDefault="00E2344D" w:rsidP="00B54610">
      <w:r w:rsidRPr="00CA7C99">
        <w:t>Karaciğer nakli sonrası immün sistemde meydana gelen deği</w:t>
      </w:r>
      <w:r>
        <w:t>ş</w:t>
      </w:r>
      <w:r w:rsidRPr="00CA7C99">
        <w:t>im, artmı</w:t>
      </w:r>
      <w:r>
        <w:t>ş</w:t>
      </w:r>
      <w:r w:rsidRPr="00CA7C99">
        <w:t xml:space="preserve"> fırsatçı</w:t>
      </w:r>
      <w:r>
        <w:t xml:space="preserve"> </w:t>
      </w:r>
      <w:r w:rsidRPr="00CA7C99">
        <w:t xml:space="preserve">enfeksiyon riskini beraberinde getirmektedir. </w:t>
      </w:r>
      <w:r>
        <w:t>A</w:t>
      </w:r>
      <w:r w:rsidR="005A0FF4">
        <w:t>ğırlıklı olarak k</w:t>
      </w:r>
      <w:r w:rsidR="009426A9" w:rsidRPr="009426A9">
        <w:t>andidemi, invaziv aspergilloz ve kriptokok gibi mantar enfeksiyonlarına da özellikle duyarlıdırlar.</w:t>
      </w:r>
      <w:r w:rsidR="009426A9">
        <w:t xml:space="preserve"> </w:t>
      </w:r>
      <w:r w:rsidRPr="00CA7C99">
        <w:t>Yüksek mortalite nedeniyle özellikle</w:t>
      </w:r>
      <w:r>
        <w:t xml:space="preserve"> </w:t>
      </w:r>
      <w:r w:rsidRPr="00CA7C99">
        <w:t>mantar enfeksiyonları fırsatçı enfeksiyon ajanları arasında ön plana çıkmaktadır</w:t>
      </w:r>
      <w:r>
        <w:t xml:space="preserve"> </w:t>
      </w:r>
      <w:r>
        <w:fldChar w:fldCharType="begin" w:fldLock="1"/>
      </w:r>
      <w:r w:rsidR="0085653B">
        <w:instrText>ADDIN CSL_CITATION {"citationItems":[{"id":"ITEM-1","itemData":{"DOI":"10.4161/viru.1.5.13110","ISSN":"21505608","abstract":"Invasive aspergillosis has long been recognized as one of the most significant and often fatal opportunistic fungal infections in liver transplant recipients. We report a case of a liver transplant recipient who developed an Aspergillus fumigatus brain abscess that produced significant neurologic symptoms. The patient was managed successfully with a combination of surgery and medical treatment with Voriconazole. To our knowledge, this is the second such case reported in the literature. © 2010 Landes Bioscience.","author":[{"dropping-particle":"","family":"Tsitsopoulos","given":"Parmenion P.","non-dropping-particle":"","parse-names":false,"suffix":""},{"dropping-particle":"","family":"Tsoulfas","given":"Georgios","non-dropping-particle":"","parse-names":false,"suffix":""},{"dropping-particle":"","family":"Tsonidis","given":"Christos","non-dropping-particle":"","parse-names":false,"suffix":""},{"dropping-particle":"","family":"Imvrios","given":"George","non-dropping-particle":"","parse-names":false,"suffix":""},{"dropping-particle":"","family":"Papanikolaou","given":"Vasilios","non-dropping-particle":"","parse-names":false,"suffix":""},{"dropping-particle":"","family":"Giakoustidis","given":"Dimitrios","non-dropping-particle":"","parse-names":false,"suffix":""},{"dropping-particle":"","family":"Marinopoulos","given":"Dimitrios","non-dropping-particle":"","parse-names":false,"suffix":""},{"dropping-particle":"","family":"Takoudas","given":"Dimitrios","non-dropping-particle":"","parse-names":false,"suffix":""},{"dropping-particle":"","family":"Tsitsopoulos","given":"Phillipos D.","non-dropping-particle":"","parse-names":false,"suffix":""}],"container-title":"Virulence","id":"ITEM-1","issue":"5","issued":{"date-parts":[["2010"]]},"page":"465-467","publisher":"Taylor and Francis Inc.","title":"Successful, combined long-term treatment of cerebral aspergillosis in a liver transplant patient","type":"article","volume":"1"},"uris":["http://www.mendeley.com/documents/?uuid=19d5efcb-1299-305e-9910-21051a98ecef"]}],"mendeley":{"formattedCitation":"(52)","plainTextFormattedCitation":"(52)","previouslyFormattedCitation":"(52)"},"properties":{"noteIndex":0},"schema":"https://github.com/citation-style-language/schema/raw/master/csl-citation.json"}</w:instrText>
      </w:r>
      <w:r>
        <w:fldChar w:fldCharType="separate"/>
      </w:r>
      <w:r w:rsidR="0085653B" w:rsidRPr="0085653B">
        <w:rPr>
          <w:noProof/>
        </w:rPr>
        <w:t>(52)</w:t>
      </w:r>
      <w:r>
        <w:fldChar w:fldCharType="end"/>
      </w:r>
      <w:r w:rsidRPr="00CA7C99">
        <w:t>.</w:t>
      </w:r>
    </w:p>
    <w:p w14:paraId="31CB267A" w14:textId="154DA583" w:rsidR="009426A9" w:rsidRDefault="009426A9" w:rsidP="00B54610">
      <w:r w:rsidRPr="009426A9">
        <w:lastRenderedPageBreak/>
        <w:t>Enfeksiyöz komplikasyonlar, tüm karaciğer nakli alıcılarının</w:t>
      </w:r>
      <w:r w:rsidR="00B0144B">
        <w:t xml:space="preserve"> %</w:t>
      </w:r>
      <w:r>
        <w:t xml:space="preserve">15-25'inde ölüm nedenidir ve </w:t>
      </w:r>
      <w:r w:rsidRPr="009426A9">
        <w:t>nakli takip eden ilk yıldaki ölümlerin yarısından fazlasından sorumludur. Enfeksiyon, karaciğer naklinden sonraki ilk 3 yıl boyunca</w:t>
      </w:r>
      <w:r>
        <w:t xml:space="preserve"> da</w:t>
      </w:r>
      <w:r w:rsidRPr="009426A9">
        <w:t xml:space="preserve"> en yaygın ölüm nedeni olmaya devam etmektedir</w:t>
      </w:r>
      <w:r>
        <w:t xml:space="preserve"> </w:t>
      </w:r>
      <w:r>
        <w:fldChar w:fldCharType="begin" w:fldLock="1"/>
      </w:r>
      <w:r w:rsidR="0085653B">
        <w:instrText>ADDIN CSL_CITATION {"citationItems":[{"id":"ITEM-1","itemData":{"DOI":"10.1007/978-3-319-07209-8_19","author":[{"dropping-particle":"","family":"Lease","given":"Erika D.","non-dropping-particle":"","parse-names":false,"suffix":""}],"container-title":"Contemporary Liver Transplantation","id":"ITEM-1","issued":{"date-parts":[["2017"]]},"page":"255-266","publisher":"Springer International Publishing","title":"Infections and Sepsis After Liver Transplantation","type":"chapter"},"uris":["http://www.mendeley.com/documents/?uuid=b317f004-a938-3c45-9994-807b77a29de7"]}],"mendeley":{"formattedCitation":"(53)","plainTextFormattedCitation":"(53)","previouslyFormattedCitation":"(53)"},"properties":{"noteIndex":0},"schema":"https://github.com/citation-style-language/schema/raw/master/csl-citation.json"}</w:instrText>
      </w:r>
      <w:r>
        <w:fldChar w:fldCharType="separate"/>
      </w:r>
      <w:r w:rsidR="0085653B" w:rsidRPr="0085653B">
        <w:rPr>
          <w:noProof/>
        </w:rPr>
        <w:t>(53)</w:t>
      </w:r>
      <w:r>
        <w:fldChar w:fldCharType="end"/>
      </w:r>
      <w:r w:rsidRPr="009426A9">
        <w:t>.</w:t>
      </w:r>
      <w:r w:rsidR="00E2344D">
        <w:t xml:space="preserve"> </w:t>
      </w:r>
      <w:r w:rsidR="00246373">
        <w:t>Karaciğer nakli sonrasında alıcıda enfeksiyon gelişimi için risk oluşturan durumlar alttaki tabloda gösterilmiştir.</w:t>
      </w:r>
    </w:p>
    <w:p w14:paraId="4D13C124" w14:textId="77777777" w:rsidR="00A81EDF" w:rsidRDefault="00A81EDF" w:rsidP="00B54610"/>
    <w:p w14:paraId="31CB267C" w14:textId="4C1496C0" w:rsidR="00EF3DBD" w:rsidRDefault="00EF3DBD" w:rsidP="00EF3DBD">
      <w:pPr>
        <w:pStyle w:val="ResimYazs"/>
        <w:rPr>
          <w:i w:val="0"/>
          <w:color w:val="auto"/>
          <w:sz w:val="24"/>
          <w:szCs w:val="24"/>
        </w:rPr>
      </w:pPr>
      <w:bookmarkStart w:id="318" w:name="_Toc45383393"/>
      <w:bookmarkStart w:id="319" w:name="_Toc49818015"/>
      <w:r w:rsidRPr="00D14780">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2</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9</w:t>
      </w:r>
      <w:r w:rsidR="002B4CBE">
        <w:rPr>
          <w:i w:val="0"/>
          <w:color w:val="auto"/>
          <w:sz w:val="24"/>
          <w:szCs w:val="24"/>
        </w:rPr>
        <w:fldChar w:fldCharType="end"/>
      </w:r>
      <w:r w:rsidRPr="00D14780">
        <w:rPr>
          <w:i w:val="0"/>
          <w:color w:val="auto"/>
          <w:sz w:val="24"/>
          <w:szCs w:val="24"/>
        </w:rPr>
        <w:t xml:space="preserve"> </w:t>
      </w:r>
      <w:r w:rsidR="005525A0">
        <w:rPr>
          <w:i w:val="0"/>
          <w:color w:val="auto"/>
          <w:sz w:val="24"/>
          <w:szCs w:val="24"/>
        </w:rPr>
        <w:t>K</w:t>
      </w:r>
      <w:r w:rsidR="005525A0" w:rsidRPr="00D14780">
        <w:rPr>
          <w:i w:val="0"/>
          <w:color w:val="auto"/>
          <w:sz w:val="24"/>
          <w:szCs w:val="24"/>
        </w:rPr>
        <w:t xml:space="preserve">araciğer </w:t>
      </w:r>
      <w:r w:rsidR="0048467D" w:rsidRPr="00D14780">
        <w:rPr>
          <w:i w:val="0"/>
          <w:color w:val="auto"/>
          <w:sz w:val="24"/>
          <w:szCs w:val="24"/>
        </w:rPr>
        <w:t xml:space="preserve">Nakli Alıcısında Enfeksiyon </w:t>
      </w:r>
      <w:r w:rsidR="0048467D">
        <w:rPr>
          <w:i w:val="0"/>
          <w:color w:val="auto"/>
          <w:sz w:val="24"/>
          <w:szCs w:val="24"/>
        </w:rPr>
        <w:t xml:space="preserve">İçin </w:t>
      </w:r>
      <w:r w:rsidR="0048467D" w:rsidRPr="00D14780">
        <w:rPr>
          <w:i w:val="0"/>
          <w:color w:val="auto"/>
          <w:sz w:val="24"/>
          <w:szCs w:val="24"/>
        </w:rPr>
        <w:t>Risk Faktörleri</w:t>
      </w:r>
      <w:bookmarkEnd w:id="318"/>
      <w:r w:rsidR="0048467D">
        <w:rPr>
          <w:i w:val="0"/>
          <w:color w:val="auto"/>
          <w:sz w:val="24"/>
          <w:szCs w:val="24"/>
        </w:rPr>
        <w:t xml:space="preserve"> </w:t>
      </w:r>
      <w:r w:rsidR="00246373">
        <w:rPr>
          <w:i w:val="0"/>
          <w:color w:val="auto"/>
          <w:sz w:val="24"/>
          <w:szCs w:val="24"/>
        </w:rPr>
        <w:fldChar w:fldCharType="begin" w:fldLock="1"/>
      </w:r>
      <w:r w:rsidR="0085653B">
        <w:rPr>
          <w:i w:val="0"/>
          <w:color w:val="auto"/>
          <w:sz w:val="24"/>
          <w:szCs w:val="24"/>
        </w:rPr>
        <w:instrText>ADDIN CSL_CITATION {"citationItems":[{"id":"ITEM-1","itemData":{"DOI":"10.1002/lt.22165","ISSN":"15276465","abstract":"Infectious complications such as bacteremia after living donor liver transplantation (LDLT) are associated with significant morbidity and mortality. We retrospectively analyzed the frequency and characteristics of posttransplant bacteremia in 181 adult LDLT recipients between April 2006 and November 2009, and we evaluated the risk factors for posttransplant bacteremia. One hundred seventeen episodes of bacteremia occurred in 62 of 181 recipients (34.3%) within 12 days (median) after transplantation (range = 1-71 days). The most frequently isolated pathogens were Pseudomonasaeruginosa (26 episodes), methicillin-resistant coagulase-negative staphylococci (22 episodes), and Enterococcus sp. (11 episodes). The overall survival rate at 1 year for patients with bacteremia (n = 62) was significantly lower than the rate for patients without bacteremia (n = 119; 69.6% versus 92.3%, respectively, P &lt; 0.0001). Multivariate analysis showed that Child-Pugh class C (P = 0.0002), preoperative massive pleural effusion or ascites requiring drainage (P = 0.0384), postoperative cytomegalovirus infection (P = 0.0014), ABO incompatibility (P = 0.0188), and older donor age (P = 0.015) were independent risk factors for postoperative bacteremia. In conclusion, bacteremia occurred at a high rate after adult LDLT and induced a higher mortality rate in those who developed it. Infection control may play a pivotal role in improving early outcomes after LDLT. Copyright © 2010 American Association for the Study of Liver Diseases.","author":[{"dropping-particle":"","family":"Iida","given":"Taku","non-dropping-particle":"","parse-names":false,"suffix":""},{"dropping-particle":"","family":"Kaido","given":"Toshimi","non-dropping-particle":"","parse-names":false,"suffix":""},{"dropping-particle":"","family":"Yagi","given":"Shintaro","non-dropping-particle":"","parse-names":false,"suffix":""},{"dropping-particle":"","family":"Yoshizawa","given":"Atsushi","non-dropping-particle":"","parse-names":false,"suffix":""},{"dropping-particle":"","family":"Hata","given":"Koichiro","non-dropping-particle":"","parse-names":false,"suffix":""},{"dropping-particle":"","family":"Mizumoto","given":"Masaki","non-dropping-particle":"","parse-names":false,"suffix":""},{"dropping-particle":"","family":"Mori","given":"Akira","non-dropping-particle":"","parse-names":false,"suffix":""},{"dropping-particle":"","family":"Ogura","given":"Yasuhiro","non-dropping-particle":"","parse-names":false,"suffix":""},{"dropping-particle":"","family":"Oike","given":"Fumitaka","non-dropping-particle":"","parse-names":false,"suffix":""},{"dropping-particle":"","family":"Uemoto","given":"Shinji","non-dropping-particle":"","parse-names":false,"suffix":""}],"container-title":"Liver Transplantation","id":"ITEM-1","issue":"12","issued":{"date-parts":[["2010","12","1"]]},"page":"1379-1385","publisher":"John Wiley &amp; Sons, Ltd","title":"Posttransplant bacteremia in adult living donor liver transplant recipients","type":"article-journal","volume":"16"},"uris":["http://www.mendeley.com/documents/?uuid=45e3c843-f429-3ecd-9e8e-fa0fb43eb3e5"]},{"id":"ITEM-2","itemData":{"DOI":"10.1097/01.qco.0000172698.52408.be","ISSN":"0951-7375","abstract":"Purpose of review: The rates and types of infections associated with conventional immunosuppression regimens comprising calcineurin-inhibitor agents, tacrolimus, and cyclosporine could be used to compare similar data with the use of novel immunosuppressive regimens in organ transplant recipients. Recent findings: Tacrolimus appears to be superior to cyclosporine in preventing rejection. The frequency and spectrum of infections in organ transplant recipients does not appear to be notably modified by the choice of calcineurin-inhibitor agents per se. A higher risk of cytomegalovirus and poorer outcomes associated with hepatitis C virus with cyclosporine in some studies may be related to a greater requirement of adjunctive immunosuppression with cyclosporine-based regimens. Potent immunosuppression with tacrolimus, however, particularly when combined with mycophenolate mofetil, is believed to be a significant contributor to a higher incidence of BK virus nephropathy in renal transplant recipients in recent years. Calcineurin-inhibitor agents possess in-vitro activity against a number of fungal pathogens. In the clinical setting, however, the immunosuppressive effect outweighs their antifungal activity. Summary: Calcineurin inhibitor-based regimens have been the mainstay of immunosuppression after organ transplantation for almost two decades. However, suboptimal long-term outcomes in transplant recipients have led to a growing interest in the use of calcineurin inhibitor agent-sparing regimens. Whether novel immunosuppressive agents with a more selective mechanism of action would lead to a further reduction in the risk of posttransplant infections remains to be discerned. © 2005 Lippincott Williams &amp; Wilkins.","author":[{"dropping-particle":"","family":"Singh","given":"Nina","non-dropping-particle":"","parse-names":false,"suffix":""}],"container-title":"Current Opinion in Infectious Diseases","id":"ITEM-2","issue":"4","issued":{"date-parts":[["2005","8"]]},"page":"342-345","publisher":"Lippincott Williams and Wilkins","title":"Infectious complications in organ transplant recipients with the use of calcineurin-inhibitor agent-based immunosuppressive regimens","type":"article-journal","volume":"18"},"uris":["http://www.mendeley.com/documents/?uuid=a5833732-0bc1-3d62-a3fa-ab2e9ea3cdb0"]}],"mendeley":{"formattedCitation":"(50,54)","plainTextFormattedCitation":"(50,54)","previouslyFormattedCitation":"(50,54)"},"properties":{"noteIndex":0},"schema":"https://github.com/citation-style-language/schema/raw/master/csl-citation.json"}</w:instrText>
      </w:r>
      <w:r w:rsidR="00246373">
        <w:rPr>
          <w:i w:val="0"/>
          <w:color w:val="auto"/>
          <w:sz w:val="24"/>
          <w:szCs w:val="24"/>
        </w:rPr>
        <w:fldChar w:fldCharType="separate"/>
      </w:r>
      <w:r w:rsidR="0085653B" w:rsidRPr="0085653B">
        <w:rPr>
          <w:i w:val="0"/>
          <w:noProof/>
          <w:color w:val="auto"/>
          <w:sz w:val="24"/>
          <w:szCs w:val="24"/>
        </w:rPr>
        <w:t>(50,54)</w:t>
      </w:r>
      <w:bookmarkEnd w:id="319"/>
      <w:r w:rsidR="00246373">
        <w:rPr>
          <w:i w:val="0"/>
          <w:color w:val="auto"/>
          <w:sz w:val="24"/>
          <w:szCs w:val="24"/>
        </w:rPr>
        <w:fldChar w:fldCharType="end"/>
      </w:r>
    </w:p>
    <w:tbl>
      <w:tblPr>
        <w:tblW w:w="892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531"/>
        <w:gridCol w:w="4395"/>
      </w:tblGrid>
      <w:tr w:rsidR="00084E0A" w:rsidRPr="004C77CD" w14:paraId="31CB2697" w14:textId="77777777" w:rsidTr="00E90B76">
        <w:trPr>
          <w:trHeight w:val="3194"/>
          <w:jc w:val="center"/>
        </w:trPr>
        <w:tc>
          <w:tcPr>
            <w:tcW w:w="4531" w:type="dxa"/>
            <w:tcBorders>
              <w:top w:val="single" w:sz="4" w:space="0" w:color="auto"/>
              <w:left w:val="single" w:sz="4" w:space="0" w:color="auto"/>
              <w:right w:val="single" w:sz="4" w:space="0" w:color="auto"/>
            </w:tcBorders>
            <w:vAlign w:val="center"/>
            <w:hideMark/>
          </w:tcPr>
          <w:p w14:paraId="31CB267D" w14:textId="3E8313AD" w:rsidR="00084E0A" w:rsidRPr="004C77CD" w:rsidRDefault="00084E0A" w:rsidP="00084E0A">
            <w:pPr>
              <w:spacing w:line="240" w:lineRule="auto"/>
              <w:ind w:firstLine="0"/>
              <w:jc w:val="left"/>
              <w:rPr>
                <w:rFonts w:eastAsia="Times New Roman"/>
                <w:szCs w:val="24"/>
                <w:lang w:eastAsia="tr-TR"/>
              </w:rPr>
            </w:pPr>
            <w:r w:rsidRPr="004C77CD">
              <w:rPr>
                <w:rFonts w:eastAsia="Times New Roman"/>
                <w:b/>
                <w:bCs/>
                <w:color w:val="000000"/>
                <w:szCs w:val="24"/>
                <w:lang w:eastAsia="tr-TR"/>
              </w:rPr>
              <w:t>Erken postoperatif dönem</w:t>
            </w:r>
          </w:p>
          <w:p w14:paraId="31CB267E" w14:textId="77777777" w:rsidR="00084E0A" w:rsidRPr="004C77CD" w:rsidRDefault="00084E0A" w:rsidP="00A81EDF">
            <w:pPr>
              <w:spacing w:line="240" w:lineRule="auto"/>
              <w:jc w:val="left"/>
              <w:rPr>
                <w:rFonts w:eastAsia="Times New Roman"/>
                <w:szCs w:val="24"/>
                <w:lang w:eastAsia="tr-TR"/>
              </w:rPr>
            </w:pPr>
            <w:r w:rsidRPr="004C77CD">
              <w:rPr>
                <w:rFonts w:eastAsia="Times New Roman"/>
                <w:color w:val="000000"/>
                <w:szCs w:val="24"/>
                <w:lang w:eastAsia="tr-TR"/>
              </w:rPr>
              <w:t>Portal ven trombozu</w:t>
            </w:r>
          </w:p>
          <w:p w14:paraId="31CB267F" w14:textId="77777777" w:rsidR="00084E0A" w:rsidRPr="004C77CD" w:rsidRDefault="00084E0A" w:rsidP="00A81EDF">
            <w:pPr>
              <w:spacing w:line="240" w:lineRule="auto"/>
              <w:jc w:val="left"/>
              <w:rPr>
                <w:rFonts w:eastAsia="Times New Roman"/>
                <w:szCs w:val="24"/>
                <w:lang w:eastAsia="tr-TR"/>
              </w:rPr>
            </w:pPr>
            <w:r w:rsidRPr="004C77CD">
              <w:rPr>
                <w:rFonts w:eastAsia="Times New Roman"/>
                <w:color w:val="000000"/>
                <w:szCs w:val="24"/>
                <w:lang w:eastAsia="tr-TR"/>
              </w:rPr>
              <w:t>&gt;45 yaş</w:t>
            </w:r>
          </w:p>
          <w:p w14:paraId="31CB2680" w14:textId="77777777" w:rsidR="00084E0A" w:rsidRPr="004C77CD" w:rsidRDefault="00084E0A" w:rsidP="00A81EDF">
            <w:pPr>
              <w:spacing w:line="240" w:lineRule="auto"/>
              <w:jc w:val="left"/>
              <w:rPr>
                <w:rFonts w:eastAsia="Times New Roman"/>
                <w:szCs w:val="24"/>
                <w:lang w:eastAsia="tr-TR"/>
              </w:rPr>
            </w:pPr>
            <w:r w:rsidRPr="004C77CD">
              <w:rPr>
                <w:rFonts w:eastAsia="Times New Roman"/>
                <w:color w:val="000000"/>
                <w:szCs w:val="24"/>
                <w:lang w:eastAsia="tr-TR"/>
              </w:rPr>
              <w:t>Preoperatif hiponatremi varlığı</w:t>
            </w:r>
          </w:p>
          <w:p w14:paraId="31CB2681" w14:textId="77777777" w:rsidR="00084E0A" w:rsidRPr="004C77CD" w:rsidRDefault="00084E0A" w:rsidP="00A81EDF">
            <w:pPr>
              <w:spacing w:line="240" w:lineRule="auto"/>
              <w:jc w:val="left"/>
              <w:rPr>
                <w:rFonts w:eastAsia="Times New Roman"/>
                <w:szCs w:val="24"/>
                <w:lang w:eastAsia="tr-TR"/>
              </w:rPr>
            </w:pPr>
            <w:r w:rsidRPr="004C77CD">
              <w:rPr>
                <w:rFonts w:eastAsia="Times New Roman"/>
                <w:color w:val="000000"/>
                <w:szCs w:val="24"/>
                <w:lang w:eastAsia="tr-TR"/>
              </w:rPr>
              <w:t>&gt;9 gün yoğun bakım yatış öyküsü</w:t>
            </w:r>
          </w:p>
          <w:p w14:paraId="31CB2682" w14:textId="77777777" w:rsidR="00084E0A" w:rsidRPr="004C77CD" w:rsidRDefault="00084E0A" w:rsidP="00A81EDF">
            <w:pPr>
              <w:spacing w:line="240" w:lineRule="auto"/>
              <w:jc w:val="left"/>
              <w:rPr>
                <w:rFonts w:eastAsia="Times New Roman"/>
                <w:szCs w:val="24"/>
                <w:lang w:eastAsia="tr-TR"/>
              </w:rPr>
            </w:pPr>
            <w:r w:rsidRPr="004C77CD">
              <w:rPr>
                <w:rFonts w:eastAsia="Times New Roman"/>
                <w:color w:val="000000"/>
                <w:szCs w:val="24"/>
                <w:lang w:eastAsia="tr-TR"/>
              </w:rPr>
              <w:t>Postoperatif safra kaçağı</w:t>
            </w:r>
          </w:p>
          <w:p w14:paraId="31CB2683" w14:textId="77777777" w:rsidR="00084E0A" w:rsidRPr="004C77CD" w:rsidRDefault="00084E0A" w:rsidP="00A81EDF">
            <w:pPr>
              <w:spacing w:line="240" w:lineRule="auto"/>
              <w:jc w:val="left"/>
              <w:rPr>
                <w:rFonts w:eastAsia="Times New Roman"/>
                <w:szCs w:val="24"/>
                <w:lang w:eastAsia="tr-TR"/>
              </w:rPr>
            </w:pPr>
            <w:r w:rsidRPr="004C77CD">
              <w:rPr>
                <w:rFonts w:eastAsia="Times New Roman"/>
                <w:color w:val="000000"/>
                <w:szCs w:val="24"/>
                <w:lang w:eastAsia="tr-TR"/>
              </w:rPr>
              <w:t>İleri donör yaşı</w:t>
            </w:r>
          </w:p>
          <w:p w14:paraId="31CB2684" w14:textId="02A261EE" w:rsidR="00084E0A" w:rsidRPr="008419DB" w:rsidRDefault="00084E0A" w:rsidP="008419DB">
            <w:pPr>
              <w:spacing w:line="240" w:lineRule="auto"/>
              <w:jc w:val="left"/>
              <w:rPr>
                <w:rFonts w:eastAsia="Times New Roman"/>
                <w:color w:val="000000"/>
                <w:szCs w:val="24"/>
                <w:lang w:eastAsia="tr-TR"/>
              </w:rPr>
            </w:pPr>
            <w:r w:rsidRPr="004C77CD">
              <w:rPr>
                <w:rFonts w:eastAsia="Times New Roman"/>
                <w:color w:val="000000"/>
                <w:szCs w:val="24"/>
                <w:lang w:eastAsia="tr-TR"/>
              </w:rPr>
              <w:t>Cerrahi öncesi drenaj gerektiren assit</w:t>
            </w:r>
          </w:p>
          <w:p w14:paraId="31CB2685" w14:textId="77777777" w:rsidR="00084E0A" w:rsidRPr="004C77CD" w:rsidRDefault="00084E0A" w:rsidP="00A81EDF">
            <w:pPr>
              <w:spacing w:line="240" w:lineRule="auto"/>
              <w:jc w:val="left"/>
              <w:rPr>
                <w:rFonts w:eastAsia="Times New Roman"/>
                <w:szCs w:val="24"/>
                <w:lang w:eastAsia="tr-TR"/>
              </w:rPr>
            </w:pPr>
            <w:r w:rsidRPr="004C77CD">
              <w:rPr>
                <w:rFonts w:eastAsia="Times New Roman"/>
                <w:color w:val="000000"/>
                <w:szCs w:val="24"/>
                <w:lang w:eastAsia="tr-TR"/>
              </w:rPr>
              <w:t>Yüksek Child-Pugh C skoru</w:t>
            </w:r>
          </w:p>
          <w:p w14:paraId="31CB2686" w14:textId="77777777" w:rsidR="00084E0A" w:rsidRPr="004C77CD" w:rsidRDefault="00084E0A" w:rsidP="00A81EDF">
            <w:pPr>
              <w:spacing w:line="240" w:lineRule="auto"/>
              <w:jc w:val="left"/>
              <w:rPr>
                <w:rFonts w:eastAsia="Times New Roman"/>
                <w:szCs w:val="24"/>
                <w:lang w:eastAsia="tr-TR"/>
              </w:rPr>
            </w:pPr>
            <w:r w:rsidRPr="004C77CD">
              <w:rPr>
                <w:rFonts w:eastAsia="Times New Roman"/>
                <w:color w:val="000000"/>
                <w:szCs w:val="24"/>
                <w:lang w:eastAsia="tr-TR"/>
              </w:rPr>
              <w:t>Uzamış greft iskemi süresi</w:t>
            </w:r>
          </w:p>
          <w:p w14:paraId="31CB2687" w14:textId="77777777" w:rsidR="00084E0A" w:rsidRDefault="00084E0A" w:rsidP="00A81EDF">
            <w:pPr>
              <w:spacing w:line="240" w:lineRule="auto"/>
              <w:jc w:val="left"/>
              <w:rPr>
                <w:rFonts w:eastAsia="Times New Roman"/>
                <w:color w:val="000000"/>
                <w:szCs w:val="24"/>
                <w:lang w:eastAsia="tr-TR"/>
              </w:rPr>
            </w:pPr>
            <w:r w:rsidRPr="004C77CD">
              <w:rPr>
                <w:rFonts w:eastAsia="Times New Roman"/>
                <w:color w:val="000000"/>
                <w:szCs w:val="24"/>
                <w:lang w:eastAsia="tr-TR"/>
              </w:rPr>
              <w:t>Ciddi hiperglisemi</w:t>
            </w:r>
          </w:p>
          <w:p w14:paraId="3E5BABA1" w14:textId="5DD40E63" w:rsidR="00E90B76" w:rsidRPr="004C77CD" w:rsidRDefault="00E90B76" w:rsidP="00A81EDF">
            <w:pPr>
              <w:spacing w:line="240" w:lineRule="auto"/>
              <w:jc w:val="left"/>
              <w:rPr>
                <w:rFonts w:eastAsia="Times New Roman"/>
                <w:szCs w:val="24"/>
                <w:lang w:eastAsia="tr-TR"/>
              </w:rPr>
            </w:pPr>
            <w:r w:rsidRPr="004C77CD">
              <w:rPr>
                <w:rFonts w:eastAsia="Times New Roman"/>
                <w:color w:val="000000"/>
                <w:szCs w:val="24"/>
                <w:lang w:eastAsia="tr-TR"/>
              </w:rPr>
              <w:t>ABO kan grubu uyumsuz nakil</w:t>
            </w:r>
          </w:p>
          <w:p w14:paraId="465824A8" w14:textId="77777777" w:rsidR="00A81EDF" w:rsidRDefault="00084E0A" w:rsidP="00A81EDF">
            <w:pPr>
              <w:spacing w:line="240" w:lineRule="auto"/>
              <w:jc w:val="left"/>
              <w:rPr>
                <w:rFonts w:eastAsia="Times New Roman"/>
                <w:color w:val="000000"/>
                <w:szCs w:val="24"/>
                <w:lang w:eastAsia="tr-TR"/>
              </w:rPr>
            </w:pPr>
            <w:r w:rsidRPr="004C77CD">
              <w:rPr>
                <w:rFonts w:eastAsia="Times New Roman"/>
                <w:color w:val="000000"/>
                <w:szCs w:val="24"/>
                <w:lang w:eastAsia="tr-TR"/>
              </w:rPr>
              <w:t xml:space="preserve">Kadaverik nakilde, donörde sepsis </w:t>
            </w:r>
            <w:r w:rsidR="00A81EDF">
              <w:rPr>
                <w:rFonts w:eastAsia="Times New Roman"/>
                <w:color w:val="000000"/>
                <w:szCs w:val="24"/>
                <w:lang w:eastAsia="tr-TR"/>
              </w:rPr>
              <w:t xml:space="preserve">  </w:t>
            </w:r>
          </w:p>
          <w:p w14:paraId="31CB2689" w14:textId="2B38D012" w:rsidR="00084E0A" w:rsidRPr="00E90B76" w:rsidRDefault="00084E0A" w:rsidP="00E90B76">
            <w:pPr>
              <w:spacing w:line="240" w:lineRule="auto"/>
              <w:jc w:val="left"/>
              <w:rPr>
                <w:rFonts w:eastAsia="Times New Roman"/>
                <w:color w:val="000000"/>
                <w:szCs w:val="24"/>
                <w:lang w:eastAsia="tr-TR"/>
              </w:rPr>
            </w:pPr>
            <w:r w:rsidRPr="004C77CD">
              <w:rPr>
                <w:rFonts w:eastAsia="Times New Roman"/>
                <w:color w:val="000000"/>
                <w:szCs w:val="24"/>
                <w:lang w:eastAsia="tr-TR"/>
              </w:rPr>
              <w:t>öyküsü</w:t>
            </w:r>
          </w:p>
        </w:tc>
        <w:tc>
          <w:tcPr>
            <w:tcW w:w="4395" w:type="dxa"/>
            <w:tcBorders>
              <w:top w:val="single" w:sz="4" w:space="0" w:color="auto"/>
              <w:left w:val="single" w:sz="4" w:space="0" w:color="auto"/>
              <w:right w:val="single" w:sz="4" w:space="0" w:color="auto"/>
            </w:tcBorders>
            <w:vAlign w:val="center"/>
          </w:tcPr>
          <w:p w14:paraId="31CB268A" w14:textId="77777777" w:rsidR="00084E0A" w:rsidRPr="004C77CD" w:rsidRDefault="00084E0A" w:rsidP="00084E0A">
            <w:pPr>
              <w:spacing w:line="240" w:lineRule="auto"/>
              <w:ind w:firstLine="0"/>
              <w:jc w:val="left"/>
              <w:rPr>
                <w:rFonts w:eastAsia="Times New Roman"/>
                <w:b/>
                <w:bCs/>
                <w:color w:val="000000"/>
                <w:szCs w:val="24"/>
                <w:lang w:eastAsia="tr-TR"/>
              </w:rPr>
            </w:pPr>
            <w:r w:rsidRPr="004C77CD">
              <w:rPr>
                <w:rFonts w:eastAsia="Times New Roman"/>
                <w:b/>
                <w:bCs/>
                <w:color w:val="000000"/>
                <w:szCs w:val="24"/>
                <w:lang w:eastAsia="tr-TR"/>
              </w:rPr>
              <w:t>Geç dönem</w:t>
            </w:r>
          </w:p>
          <w:p w14:paraId="31CB268B" w14:textId="77777777" w:rsidR="004C77CD" w:rsidRPr="004C77CD" w:rsidRDefault="004C77CD" w:rsidP="003A4709">
            <w:pPr>
              <w:spacing w:line="240" w:lineRule="auto"/>
              <w:jc w:val="left"/>
              <w:rPr>
                <w:rFonts w:eastAsia="Times New Roman"/>
                <w:color w:val="000000"/>
                <w:szCs w:val="24"/>
                <w:lang w:eastAsia="tr-TR"/>
              </w:rPr>
            </w:pPr>
            <w:r w:rsidRPr="004C77CD">
              <w:rPr>
                <w:rFonts w:eastAsia="Times New Roman"/>
                <w:color w:val="000000"/>
                <w:szCs w:val="24"/>
                <w:lang w:eastAsia="tr-TR"/>
              </w:rPr>
              <w:t>Anti HCV pozitifliği</w:t>
            </w:r>
          </w:p>
          <w:p w14:paraId="31CB268C" w14:textId="77777777" w:rsidR="00084E0A" w:rsidRPr="004C77CD" w:rsidRDefault="004C77CD" w:rsidP="004C77CD">
            <w:pPr>
              <w:spacing w:line="240" w:lineRule="auto"/>
              <w:ind w:left="708" w:firstLine="0"/>
              <w:jc w:val="left"/>
              <w:rPr>
                <w:rFonts w:eastAsia="Times New Roman"/>
                <w:color w:val="000000"/>
                <w:szCs w:val="24"/>
                <w:lang w:eastAsia="tr-TR"/>
              </w:rPr>
            </w:pPr>
            <w:r w:rsidRPr="004C77CD">
              <w:rPr>
                <w:rFonts w:eastAsia="Times New Roman"/>
                <w:color w:val="000000"/>
                <w:szCs w:val="24"/>
                <w:lang w:eastAsia="tr-TR"/>
              </w:rPr>
              <w:t>Rekürren HCV</w:t>
            </w:r>
          </w:p>
          <w:p w14:paraId="31CB268D" w14:textId="77777777" w:rsidR="00084E0A" w:rsidRPr="004C77CD" w:rsidRDefault="00084E0A" w:rsidP="00084E0A">
            <w:pPr>
              <w:spacing w:line="240" w:lineRule="auto"/>
              <w:jc w:val="left"/>
              <w:rPr>
                <w:rFonts w:eastAsia="Times New Roman"/>
                <w:szCs w:val="24"/>
                <w:lang w:eastAsia="tr-TR"/>
              </w:rPr>
            </w:pPr>
            <w:r w:rsidRPr="004C77CD">
              <w:rPr>
                <w:rFonts w:eastAsia="Times New Roman"/>
                <w:color w:val="000000"/>
                <w:szCs w:val="24"/>
                <w:lang w:eastAsia="tr-TR"/>
              </w:rPr>
              <w:t>Kadın cinsiyet</w:t>
            </w:r>
          </w:p>
          <w:p w14:paraId="31CB268E" w14:textId="77777777" w:rsidR="00084E0A" w:rsidRPr="004C77CD" w:rsidRDefault="00084E0A" w:rsidP="00084E0A">
            <w:pPr>
              <w:spacing w:line="240" w:lineRule="auto"/>
              <w:jc w:val="left"/>
              <w:rPr>
                <w:rFonts w:eastAsia="Times New Roman"/>
                <w:szCs w:val="24"/>
                <w:lang w:eastAsia="tr-TR"/>
              </w:rPr>
            </w:pPr>
            <w:r w:rsidRPr="004C77CD">
              <w:rPr>
                <w:rFonts w:eastAsia="Times New Roman"/>
                <w:color w:val="000000"/>
                <w:szCs w:val="24"/>
                <w:lang w:eastAsia="tr-TR"/>
              </w:rPr>
              <w:t>Kronik greft disfonksiyonu</w:t>
            </w:r>
          </w:p>
          <w:p w14:paraId="31CB268F" w14:textId="77777777" w:rsidR="00084E0A" w:rsidRPr="004C77CD" w:rsidRDefault="00084E0A" w:rsidP="00084E0A">
            <w:pPr>
              <w:spacing w:line="240" w:lineRule="auto"/>
              <w:jc w:val="left"/>
              <w:rPr>
                <w:rFonts w:eastAsia="Times New Roman"/>
                <w:szCs w:val="24"/>
                <w:lang w:eastAsia="tr-TR"/>
              </w:rPr>
            </w:pPr>
            <w:r w:rsidRPr="004C77CD">
              <w:rPr>
                <w:rFonts w:eastAsia="Times New Roman"/>
                <w:color w:val="000000"/>
                <w:szCs w:val="24"/>
                <w:lang w:eastAsia="tr-TR"/>
              </w:rPr>
              <w:t>Erken CMV pozitifliği</w:t>
            </w:r>
          </w:p>
          <w:p w14:paraId="31CB2690" w14:textId="4E198B8E" w:rsidR="004C77CD" w:rsidRPr="004C77CD" w:rsidRDefault="00084E0A" w:rsidP="00E90B76">
            <w:pPr>
              <w:spacing w:line="240" w:lineRule="auto"/>
              <w:jc w:val="left"/>
              <w:rPr>
                <w:rFonts w:eastAsia="Times New Roman"/>
                <w:color w:val="000000"/>
                <w:szCs w:val="24"/>
                <w:lang w:eastAsia="tr-TR"/>
              </w:rPr>
            </w:pPr>
            <w:r w:rsidRPr="004C77CD">
              <w:rPr>
                <w:rFonts w:eastAsia="Times New Roman"/>
                <w:color w:val="000000"/>
                <w:szCs w:val="24"/>
                <w:lang w:eastAsia="tr-TR"/>
              </w:rPr>
              <w:t xml:space="preserve">Erken bakteriyel </w:t>
            </w:r>
            <w:r w:rsidR="005A0FF4" w:rsidRPr="004C77CD">
              <w:rPr>
                <w:rFonts w:eastAsia="Times New Roman"/>
                <w:color w:val="000000"/>
                <w:szCs w:val="24"/>
                <w:lang w:eastAsia="tr-TR"/>
              </w:rPr>
              <w:t>enfeksiyon öyküsü</w:t>
            </w:r>
          </w:p>
          <w:p w14:paraId="31CB2691" w14:textId="77777777" w:rsidR="00084E0A" w:rsidRPr="004C77CD" w:rsidRDefault="00084E0A" w:rsidP="004C77CD">
            <w:pPr>
              <w:spacing w:line="240" w:lineRule="auto"/>
              <w:jc w:val="left"/>
              <w:rPr>
                <w:rFonts w:eastAsia="Times New Roman"/>
                <w:color w:val="000000"/>
                <w:szCs w:val="24"/>
                <w:lang w:eastAsia="tr-TR"/>
              </w:rPr>
            </w:pPr>
            <w:r w:rsidRPr="004C77CD">
              <w:rPr>
                <w:rFonts w:eastAsia="Times New Roman"/>
                <w:color w:val="000000"/>
                <w:szCs w:val="24"/>
                <w:lang w:eastAsia="tr-TR"/>
              </w:rPr>
              <w:t>İleri yaş</w:t>
            </w:r>
          </w:p>
          <w:p w14:paraId="31CB2692" w14:textId="77777777" w:rsidR="004C77CD" w:rsidRPr="004C77CD" w:rsidRDefault="004C77CD" w:rsidP="004C77CD">
            <w:pPr>
              <w:spacing w:line="240" w:lineRule="auto"/>
              <w:jc w:val="left"/>
              <w:rPr>
                <w:rFonts w:eastAsia="Times New Roman"/>
                <w:color w:val="000000"/>
                <w:szCs w:val="24"/>
                <w:lang w:eastAsia="tr-TR"/>
              </w:rPr>
            </w:pPr>
          </w:p>
          <w:p w14:paraId="31CB2693" w14:textId="77777777" w:rsidR="004C77CD" w:rsidRDefault="004C77CD" w:rsidP="004C77CD">
            <w:pPr>
              <w:spacing w:line="240" w:lineRule="auto"/>
              <w:jc w:val="left"/>
              <w:rPr>
                <w:rFonts w:eastAsia="Times New Roman"/>
                <w:color w:val="000000"/>
                <w:szCs w:val="24"/>
                <w:lang w:eastAsia="tr-TR"/>
              </w:rPr>
            </w:pPr>
          </w:p>
          <w:p w14:paraId="39B819A3" w14:textId="77777777" w:rsidR="00E90B76" w:rsidRPr="004C77CD" w:rsidRDefault="00E90B76" w:rsidP="004C77CD">
            <w:pPr>
              <w:spacing w:line="240" w:lineRule="auto"/>
              <w:jc w:val="left"/>
              <w:rPr>
                <w:rFonts w:eastAsia="Times New Roman"/>
                <w:color w:val="000000"/>
                <w:szCs w:val="24"/>
                <w:lang w:eastAsia="tr-TR"/>
              </w:rPr>
            </w:pPr>
          </w:p>
          <w:p w14:paraId="31CB2694" w14:textId="77777777" w:rsidR="004C77CD" w:rsidRPr="004C77CD" w:rsidRDefault="004C77CD" w:rsidP="004C77CD">
            <w:pPr>
              <w:spacing w:line="240" w:lineRule="auto"/>
              <w:jc w:val="left"/>
              <w:rPr>
                <w:rFonts w:eastAsia="Times New Roman"/>
                <w:color w:val="000000"/>
                <w:szCs w:val="24"/>
                <w:lang w:eastAsia="tr-TR"/>
              </w:rPr>
            </w:pPr>
          </w:p>
          <w:p w14:paraId="31CB2695" w14:textId="77777777" w:rsidR="004C77CD" w:rsidRPr="004C77CD" w:rsidRDefault="004C77CD" w:rsidP="004C77CD">
            <w:pPr>
              <w:spacing w:line="240" w:lineRule="auto"/>
              <w:jc w:val="left"/>
              <w:rPr>
                <w:rFonts w:eastAsia="Times New Roman"/>
                <w:szCs w:val="24"/>
                <w:lang w:eastAsia="tr-TR"/>
              </w:rPr>
            </w:pPr>
          </w:p>
          <w:p w14:paraId="31CB2696" w14:textId="77777777" w:rsidR="00084E0A" w:rsidRPr="004C77CD" w:rsidRDefault="00084E0A" w:rsidP="00E2344D">
            <w:pPr>
              <w:spacing w:line="240" w:lineRule="auto"/>
              <w:ind w:left="680"/>
              <w:jc w:val="left"/>
              <w:rPr>
                <w:rFonts w:eastAsia="Times New Roman"/>
                <w:szCs w:val="24"/>
                <w:lang w:eastAsia="tr-TR"/>
              </w:rPr>
            </w:pPr>
          </w:p>
        </w:tc>
      </w:tr>
    </w:tbl>
    <w:p w14:paraId="31CB2698" w14:textId="77777777" w:rsidR="00EF3DBD" w:rsidRDefault="00EF3DBD" w:rsidP="00EF3DBD">
      <w:pPr>
        <w:spacing w:after="160"/>
        <w:ind w:firstLine="0"/>
        <w:rPr>
          <w:rFonts w:eastAsia="Times New Roman"/>
          <w:color w:val="000000"/>
          <w:sz w:val="20"/>
          <w:szCs w:val="20"/>
          <w:lang w:eastAsia="tr-TR"/>
        </w:rPr>
      </w:pPr>
      <w:r>
        <w:rPr>
          <w:color w:val="FF0000"/>
          <w:szCs w:val="24"/>
        </w:rPr>
        <w:t xml:space="preserve">                </w:t>
      </w:r>
      <w:r w:rsidR="007D2CD3">
        <w:rPr>
          <w:color w:val="FF0000"/>
          <w:szCs w:val="24"/>
        </w:rPr>
        <w:t xml:space="preserve">     </w:t>
      </w:r>
      <w:r w:rsidRPr="007D2CD3">
        <w:rPr>
          <w:color w:val="FF0000"/>
          <w:sz w:val="20"/>
          <w:szCs w:val="20"/>
        </w:rPr>
        <w:t xml:space="preserve"> </w:t>
      </w:r>
      <w:r w:rsidRPr="007D2CD3">
        <w:rPr>
          <w:rFonts w:eastAsia="Times New Roman"/>
          <w:b/>
          <w:bCs/>
          <w:color w:val="000000"/>
          <w:sz w:val="20"/>
          <w:szCs w:val="20"/>
          <w:lang w:eastAsia="tr-TR"/>
        </w:rPr>
        <w:t>HCV</w:t>
      </w:r>
      <w:r w:rsidRPr="007D2CD3">
        <w:rPr>
          <w:rFonts w:eastAsia="Times New Roman"/>
          <w:color w:val="000000"/>
          <w:sz w:val="20"/>
          <w:szCs w:val="20"/>
          <w:lang w:eastAsia="tr-TR"/>
        </w:rPr>
        <w:t xml:space="preserve">: Hepatit C virüsü </w:t>
      </w:r>
      <w:r w:rsidRPr="007D2CD3">
        <w:rPr>
          <w:rFonts w:eastAsia="Times New Roman"/>
          <w:b/>
          <w:bCs/>
          <w:color w:val="000000"/>
          <w:sz w:val="20"/>
          <w:szCs w:val="20"/>
          <w:lang w:eastAsia="tr-TR"/>
        </w:rPr>
        <w:t>CMV</w:t>
      </w:r>
      <w:r w:rsidRPr="007D2CD3">
        <w:rPr>
          <w:rFonts w:eastAsia="Times New Roman"/>
          <w:color w:val="000000"/>
          <w:sz w:val="20"/>
          <w:szCs w:val="20"/>
          <w:lang w:eastAsia="tr-TR"/>
        </w:rPr>
        <w:t xml:space="preserve">: </w:t>
      </w:r>
      <w:r w:rsidR="005A0FF4" w:rsidRPr="007D2CD3">
        <w:rPr>
          <w:rFonts w:eastAsia="Times New Roman"/>
          <w:color w:val="000000"/>
          <w:sz w:val="20"/>
          <w:szCs w:val="20"/>
          <w:lang w:eastAsia="tr-TR"/>
        </w:rPr>
        <w:t>Sitomegalovirüs</w:t>
      </w:r>
    </w:p>
    <w:p w14:paraId="060A44E9" w14:textId="77777777" w:rsidR="00152ED6" w:rsidRPr="007D2CD3" w:rsidRDefault="00152ED6" w:rsidP="00EF3DBD">
      <w:pPr>
        <w:spacing w:after="160"/>
        <w:ind w:firstLine="0"/>
        <w:rPr>
          <w:color w:val="FF0000"/>
          <w:sz w:val="20"/>
          <w:szCs w:val="20"/>
        </w:rPr>
      </w:pPr>
    </w:p>
    <w:p w14:paraId="31CB2699"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320" w:name="_Toc43775411"/>
      <w:bookmarkStart w:id="321" w:name="_Toc43775500"/>
      <w:bookmarkStart w:id="322" w:name="_Toc45265685"/>
      <w:bookmarkStart w:id="323" w:name="_Toc45265911"/>
      <w:bookmarkStart w:id="324" w:name="_Toc45497757"/>
      <w:bookmarkStart w:id="325" w:name="_Toc45497856"/>
      <w:bookmarkStart w:id="326" w:name="_Toc45497954"/>
      <w:bookmarkStart w:id="327" w:name="_Toc45498054"/>
      <w:bookmarkStart w:id="328" w:name="_Toc46048062"/>
      <w:bookmarkStart w:id="329" w:name="_Toc46154315"/>
      <w:bookmarkStart w:id="330" w:name="_Toc46495179"/>
      <w:bookmarkStart w:id="331" w:name="_Toc47882237"/>
      <w:bookmarkStart w:id="332" w:name="_Toc49815746"/>
      <w:bookmarkStart w:id="333" w:name="_Toc55727807"/>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p>
    <w:p w14:paraId="31CB269A"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334" w:name="_Toc43775412"/>
      <w:bookmarkStart w:id="335" w:name="_Toc43775501"/>
      <w:bookmarkStart w:id="336" w:name="_Toc45265686"/>
      <w:bookmarkStart w:id="337" w:name="_Toc45265912"/>
      <w:bookmarkStart w:id="338" w:name="_Toc45497758"/>
      <w:bookmarkStart w:id="339" w:name="_Toc45497857"/>
      <w:bookmarkStart w:id="340" w:name="_Toc45497955"/>
      <w:bookmarkStart w:id="341" w:name="_Toc45498055"/>
      <w:bookmarkStart w:id="342" w:name="_Toc46048063"/>
      <w:bookmarkStart w:id="343" w:name="_Toc46154316"/>
      <w:bookmarkStart w:id="344" w:name="_Toc46495180"/>
      <w:bookmarkStart w:id="345" w:name="_Toc47882238"/>
      <w:bookmarkStart w:id="346" w:name="_Toc49815747"/>
      <w:bookmarkStart w:id="347" w:name="_Toc55727808"/>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p>
    <w:p w14:paraId="31CB269B"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348" w:name="_Toc43775413"/>
      <w:bookmarkStart w:id="349" w:name="_Toc43775502"/>
      <w:bookmarkStart w:id="350" w:name="_Toc45265687"/>
      <w:bookmarkStart w:id="351" w:name="_Toc45265913"/>
      <w:bookmarkStart w:id="352" w:name="_Toc45497759"/>
      <w:bookmarkStart w:id="353" w:name="_Toc45497858"/>
      <w:bookmarkStart w:id="354" w:name="_Toc45497956"/>
      <w:bookmarkStart w:id="355" w:name="_Toc45498056"/>
      <w:bookmarkStart w:id="356" w:name="_Toc46048064"/>
      <w:bookmarkStart w:id="357" w:name="_Toc46154317"/>
      <w:bookmarkStart w:id="358" w:name="_Toc46495181"/>
      <w:bookmarkStart w:id="359" w:name="_Toc47882239"/>
      <w:bookmarkStart w:id="360" w:name="_Toc49815748"/>
      <w:bookmarkStart w:id="361" w:name="_Toc55727809"/>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p>
    <w:p w14:paraId="31CB269C"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362" w:name="_Toc43775414"/>
      <w:bookmarkStart w:id="363" w:name="_Toc43775503"/>
      <w:bookmarkStart w:id="364" w:name="_Toc45265688"/>
      <w:bookmarkStart w:id="365" w:name="_Toc45265914"/>
      <w:bookmarkStart w:id="366" w:name="_Toc45497760"/>
      <w:bookmarkStart w:id="367" w:name="_Toc45497859"/>
      <w:bookmarkStart w:id="368" w:name="_Toc45497957"/>
      <w:bookmarkStart w:id="369" w:name="_Toc45498057"/>
      <w:bookmarkStart w:id="370" w:name="_Toc46048065"/>
      <w:bookmarkStart w:id="371" w:name="_Toc46154318"/>
      <w:bookmarkStart w:id="372" w:name="_Toc46495182"/>
      <w:bookmarkStart w:id="373" w:name="_Toc47882240"/>
      <w:bookmarkStart w:id="374" w:name="_Toc49815749"/>
      <w:bookmarkStart w:id="375" w:name="_Toc55727810"/>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p>
    <w:p w14:paraId="31CB269D"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376" w:name="_Toc43775415"/>
      <w:bookmarkStart w:id="377" w:name="_Toc43775504"/>
      <w:bookmarkStart w:id="378" w:name="_Toc45265689"/>
      <w:bookmarkStart w:id="379" w:name="_Toc45265915"/>
      <w:bookmarkStart w:id="380" w:name="_Toc45497761"/>
      <w:bookmarkStart w:id="381" w:name="_Toc45497860"/>
      <w:bookmarkStart w:id="382" w:name="_Toc45497958"/>
      <w:bookmarkStart w:id="383" w:name="_Toc45498058"/>
      <w:bookmarkStart w:id="384" w:name="_Toc46048066"/>
      <w:bookmarkStart w:id="385" w:name="_Toc46154319"/>
      <w:bookmarkStart w:id="386" w:name="_Toc46495183"/>
      <w:bookmarkStart w:id="387" w:name="_Toc47882241"/>
      <w:bookmarkStart w:id="388" w:name="_Toc49815750"/>
      <w:bookmarkStart w:id="389" w:name="_Toc55727811"/>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p>
    <w:p w14:paraId="31CB269E"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390" w:name="_Toc43775416"/>
      <w:bookmarkStart w:id="391" w:name="_Toc43775505"/>
      <w:bookmarkStart w:id="392" w:name="_Toc45265690"/>
      <w:bookmarkStart w:id="393" w:name="_Toc45265916"/>
      <w:bookmarkStart w:id="394" w:name="_Toc45497762"/>
      <w:bookmarkStart w:id="395" w:name="_Toc45497861"/>
      <w:bookmarkStart w:id="396" w:name="_Toc45497959"/>
      <w:bookmarkStart w:id="397" w:name="_Toc45498059"/>
      <w:bookmarkStart w:id="398" w:name="_Toc46048067"/>
      <w:bookmarkStart w:id="399" w:name="_Toc46154320"/>
      <w:bookmarkStart w:id="400" w:name="_Toc46495184"/>
      <w:bookmarkStart w:id="401" w:name="_Toc47882242"/>
      <w:bookmarkStart w:id="402" w:name="_Toc49815751"/>
      <w:bookmarkStart w:id="403" w:name="_Toc55727812"/>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p w14:paraId="31CB269F"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404" w:name="_Toc43775417"/>
      <w:bookmarkStart w:id="405" w:name="_Toc43775506"/>
      <w:bookmarkStart w:id="406" w:name="_Toc45265691"/>
      <w:bookmarkStart w:id="407" w:name="_Toc45265917"/>
      <w:bookmarkStart w:id="408" w:name="_Toc45497763"/>
      <w:bookmarkStart w:id="409" w:name="_Toc45497862"/>
      <w:bookmarkStart w:id="410" w:name="_Toc45497960"/>
      <w:bookmarkStart w:id="411" w:name="_Toc45498060"/>
      <w:bookmarkStart w:id="412" w:name="_Toc46048068"/>
      <w:bookmarkStart w:id="413" w:name="_Toc46154321"/>
      <w:bookmarkStart w:id="414" w:name="_Toc46495185"/>
      <w:bookmarkStart w:id="415" w:name="_Toc47882243"/>
      <w:bookmarkStart w:id="416" w:name="_Toc49815752"/>
      <w:bookmarkStart w:id="417" w:name="_Toc5572781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p>
    <w:p w14:paraId="31CB26A0"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418" w:name="_Toc43775418"/>
      <w:bookmarkStart w:id="419" w:name="_Toc43775507"/>
      <w:bookmarkStart w:id="420" w:name="_Toc45265692"/>
      <w:bookmarkStart w:id="421" w:name="_Toc45265918"/>
      <w:bookmarkStart w:id="422" w:name="_Toc45497764"/>
      <w:bookmarkStart w:id="423" w:name="_Toc45497863"/>
      <w:bookmarkStart w:id="424" w:name="_Toc45497961"/>
      <w:bookmarkStart w:id="425" w:name="_Toc45498061"/>
      <w:bookmarkStart w:id="426" w:name="_Toc46048069"/>
      <w:bookmarkStart w:id="427" w:name="_Toc46154322"/>
      <w:bookmarkStart w:id="428" w:name="_Toc46495186"/>
      <w:bookmarkStart w:id="429" w:name="_Toc47882244"/>
      <w:bookmarkStart w:id="430" w:name="_Toc49815753"/>
      <w:bookmarkStart w:id="431" w:name="_Toc55727814"/>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31CB26A1"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432" w:name="_Toc43775419"/>
      <w:bookmarkStart w:id="433" w:name="_Toc43775508"/>
      <w:bookmarkStart w:id="434" w:name="_Toc45265693"/>
      <w:bookmarkStart w:id="435" w:name="_Toc45265919"/>
      <w:bookmarkStart w:id="436" w:name="_Toc45497765"/>
      <w:bookmarkStart w:id="437" w:name="_Toc45497864"/>
      <w:bookmarkStart w:id="438" w:name="_Toc45497962"/>
      <w:bookmarkStart w:id="439" w:name="_Toc45498062"/>
      <w:bookmarkStart w:id="440" w:name="_Toc46048070"/>
      <w:bookmarkStart w:id="441" w:name="_Toc46154323"/>
      <w:bookmarkStart w:id="442" w:name="_Toc46495187"/>
      <w:bookmarkStart w:id="443" w:name="_Toc47882245"/>
      <w:bookmarkStart w:id="444" w:name="_Toc49815754"/>
      <w:bookmarkStart w:id="445" w:name="_Toc55727815"/>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
    <w:p w14:paraId="31CB26A2"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446" w:name="_Toc43775420"/>
      <w:bookmarkStart w:id="447" w:name="_Toc43775509"/>
      <w:bookmarkStart w:id="448" w:name="_Toc45265694"/>
      <w:bookmarkStart w:id="449" w:name="_Toc45265920"/>
      <w:bookmarkStart w:id="450" w:name="_Toc45497766"/>
      <w:bookmarkStart w:id="451" w:name="_Toc45497865"/>
      <w:bookmarkStart w:id="452" w:name="_Toc45497963"/>
      <w:bookmarkStart w:id="453" w:name="_Toc45498063"/>
      <w:bookmarkStart w:id="454" w:name="_Toc46048071"/>
      <w:bookmarkStart w:id="455" w:name="_Toc46154324"/>
      <w:bookmarkStart w:id="456" w:name="_Toc46495188"/>
      <w:bookmarkStart w:id="457" w:name="_Toc47882246"/>
      <w:bookmarkStart w:id="458" w:name="_Toc49815755"/>
      <w:bookmarkStart w:id="459" w:name="_Toc55727816"/>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14:paraId="31CB26A3"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460" w:name="_Toc43775421"/>
      <w:bookmarkStart w:id="461" w:name="_Toc43775510"/>
      <w:bookmarkStart w:id="462" w:name="_Toc45265695"/>
      <w:bookmarkStart w:id="463" w:name="_Toc45265921"/>
      <w:bookmarkStart w:id="464" w:name="_Toc45497767"/>
      <w:bookmarkStart w:id="465" w:name="_Toc45497866"/>
      <w:bookmarkStart w:id="466" w:name="_Toc45497964"/>
      <w:bookmarkStart w:id="467" w:name="_Toc45498064"/>
      <w:bookmarkStart w:id="468" w:name="_Toc46048072"/>
      <w:bookmarkStart w:id="469" w:name="_Toc46154325"/>
      <w:bookmarkStart w:id="470" w:name="_Toc46495189"/>
      <w:bookmarkStart w:id="471" w:name="_Toc47882247"/>
      <w:bookmarkStart w:id="472" w:name="_Toc49815756"/>
      <w:bookmarkStart w:id="473" w:name="_Toc55727817"/>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p>
    <w:p w14:paraId="31CB26A4" w14:textId="77777777" w:rsidR="00EF3DBD" w:rsidRPr="00477372" w:rsidRDefault="00EF3DBD" w:rsidP="00EF3DBD">
      <w:pPr>
        <w:pStyle w:val="ListeParagraf"/>
        <w:keepNext/>
        <w:keepLines/>
        <w:numPr>
          <w:ilvl w:val="0"/>
          <w:numId w:val="8"/>
        </w:numPr>
        <w:spacing w:before="40"/>
        <w:contextualSpacing w:val="0"/>
        <w:outlineLvl w:val="1"/>
        <w:rPr>
          <w:rFonts w:eastAsiaTheme="majorEastAsia" w:cstheme="majorBidi"/>
          <w:b/>
          <w:vanish/>
          <w:color w:val="000000" w:themeColor="text1"/>
          <w:szCs w:val="26"/>
        </w:rPr>
      </w:pPr>
      <w:bookmarkStart w:id="474" w:name="_Toc43775422"/>
      <w:bookmarkStart w:id="475" w:name="_Toc43775511"/>
      <w:bookmarkStart w:id="476" w:name="_Toc45265696"/>
      <w:bookmarkStart w:id="477" w:name="_Toc45265922"/>
      <w:bookmarkStart w:id="478" w:name="_Toc45497768"/>
      <w:bookmarkStart w:id="479" w:name="_Toc45497867"/>
      <w:bookmarkStart w:id="480" w:name="_Toc45497965"/>
      <w:bookmarkStart w:id="481" w:name="_Toc45498065"/>
      <w:bookmarkStart w:id="482" w:name="_Toc46048073"/>
      <w:bookmarkStart w:id="483" w:name="_Toc46154326"/>
      <w:bookmarkStart w:id="484" w:name="_Toc46495190"/>
      <w:bookmarkStart w:id="485" w:name="_Toc47882248"/>
      <w:bookmarkStart w:id="486" w:name="_Toc49815757"/>
      <w:bookmarkStart w:id="487" w:name="_Toc55727818"/>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p>
    <w:p w14:paraId="31CB26A5" w14:textId="77777777" w:rsidR="00732E31" w:rsidRDefault="006631A4" w:rsidP="00C50692">
      <w:pPr>
        <w:pStyle w:val="Balk2"/>
        <w:numPr>
          <w:ilvl w:val="0"/>
          <w:numId w:val="12"/>
        </w:numPr>
        <w:ind w:left="1985" w:hanging="284"/>
        <w:rPr>
          <w:rFonts w:cs="Times New Roman"/>
          <w:szCs w:val="24"/>
        </w:rPr>
      </w:pPr>
      <w:r w:rsidRPr="00E2344D">
        <w:rPr>
          <w:rFonts w:cs="Times New Roman"/>
          <w:szCs w:val="24"/>
        </w:rPr>
        <w:t xml:space="preserve"> </w:t>
      </w:r>
      <w:bookmarkStart w:id="488" w:name="_Toc45265923"/>
      <w:bookmarkStart w:id="489" w:name="_Toc55727819"/>
      <w:r w:rsidR="00D60F63" w:rsidRPr="00E2344D">
        <w:rPr>
          <w:rFonts w:cs="Times New Roman"/>
          <w:szCs w:val="24"/>
        </w:rPr>
        <w:t xml:space="preserve">Sepsis Tanı ve </w:t>
      </w:r>
      <w:r w:rsidR="00462525" w:rsidRPr="00E2344D">
        <w:rPr>
          <w:rFonts w:cs="Times New Roman"/>
          <w:szCs w:val="24"/>
        </w:rPr>
        <w:t>İ</w:t>
      </w:r>
      <w:r w:rsidR="00D60F63" w:rsidRPr="00E2344D">
        <w:rPr>
          <w:rFonts w:cs="Times New Roman"/>
          <w:szCs w:val="24"/>
        </w:rPr>
        <w:t>zleminde Kullanılan Biyobelirteçler</w:t>
      </w:r>
      <w:bookmarkEnd w:id="488"/>
      <w:bookmarkEnd w:id="489"/>
    </w:p>
    <w:p w14:paraId="31CB26A6" w14:textId="77777777" w:rsidR="002226EC" w:rsidRDefault="00D34537" w:rsidP="002226EC">
      <w:r w:rsidRPr="00D34537">
        <w:rPr>
          <w:color w:val="000000"/>
          <w:szCs w:val="24"/>
        </w:rPr>
        <w:t>Sepsis tanısın</w:t>
      </w:r>
      <w:r>
        <w:rPr>
          <w:color w:val="000000"/>
          <w:szCs w:val="24"/>
        </w:rPr>
        <w:t xml:space="preserve">ı koymakta yardımcı olan testler şunlardır: </w:t>
      </w:r>
      <w:r w:rsidR="002226EC">
        <w:t>Tam kan sayımı, biyokimyasal tahliller, pıhtılaşma testleri, kan gazı analizleri, C</w:t>
      </w:r>
      <w:r>
        <w:t>RP, prokalsitonin, sitokinler.</w:t>
      </w:r>
    </w:p>
    <w:p w14:paraId="740DB398" w14:textId="77777777" w:rsidR="00152ED6" w:rsidRPr="002226EC" w:rsidRDefault="00152ED6" w:rsidP="002226EC"/>
    <w:p w14:paraId="31CB26A7" w14:textId="77777777" w:rsidR="00F14ADC" w:rsidRDefault="00F14ADC" w:rsidP="00F14ADC">
      <w:pPr>
        <w:rPr>
          <w:b/>
          <w:shd w:val="clear" w:color="auto" w:fill="FFFFFF"/>
        </w:rPr>
      </w:pPr>
      <w:r w:rsidRPr="00F14ADC">
        <w:rPr>
          <w:b/>
          <w:shd w:val="clear" w:color="auto" w:fill="FFFFFF"/>
        </w:rPr>
        <w:t>Tanımlar: Sitokin, interlökin, kemokin</w:t>
      </w:r>
    </w:p>
    <w:p w14:paraId="31CB26A8" w14:textId="77777777" w:rsidR="00133F3D" w:rsidRDefault="00E2344D" w:rsidP="00F14ADC">
      <w:r w:rsidRPr="00F14ADC">
        <w:rPr>
          <w:b/>
          <w:shd w:val="clear" w:color="auto" w:fill="FFFFFF"/>
        </w:rPr>
        <w:t>Sitokin</w:t>
      </w:r>
      <w:r w:rsidRPr="00E2344D">
        <w:rPr>
          <w:shd w:val="clear" w:color="auto" w:fill="FFFFFF"/>
        </w:rPr>
        <w:t>, hücrelerin birbirleriyle iletişimini sağlayan protein ve peptidlerin bir grubudur. Hüc</w:t>
      </w:r>
      <w:r>
        <w:rPr>
          <w:shd w:val="clear" w:color="auto" w:fill="FFFFFF"/>
        </w:rPr>
        <w:t>re yüzeyinde bulunan</w:t>
      </w:r>
      <w:r w:rsidRPr="00E2344D">
        <w:rPr>
          <w:shd w:val="clear" w:color="auto" w:fill="FFFFFF"/>
        </w:rPr>
        <w:t xml:space="preserve"> sitokin reseptörleri aracılığıyla görevlerini yaparlar. Sitokinler, hücrelerdeki reseptörlere bağlanarak hücre çoğalmasını uyarırlar.</w:t>
      </w:r>
      <w:r>
        <w:rPr>
          <w:shd w:val="clear" w:color="auto" w:fill="FFFFFF"/>
        </w:rPr>
        <w:t xml:space="preserve"> Enflamasyon</w:t>
      </w:r>
      <w:r w:rsidRPr="00E2344D">
        <w:rPr>
          <w:shd w:val="clear" w:color="auto" w:fill="FFFFFF"/>
        </w:rPr>
        <w:t xml:space="preserve"> ve bağışıklık reaksiyonlarında, aktif lenfositler, makrofajlar, endotel, epitel ve </w:t>
      </w:r>
      <w:r>
        <w:rPr>
          <w:shd w:val="clear" w:color="auto" w:fill="FFFFFF"/>
        </w:rPr>
        <w:t>bağ</w:t>
      </w:r>
      <w:r w:rsidRPr="00E2344D">
        <w:rPr>
          <w:shd w:val="clear" w:color="auto" w:fill="FFFFFF"/>
        </w:rPr>
        <w:t xml:space="preserve"> dokular tarafından </w:t>
      </w:r>
      <w:r>
        <w:rPr>
          <w:shd w:val="clear" w:color="auto" w:fill="FFFFFF"/>
        </w:rPr>
        <w:t>üretilirler</w:t>
      </w:r>
      <w:r w:rsidRPr="00E2344D">
        <w:rPr>
          <w:shd w:val="clear" w:color="auto" w:fill="FFFFFF"/>
        </w:rPr>
        <w:t xml:space="preserve">. Salınımları geçicidir. </w:t>
      </w:r>
      <w:r w:rsidR="003C7FB7">
        <w:rPr>
          <w:shd w:val="clear" w:color="auto" w:fill="FFFFFF"/>
        </w:rPr>
        <w:t>P</w:t>
      </w:r>
      <w:r w:rsidR="003C7FB7" w:rsidRPr="003C7FB7">
        <w:t xml:space="preserve">ro-enflamatuar ve anti-enflamatuar </w:t>
      </w:r>
      <w:r w:rsidR="003C7FB7">
        <w:t xml:space="preserve">olmak üzere iki tip </w:t>
      </w:r>
      <w:r w:rsidR="003C7FB7" w:rsidRPr="003C7FB7">
        <w:t>sitokin</w:t>
      </w:r>
      <w:r w:rsidR="003C7FB7">
        <w:t xml:space="preserve"> </w:t>
      </w:r>
      <w:r w:rsidR="003C7FB7" w:rsidRPr="003C7FB7">
        <w:t>vardır. Sitokinler ayrıca sepsisin erken uyarısı, teşhisi ve prognostik değerlendirmesi için biyobelirteç olarak ve sepsisin önlenmesi ve tedavisi için terapötik hedefler olarak kullanılır</w:t>
      </w:r>
      <w:r w:rsidR="003C7FB7">
        <w:t>lar.</w:t>
      </w:r>
      <w:r w:rsidR="00133F3D">
        <w:t xml:space="preserve"> </w:t>
      </w:r>
      <w:r w:rsidR="00133F3D" w:rsidRPr="00133F3D">
        <w:t xml:space="preserve">Pro-enflamatuar </w:t>
      </w:r>
      <w:r w:rsidR="00133F3D">
        <w:t>sitokinler</w:t>
      </w:r>
      <w:r w:rsidR="00133F3D" w:rsidRPr="00133F3D">
        <w:t xml:space="preserve"> doğrudan doku hasarı ile ilişkilidir</w:t>
      </w:r>
      <w:r w:rsidR="00133F3D">
        <w:t xml:space="preserve"> ve </w:t>
      </w:r>
      <w:r w:rsidR="00133F3D" w:rsidRPr="00133F3D">
        <w:t>sepsis</w:t>
      </w:r>
      <w:r w:rsidR="00133F3D">
        <w:t>-</w:t>
      </w:r>
      <w:r w:rsidR="00133F3D" w:rsidRPr="00133F3D">
        <w:t>hayvan modelleri</w:t>
      </w:r>
      <w:r w:rsidR="00133F3D">
        <w:t xml:space="preserve">nde </w:t>
      </w:r>
      <w:r w:rsidR="00133F3D" w:rsidRPr="00133F3D">
        <w:t>önemli ölçüde artar. </w:t>
      </w:r>
    </w:p>
    <w:p w14:paraId="31CB26A9" w14:textId="60025AD7" w:rsidR="00E2344D" w:rsidRPr="00E2344D" w:rsidRDefault="00133F3D" w:rsidP="00F14ADC">
      <w:pPr>
        <w:rPr>
          <w:shd w:val="clear" w:color="auto" w:fill="FFFFFF"/>
        </w:rPr>
      </w:pPr>
      <w:r w:rsidRPr="00F14ADC">
        <w:rPr>
          <w:b/>
          <w:shd w:val="clear" w:color="auto" w:fill="FFFFFF"/>
        </w:rPr>
        <w:lastRenderedPageBreak/>
        <w:t xml:space="preserve"> </w:t>
      </w:r>
      <w:r w:rsidR="00E2344D" w:rsidRPr="00F14ADC">
        <w:rPr>
          <w:b/>
          <w:shd w:val="clear" w:color="auto" w:fill="FFFFFF"/>
        </w:rPr>
        <w:t>İnterlö</w:t>
      </w:r>
      <w:r w:rsidR="00F14ADC" w:rsidRPr="00F14ADC">
        <w:rPr>
          <w:b/>
          <w:shd w:val="clear" w:color="auto" w:fill="FFFFFF"/>
        </w:rPr>
        <w:t>kin</w:t>
      </w:r>
      <w:r w:rsidR="00F14ADC">
        <w:rPr>
          <w:shd w:val="clear" w:color="auto" w:fill="FFFFFF"/>
        </w:rPr>
        <w:t xml:space="preserve"> ismi</w:t>
      </w:r>
      <w:r w:rsidR="00F14ADC" w:rsidRPr="00E2344D">
        <w:rPr>
          <w:shd w:val="clear" w:color="auto" w:fill="FFFFFF"/>
        </w:rPr>
        <w:t xml:space="preserve">, haberleşme anlamında </w:t>
      </w:r>
      <w:r w:rsidR="00F14ADC">
        <w:rPr>
          <w:shd w:val="clear" w:color="auto" w:fill="FFFFFF"/>
        </w:rPr>
        <w:t>-</w:t>
      </w:r>
      <w:r w:rsidR="00F14ADC" w:rsidRPr="00E2344D">
        <w:rPr>
          <w:shd w:val="clear" w:color="auto" w:fill="FFFFFF"/>
        </w:rPr>
        <w:t>inter-den</w:t>
      </w:r>
      <w:r w:rsidR="00F14ADC">
        <w:rPr>
          <w:shd w:val="clear" w:color="auto" w:fill="FFFFFF"/>
        </w:rPr>
        <w:t xml:space="preserve"> ve</w:t>
      </w:r>
      <w:r w:rsidR="00F14ADC" w:rsidRPr="00E2344D">
        <w:rPr>
          <w:shd w:val="clear" w:color="auto" w:fill="FFFFFF"/>
        </w:rPr>
        <w:t xml:space="preserve"> lenfositlerden </w:t>
      </w:r>
      <w:r w:rsidR="00F14ADC">
        <w:rPr>
          <w:shd w:val="clear" w:color="auto" w:fill="FFFFFF"/>
        </w:rPr>
        <w:t>–</w:t>
      </w:r>
      <w:r w:rsidR="00F14ADC" w:rsidRPr="00E2344D">
        <w:rPr>
          <w:shd w:val="clear" w:color="auto" w:fill="FFFFFF"/>
        </w:rPr>
        <w:t>lökin</w:t>
      </w:r>
      <w:r w:rsidR="00F14ADC">
        <w:rPr>
          <w:shd w:val="clear" w:color="auto" w:fill="FFFFFF"/>
        </w:rPr>
        <w:t xml:space="preserve">- </w:t>
      </w:r>
      <w:r w:rsidR="00F14ADC" w:rsidRPr="00E2344D">
        <w:rPr>
          <w:shd w:val="clear" w:color="auto" w:fill="FFFFFF"/>
        </w:rPr>
        <w:t xml:space="preserve">gelir. </w:t>
      </w:r>
      <w:r w:rsidR="00F14ADC">
        <w:rPr>
          <w:shd w:val="clear" w:color="auto" w:fill="FFFFFF"/>
        </w:rPr>
        <w:t>İ</w:t>
      </w:r>
      <w:r w:rsidR="00F14ADC" w:rsidRPr="00E2344D">
        <w:rPr>
          <w:shd w:val="clear" w:color="auto" w:fill="FFFFFF"/>
        </w:rPr>
        <w:t xml:space="preserve">lk kez </w:t>
      </w:r>
      <w:r w:rsidR="00F14ADC">
        <w:rPr>
          <w:shd w:val="clear" w:color="auto" w:fill="FFFFFF"/>
        </w:rPr>
        <w:t>keşfedildikleri</w:t>
      </w:r>
      <w:r w:rsidR="00F14ADC" w:rsidRPr="00E2344D">
        <w:rPr>
          <w:shd w:val="clear" w:color="auto" w:fill="FFFFFF"/>
        </w:rPr>
        <w:t xml:space="preserve"> beyaz kan hücreleri lenfositlerince ekspresse edilen gizli </w:t>
      </w:r>
      <w:r w:rsidR="005A0FF4" w:rsidRPr="00E2344D">
        <w:rPr>
          <w:shd w:val="clear" w:color="auto" w:fill="FFFFFF"/>
        </w:rPr>
        <w:t>sinyalleşme</w:t>
      </w:r>
      <w:r w:rsidR="00F14ADC" w:rsidRPr="00E2344D">
        <w:rPr>
          <w:shd w:val="clear" w:color="auto" w:fill="FFFFFF"/>
        </w:rPr>
        <w:t xml:space="preserve"> molekülleri olan sitokinlerin bir grubudur.</w:t>
      </w:r>
      <w:r w:rsidR="00F14ADC">
        <w:rPr>
          <w:shd w:val="clear" w:color="auto" w:fill="FFFFFF"/>
        </w:rPr>
        <w:t xml:space="preserve"> </w:t>
      </w:r>
      <w:r w:rsidR="00F14ADC" w:rsidRPr="00E2344D">
        <w:rPr>
          <w:shd w:val="clear" w:color="auto" w:fill="FFFFFF"/>
        </w:rPr>
        <w:t>İnterlökin ailesi makrofajlar ve T-lenfositlerden salınır. B-lenfositlerini olgunlaş</w:t>
      </w:r>
      <w:r w:rsidR="00F14ADC">
        <w:rPr>
          <w:shd w:val="clear" w:color="auto" w:fill="FFFFFF"/>
        </w:rPr>
        <w:t>tır</w:t>
      </w:r>
      <w:r w:rsidR="00F14ADC" w:rsidRPr="00E2344D">
        <w:rPr>
          <w:shd w:val="clear" w:color="auto" w:fill="FFFFFF"/>
        </w:rPr>
        <w:t>mak ve farklılaş</w:t>
      </w:r>
      <w:r w:rsidR="00F14ADC">
        <w:rPr>
          <w:shd w:val="clear" w:color="auto" w:fill="FFFFFF"/>
        </w:rPr>
        <w:t>tır</w:t>
      </w:r>
      <w:r w:rsidR="00F14ADC" w:rsidRPr="00E2344D">
        <w:rPr>
          <w:shd w:val="clear" w:color="auto" w:fill="FFFFFF"/>
        </w:rPr>
        <w:t xml:space="preserve">mak için uyarır. </w:t>
      </w:r>
      <w:r w:rsidR="00E90B76">
        <w:rPr>
          <w:shd w:val="clear" w:color="auto" w:fill="FFFFFF"/>
        </w:rPr>
        <w:t>İmmü</w:t>
      </w:r>
      <w:r w:rsidR="005A0FF4" w:rsidRPr="00E2344D">
        <w:rPr>
          <w:shd w:val="clear" w:color="auto" w:fill="FFFFFF"/>
        </w:rPr>
        <w:t>nglobulin</w:t>
      </w:r>
      <w:r w:rsidR="00F14ADC" w:rsidRPr="00E2344D">
        <w:rPr>
          <w:shd w:val="clear" w:color="auto" w:fill="FFFFFF"/>
        </w:rPr>
        <w:t xml:space="preserve"> metabolizmasını B-lenfosit üzerinden hızlandırır.</w:t>
      </w:r>
    </w:p>
    <w:p w14:paraId="31CB26AA" w14:textId="77777777" w:rsidR="00F14ADC" w:rsidRDefault="00E2344D" w:rsidP="00F14ADC">
      <w:pPr>
        <w:rPr>
          <w:shd w:val="clear" w:color="auto" w:fill="FFFFFF"/>
        </w:rPr>
      </w:pPr>
      <w:r w:rsidRPr="00F14ADC">
        <w:rPr>
          <w:b/>
          <w:shd w:val="clear" w:color="auto" w:fill="FFFFFF"/>
        </w:rPr>
        <w:t>Kemokin</w:t>
      </w:r>
      <w:r w:rsidRPr="00E2344D">
        <w:rPr>
          <w:shd w:val="clear" w:color="auto" w:fill="FFFFFF"/>
        </w:rPr>
        <w:t xml:space="preserve"> terimi ise, sitokinlerin, hücreler arasında kemotaksiye aracılık eden özgül bir grubuna için kullanılmaktadır. IL-8 (interlökin-8) interlökin olarak isimlendirilmiş tek kemokindir.</w:t>
      </w:r>
    </w:p>
    <w:p w14:paraId="31CB26AB" w14:textId="7E62C533" w:rsidR="00C67575" w:rsidRDefault="00C67575" w:rsidP="00F14ADC">
      <w:pPr>
        <w:rPr>
          <w:color w:val="FF0000"/>
        </w:rPr>
      </w:pPr>
      <w:r w:rsidRPr="00C67575">
        <w:t>Literatürde sepsis tanı ve klinik tedavi izleminde kullanılan fibrinojen, C-reaktif</w:t>
      </w:r>
      <w:r w:rsidR="009C1FEE">
        <w:t xml:space="preserve"> </w:t>
      </w:r>
      <w:r w:rsidRPr="00C67575">
        <w:t>protein (CRP), prokalsitonin, nötrofil/lenfosit oranı (NLO), trombosit sayısı, beyaz</w:t>
      </w:r>
      <w:r w:rsidR="009C1FEE">
        <w:t xml:space="preserve"> </w:t>
      </w:r>
      <w:r w:rsidRPr="00C67575">
        <w:t>kan</w:t>
      </w:r>
      <w:r w:rsidR="009C1FEE">
        <w:t xml:space="preserve"> </w:t>
      </w:r>
      <w:r w:rsidR="00F14ADC">
        <w:t>hücresi</w:t>
      </w:r>
      <w:r w:rsidRPr="00C67575">
        <w:t xml:space="preserve"> (WBC), </w:t>
      </w:r>
      <w:r w:rsidR="000C5828">
        <w:t>INR</w:t>
      </w:r>
      <w:r w:rsidRPr="00C67575">
        <w:t>, laktat düzeyi gibi 178 biyobelirteçin kar</w:t>
      </w:r>
      <w:r w:rsidR="00A272AB">
        <w:t>ş</w:t>
      </w:r>
      <w:r w:rsidRPr="00C67575">
        <w:t>ıla</w:t>
      </w:r>
      <w:r w:rsidR="00A272AB">
        <w:t>ş</w:t>
      </w:r>
      <w:r w:rsidRPr="00C67575">
        <w:t>tırıldığı 3370</w:t>
      </w:r>
      <w:r w:rsidR="009C1FEE">
        <w:t xml:space="preserve"> </w:t>
      </w:r>
      <w:r w:rsidRPr="00C67575">
        <w:t>çalı</w:t>
      </w:r>
      <w:r w:rsidR="00A272AB">
        <w:t>ş</w:t>
      </w:r>
      <w:r w:rsidRPr="00C67575">
        <w:t>ma mevcuttur. Çalı</w:t>
      </w:r>
      <w:r w:rsidR="00A272AB">
        <w:t>ş</w:t>
      </w:r>
      <w:r w:rsidRPr="00C67575">
        <w:t>maların hiçbiri ideal bir biyobelirteç belirleyememi</w:t>
      </w:r>
      <w:r w:rsidR="00A272AB">
        <w:t>ş</w:t>
      </w:r>
      <w:r w:rsidRPr="00C67575">
        <w:t xml:space="preserve">tir </w:t>
      </w:r>
      <w:r w:rsidR="00805A02">
        <w:fldChar w:fldCharType="begin" w:fldLock="1"/>
      </w:r>
      <w:r w:rsidR="0085653B">
        <w:instrText>ADDIN CSL_CITATION {"citationItems":[{"id":"ITEM-1","itemData":{"DOI":"10.3109/10408363.2013.764490","ISSN":"1040-8363","abstract":"Sepsis is an unusual systemic reaction to what is sometimes an otherwise ordinary infection, and it probably represents a pattern of response by the immune system to injury. A hyper-inflammatory response is followed by an immunosuppressive phase during which multiple organ dysfunction is present and the patient is susceptible to nosocomial infection. Biomarkers to diagnose sepsis may allow early intervention which, although primarily supportive, can reduce the risk of death. Although lactate is currently the most commonly used biomarker to identify sepsis, other biomarkers may help to enhance lactate's effectiveness; these include markers of the hyper-inflammatory phase of sepsis, such as pro-inflammatory cytokines and chemokines; proteins such as C-reactive protein and procalcitonin which are synthesized in response to infection and inflammation; and markers of neutrophil and monocyte activation. Recently, markers of the immunosuppressive phase of sepsis, such as anti-inflammatory cytokines, and alterations of the cell surface markers of monocytes and lymphocytes have been examined. Combinations of pro- and anti-inflammatory biomarkers in a multi-marker panel may help identify patients who are developing severe sepsis before organ dysfunction has advanced too far. Combined with innovative approaches to treatment that target the immunosuppressive phase, these biomarkers may help to reduce the mortality rate associated with severe sepsis which, despite advances in supportive measures, remains high. © 2013 Informa UK Ltd All rights reserved: reproduction in whole or part not permitted.","author":[{"dropping-particle":"","family":"Faix","given":"James D.","non-dropping-particle":"","parse-names":false,"suffix":""}],"container-title":"Critical Reviews in Clinical Laboratory Sciences","id":"ITEM-1","issue":"1","issued":{"date-parts":[["2013","1","12"]]},"page":"23-36","publisher":"Taylor &amp; Francis","title":"Biomarkers of sepsis","type":"article-journal","volume":"50"},"uris":["http://www.mendeley.com/documents/?uuid=65145fe4-8540-3e9c-b977-f390d6f0f364"]}],"mendeley":{"formattedCitation":"(55)","plainTextFormattedCitation":"(55)","previouslyFormattedCitation":"(55)"},"properties":{"noteIndex":0},"schema":"https://github.com/citation-style-language/schema/raw/master/csl-citation.json"}</w:instrText>
      </w:r>
      <w:r w:rsidR="00805A02">
        <w:fldChar w:fldCharType="separate"/>
      </w:r>
      <w:r w:rsidR="0085653B" w:rsidRPr="0085653B">
        <w:rPr>
          <w:noProof/>
        </w:rPr>
        <w:t>(55)</w:t>
      </w:r>
      <w:r w:rsidR="00805A02">
        <w:fldChar w:fldCharType="end"/>
      </w:r>
      <w:r w:rsidRPr="00C67575">
        <w:t>.</w:t>
      </w:r>
      <w:r w:rsidRPr="00C67575">
        <w:rPr>
          <w:color w:val="FF0000"/>
        </w:rPr>
        <w:t xml:space="preserve"> </w:t>
      </w:r>
    </w:p>
    <w:p w14:paraId="31CB26AC" w14:textId="52395421" w:rsidR="00196D2E" w:rsidRDefault="00196D2E" w:rsidP="00F14ADC">
      <w:pPr>
        <w:rPr>
          <w:color w:val="FF0000"/>
          <w:lang w:eastAsia="tr-TR"/>
        </w:rPr>
      </w:pPr>
      <w:r w:rsidRPr="00C51DF3">
        <w:t xml:space="preserve">Akut </w:t>
      </w:r>
      <w:r w:rsidR="00F52B2F" w:rsidRPr="00C51DF3">
        <w:t>enfeksiyöz</w:t>
      </w:r>
      <w:r w:rsidRPr="00C51DF3">
        <w:t xml:space="preserve"> uyarana karşı oluşan sistemik yanıtlarda karaciğerin akut protein sentezinde değişiklikler olmaktadır</w:t>
      </w:r>
      <w:r>
        <w:t>. Bazı akut faz proteinlerinin</w:t>
      </w:r>
      <w:r w:rsidR="00F14ADC">
        <w:t xml:space="preserve"> bazılarının</w:t>
      </w:r>
      <w:r>
        <w:t xml:space="preserve"> </w:t>
      </w:r>
      <w:r w:rsidRPr="00C51DF3">
        <w:t>sentezinde artma olurken bazı protein sentezlerinde ise azalma olur. Bu akut faz yanıtı enfeksiyon, doku hasarı ve travmaya bağlı olarak konakçının yanıtı olup bazı sitokinler aracılığı ile ateşe de neden olmaktadır</w:t>
      </w:r>
      <w:r>
        <w:t xml:space="preserve"> </w:t>
      </w:r>
      <w:r>
        <w:fldChar w:fldCharType="begin" w:fldLock="1"/>
      </w:r>
      <w:r w:rsidR="0085653B">
        <w:instrText>ADDIN CSL_CITATION {"citationItems":[{"id":"ITEM-1","itemData":{"DOI":"10.1056/NEJM199902113400607","ISSN":"00284793","PMID":"9971870","abstract":"A large number of changes, distant from the site or sites of inflammation and involving many organ systems, may accompany inflammation. In 1930 interest was focused on these changes by the discover...","author":[{"dropping-particle":"","family":"Gabay","given":"Cem","non-dropping-particle":"","parse-names":false,"suffix":""},{"dropping-particle":"","family":"Kushner","given":"Irving","non-dropping-particle":"","parse-names":false,"suffix":""}],"container-title":"New England Journal of Medicine","editor":[{"dropping-particle":"","family":"Epstein","given":"Franklin H.","non-dropping-particle":"","parse-names":false,"suffix":""}],"id":"ITEM-1","issue":"6","issued":{"date-parts":[["1999","2","11"]]},"page":"448-454","publisher":" Massachusetts Medical Society ","title":"Acute-phase proteins and other systemic responses to inflammation","type":"article","volume":"340"},"uris":["http://www.mendeley.com/documents/?uuid=3990c419-eb4c-3c09-a4b4-f0514adcfa6e"]}],"mendeley":{"formattedCitation":"(56)","plainTextFormattedCitation":"(56)","previouslyFormattedCitation":"(56)"},"properties":{"noteIndex":0},"schema":"https://github.com/citation-style-language/schema/raw/master/csl-citation.json"}</w:instrText>
      </w:r>
      <w:r>
        <w:fldChar w:fldCharType="separate"/>
      </w:r>
      <w:r w:rsidR="0085653B" w:rsidRPr="0085653B">
        <w:rPr>
          <w:noProof/>
        </w:rPr>
        <w:t>(56)</w:t>
      </w:r>
      <w:r>
        <w:fldChar w:fldCharType="end"/>
      </w:r>
      <w:r w:rsidR="009D5BC9">
        <w:t xml:space="preserve">. </w:t>
      </w:r>
      <w:r w:rsidR="009D5BC9" w:rsidRPr="00423626">
        <w:rPr>
          <w:rFonts w:ascii="ArialMT" w:hAnsi="ArialMT"/>
        </w:rPr>
        <w:t>Nötrofiller ve monositler/makrofajlar doğal</w:t>
      </w:r>
      <w:r w:rsidR="009D5BC9">
        <w:rPr>
          <w:rFonts w:ascii="ArialMT" w:hAnsi="ArialMT"/>
        </w:rPr>
        <w:t xml:space="preserve"> </w:t>
      </w:r>
      <w:r w:rsidR="009D5BC9" w:rsidRPr="00423626">
        <w:rPr>
          <w:rFonts w:ascii="ArialMT" w:hAnsi="ArialMT"/>
        </w:rPr>
        <w:t>immünitenin primer</w:t>
      </w:r>
      <w:r w:rsidR="009D5BC9">
        <w:rPr>
          <w:rFonts w:ascii="ArialMT" w:hAnsi="ArialMT"/>
        </w:rPr>
        <w:t xml:space="preserve"> </w:t>
      </w:r>
      <w:r w:rsidR="009D5BC9" w:rsidRPr="00423626">
        <w:rPr>
          <w:rFonts w:ascii="ArialMT" w:hAnsi="ArialMT"/>
        </w:rPr>
        <w:t xml:space="preserve">mediatörleridirler ve aktive olduklarında TNF-α ve IL-1β gibi </w:t>
      </w:r>
      <w:r w:rsidR="00F52B2F" w:rsidRPr="00423626">
        <w:rPr>
          <w:rFonts w:ascii="ArialMT" w:hAnsi="ArialMT"/>
        </w:rPr>
        <w:t>proinflamatuvar</w:t>
      </w:r>
      <w:r w:rsidR="009D5BC9">
        <w:rPr>
          <w:rFonts w:ascii="ArialMT" w:hAnsi="ArialMT"/>
        </w:rPr>
        <w:t xml:space="preserve"> </w:t>
      </w:r>
      <w:r w:rsidR="009D5BC9" w:rsidRPr="00423626">
        <w:rPr>
          <w:rFonts w:ascii="ArialMT" w:hAnsi="ArialMT"/>
        </w:rPr>
        <w:t>sitokinlerin salınmasını teşvik ederek end-organ disfonksiyonuna katkı</w:t>
      </w:r>
      <w:r w:rsidR="009D5BC9">
        <w:rPr>
          <w:rFonts w:ascii="ArialMT" w:hAnsi="ArialMT"/>
        </w:rPr>
        <w:t xml:space="preserve"> </w:t>
      </w:r>
      <w:r w:rsidR="009D5BC9" w:rsidRPr="00423626">
        <w:rPr>
          <w:rFonts w:ascii="ArialMT" w:hAnsi="ArialMT"/>
        </w:rPr>
        <w:t xml:space="preserve">sağlarlar </w:t>
      </w:r>
      <w:r w:rsidR="009D5BC9">
        <w:rPr>
          <w:rFonts w:ascii="ArialMT" w:hAnsi="ArialMT"/>
        </w:rPr>
        <w:fldChar w:fldCharType="begin" w:fldLock="1"/>
      </w:r>
      <w:r w:rsidR="0085653B">
        <w:rPr>
          <w:rFonts w:ascii="ArialMT" w:hAnsi="ArialMT"/>
        </w:rPr>
        <w:instrText>ADDIN CSL_CITATION {"citationItems":[{"id":"ITEM-1","itemData":{"id":"ITEM-1","issued":{"date-parts":[["0"]]},"title":"Dinarello CA. The acute phase response. In: Bennett JC, Plum F (eds). Cecil Textbook of Medicine. 20th ed, Philadelphia, WB Saunders, 1996: 1535-7.","type":"article-journal"},"uris":["http://www.mendeley.com/documents/?uuid=d1316234-cf3b-4953-9a96-9081d064da56"]},{"id":"ITEM-2","itemData":{"id":"ITEM-2","issued":{"date-parts":[["0"]]},"title":"Bone RC, Grodzin CJ, Balk RA. Sepsis: a new hypothesis for pathogenesis of the disease process. Chest. 1997 Jul; 112(1):235-43","type":"article-journal"},"uris":["http://www.mendeley.com/documents/?uuid=dafebeff-27e7-416b-bc3e-7d4139dc4613"]}],"mendeley":{"formattedCitation":"(36,57)","plainTextFormattedCitation":"(36,57)","previouslyFormattedCitation":"(36,57)"},"properties":{"noteIndex":0},"schema":"https://github.com/citation-style-language/schema/raw/master/csl-citation.json"}</w:instrText>
      </w:r>
      <w:r w:rsidR="009D5BC9">
        <w:rPr>
          <w:rFonts w:ascii="ArialMT" w:hAnsi="ArialMT"/>
        </w:rPr>
        <w:fldChar w:fldCharType="separate"/>
      </w:r>
      <w:r w:rsidR="0085653B" w:rsidRPr="0085653B">
        <w:rPr>
          <w:rFonts w:ascii="ArialMT" w:hAnsi="ArialMT"/>
          <w:noProof/>
        </w:rPr>
        <w:t>(36,57)</w:t>
      </w:r>
      <w:r w:rsidR="009D5BC9">
        <w:rPr>
          <w:rFonts w:ascii="ArialMT" w:hAnsi="ArialMT"/>
        </w:rPr>
        <w:fldChar w:fldCharType="end"/>
      </w:r>
      <w:r w:rsidR="009D5BC9" w:rsidRPr="00423626">
        <w:rPr>
          <w:rFonts w:ascii="ArialMT" w:hAnsi="ArialMT"/>
        </w:rPr>
        <w:t>.</w:t>
      </w:r>
    </w:p>
    <w:p w14:paraId="31CB26AD" w14:textId="16B42A8B" w:rsidR="00217F4B" w:rsidRDefault="00196D2E" w:rsidP="00217F4B">
      <w:r w:rsidRPr="00C51DF3">
        <w:t>A</w:t>
      </w:r>
      <w:r w:rsidR="00F14ADC">
        <w:t xml:space="preserve">kut faz reaktanı </w:t>
      </w:r>
      <w:r w:rsidRPr="00C51DF3">
        <w:t xml:space="preserve">ölçümü </w:t>
      </w:r>
      <w:r w:rsidR="00F52B2F" w:rsidRPr="00C51DF3">
        <w:t>enfeksiyöz</w:t>
      </w:r>
      <w:r w:rsidRPr="00C51DF3">
        <w:t xml:space="preserve"> olan veya olmayan klinik durumları ayırt etmede de faydalı olabilir. Buna ek olarak enfeksiyonun yayılmasını, hastalığın klinik seyrini ve tedaviye olan cevabı</w:t>
      </w:r>
      <w:r>
        <w:t xml:space="preserve"> </w:t>
      </w:r>
      <w:r w:rsidRPr="00C51DF3">
        <w:t xml:space="preserve">takipte de kullanılır. Ayrıca prognozu belirlemede de yararlıdır </w:t>
      </w:r>
      <w:r>
        <w:fldChar w:fldCharType="begin" w:fldLock="1"/>
      </w:r>
      <w:r w:rsidR="0085653B">
        <w:instrText>ADDIN CSL_CITATION {"citationItems":[{"id":"ITEM-1","itemData":{"DOI":"10.1086/315214","ISSN":"0022-1899","abstract":"Serum concentrations of the proinflammatory cytokines tumor necrosis factor-alpha (TNF-alpha), interleukin (IL)-1beta, and IL-6, and the anti-inflammatory cytokine Il-10, and IL-1 receptor antagonists (IL-1ra) and soluble TNF receptors (sTNFRs) were measured in 65 patients with severe sepsis. All patients were evaluated clinically and microbiologically and were followed up for clinical outcome. Levels of both pro- and anti-inflammatory cytokines were significantly elevated in patients with sepsis. Elevated serum IL-10 and TNF-alpha levels and a high IL-10 to TNF-alpha ratio were associated with death, whereas higher levels of TNF-alpha, IL-6, IL-1ra, and sTNFR were detected in patients with an early hemodynamic deterioration. Interleukin-10 and IL-10:TNF-alpha ratio remained higher in nonsurvivors, whereas IL-10 paralleled the sepsis score. Although both the inflammatory and anti-inflammatory response is profoundly augmented in patients with severe sepsis, the sustained overproduction of the anti-inflammatory cytokine IL-10 is the main predictor of severity and fatal outcome.","author":[{"dropping-particle":"","family":"Gogos","given":"Charalambos A.","non-dropping-particle":"","parse-names":false,"suffix":""},{"dropping-particle":"","family":"Drosou","given":"Eugenia","non-dropping-particle":"","parse-names":false,"suffix":""},{"dropping-particle":"","family":"Bassaris","given":"Harry P.","non-dropping-particle":"","parse-names":false,"suffix":""},{"dropping-particle":"","family":"Skoutelis","given":"Athanassios","non-dropping-particle":"","parse-names":false,"suffix":""}],"container-title":"The Journal of Infectious Diseases","id":"ITEM-1","issue":"1","issued":{"date-parts":[["2000","1","1"]]},"page":"176-180","publisher":"Oxford University Press (OUP)","title":"Pro</w:instrText>
      </w:r>
      <w:r w:rsidR="0085653B">
        <w:rPr>
          <w:rFonts w:ascii="Cambria Math" w:hAnsi="Cambria Math" w:cs="Cambria Math"/>
        </w:rPr>
        <w:instrText>‐</w:instrText>
      </w:r>
      <w:r w:rsidR="0085653B">
        <w:instrText xml:space="preserve"> versus Anti</w:instrText>
      </w:r>
      <w:r w:rsidR="0085653B">
        <w:rPr>
          <w:rFonts w:ascii="Cambria Math" w:hAnsi="Cambria Math" w:cs="Cambria Math"/>
        </w:rPr>
        <w:instrText>‐</w:instrText>
      </w:r>
      <w:r w:rsidR="0085653B">
        <w:instrText>inflammatory Cytokine Profile in Patients with Severe Sepsis: A Marker for Prognosis and Future Therapeutic Options","type":"article-journal","volume":"181"},"uris":["http://www.mendeley.com/documents/?uuid=b05eba3b-65e6-3c9b-b79c-d9592dfc5392"]}],"mendeley":{"formattedCitation":"(58)","plainTextFormattedCitation":"(58)","previouslyFormattedCitation":"(58)"},"properties":{"noteIndex":0},"schema":"https://github.com/citation-style-language/schema/raw/master/csl-citation.json"}</w:instrText>
      </w:r>
      <w:r>
        <w:fldChar w:fldCharType="separate"/>
      </w:r>
      <w:r w:rsidR="0085653B" w:rsidRPr="0085653B">
        <w:rPr>
          <w:noProof/>
        </w:rPr>
        <w:t>(58)</w:t>
      </w:r>
      <w:r>
        <w:fldChar w:fldCharType="end"/>
      </w:r>
      <w:r w:rsidRPr="00C51DF3">
        <w:t xml:space="preserve">. </w:t>
      </w:r>
    </w:p>
    <w:p w14:paraId="31CB26AF" w14:textId="77777777" w:rsidR="00577025" w:rsidRPr="00217F4B" w:rsidRDefault="00577025" w:rsidP="00217F4B">
      <w:pPr>
        <w:pStyle w:val="Balk3"/>
        <w:numPr>
          <w:ilvl w:val="0"/>
          <w:numId w:val="0"/>
        </w:numPr>
        <w:ind w:left="720"/>
        <w:rPr>
          <w:color w:val="FF0000"/>
        </w:rPr>
      </w:pPr>
      <w:bookmarkStart w:id="490" w:name="_Toc45265924"/>
      <w:bookmarkStart w:id="491" w:name="_Toc55727820"/>
      <w:r w:rsidRPr="00994160">
        <w:t>C-Reaktif Protein (CRP)</w:t>
      </w:r>
      <w:bookmarkEnd w:id="490"/>
      <w:bookmarkEnd w:id="491"/>
    </w:p>
    <w:p w14:paraId="31CB26B0" w14:textId="0B9602A9" w:rsidR="00577025" w:rsidRDefault="00577025" w:rsidP="00577025">
      <w:pPr>
        <w:rPr>
          <w:color w:val="000000"/>
          <w:szCs w:val="24"/>
        </w:rPr>
      </w:pPr>
      <w:r w:rsidRPr="008768A6">
        <w:t>CRP karaciğerde sentez</w:t>
      </w:r>
      <w:r>
        <w:t>lenen</w:t>
      </w:r>
      <w:r w:rsidRPr="008768A6">
        <w:t xml:space="preserve"> </w:t>
      </w:r>
      <w:r>
        <w:t>akut faz proteinlerindendir.</w:t>
      </w:r>
      <w:r w:rsidRPr="008768A6">
        <w:t xml:space="preserve"> </w:t>
      </w:r>
      <w:r>
        <w:t>E</w:t>
      </w:r>
      <w:r w:rsidRPr="003656DA">
        <w:t xml:space="preserve">nfeksiyona veya </w:t>
      </w:r>
      <w:r>
        <w:t>enflamasyo</w:t>
      </w:r>
      <w:r w:rsidRPr="003656DA">
        <w:t>na cevap olarak</w:t>
      </w:r>
      <w:r w:rsidRPr="008768A6">
        <w:t xml:space="preserve"> </w:t>
      </w:r>
      <w:r w:rsidRPr="003656DA">
        <w:t>IL-6, IL-1 ve TNF gibi sitokinler</w:t>
      </w:r>
      <w:r w:rsidR="00F14ADC">
        <w:t xml:space="preserve"> </w:t>
      </w:r>
      <w:r w:rsidRPr="003656DA">
        <w:t xml:space="preserve">tarafından CRP üretimi </w:t>
      </w:r>
      <w:r>
        <w:t xml:space="preserve">uyarılır. </w:t>
      </w:r>
      <w:r w:rsidRPr="00C51DF3">
        <w:rPr>
          <w:color w:val="000000"/>
          <w:szCs w:val="24"/>
        </w:rPr>
        <w:t>CRP yüksekliği</w:t>
      </w:r>
      <w:r>
        <w:rPr>
          <w:color w:val="000000"/>
          <w:szCs w:val="24"/>
        </w:rPr>
        <w:t>,</w:t>
      </w:r>
      <w:r w:rsidRPr="00C51DF3">
        <w:rPr>
          <w:color w:val="000000"/>
          <w:szCs w:val="24"/>
        </w:rPr>
        <w:t xml:space="preserve"> ateş ve </w:t>
      </w:r>
      <w:r w:rsidR="00F52B2F" w:rsidRPr="00C51DF3">
        <w:rPr>
          <w:color w:val="000000"/>
          <w:szCs w:val="24"/>
        </w:rPr>
        <w:t>nötrofil</w:t>
      </w:r>
      <w:r w:rsidRPr="00C51DF3">
        <w:rPr>
          <w:color w:val="000000"/>
          <w:szCs w:val="24"/>
        </w:rPr>
        <w:t xml:space="preserve"> yokluğunda bile gizli enfeksiyonların </w:t>
      </w:r>
      <w:r>
        <w:rPr>
          <w:color w:val="000000"/>
          <w:szCs w:val="24"/>
        </w:rPr>
        <w:t xml:space="preserve">varlığını gösterebilir </w:t>
      </w:r>
      <w:r>
        <w:rPr>
          <w:color w:val="000000"/>
          <w:szCs w:val="24"/>
        </w:rPr>
        <w:fldChar w:fldCharType="begin" w:fldLock="1"/>
      </w:r>
      <w:r w:rsidR="0085653B">
        <w:rPr>
          <w:color w:val="000000"/>
          <w:szCs w:val="24"/>
        </w:rPr>
        <w:instrText>ADDIN CSL_CITATION {"citationItems":[{"id":"ITEM-1","itemData":{"id":"ITEM-1","issued":{"date-parts":[["0"]]},"title":"Dinarello CA. The acute phase response. In: Bennett JC, Plum F (eds). Cecil Textbook of Medicine. 20th ed, Philadelphia, WB Saunders, 1996: 1535-7.","type":"article-journal"},"uris":["http://www.mendeley.com/documents/?uuid=d1316234-cf3b-4953-9a96-9081d064da56"]}],"mendeley":{"formattedCitation":"(57)","plainTextFormattedCitation":"(57)","previouslyFormattedCitation":"(57)"},"properties":{"noteIndex":0},"schema":"https://github.com/citation-style-language/schema/raw/master/csl-citation.json"}</w:instrText>
      </w:r>
      <w:r>
        <w:rPr>
          <w:color w:val="000000"/>
          <w:szCs w:val="24"/>
        </w:rPr>
        <w:fldChar w:fldCharType="separate"/>
      </w:r>
      <w:r w:rsidR="0085653B" w:rsidRPr="0085653B">
        <w:rPr>
          <w:noProof/>
          <w:color w:val="000000"/>
          <w:szCs w:val="24"/>
        </w:rPr>
        <w:t>(57)</w:t>
      </w:r>
      <w:r>
        <w:rPr>
          <w:color w:val="000000"/>
          <w:szCs w:val="24"/>
        </w:rPr>
        <w:fldChar w:fldCharType="end"/>
      </w:r>
      <w:r w:rsidRPr="00C51DF3">
        <w:rPr>
          <w:color w:val="000000"/>
          <w:szCs w:val="24"/>
        </w:rPr>
        <w:t xml:space="preserve">. </w:t>
      </w:r>
      <w:r>
        <w:t xml:space="preserve"> </w:t>
      </w:r>
      <w:r w:rsidRPr="008768A6">
        <w:t>Sağlıklı bir</w:t>
      </w:r>
      <w:r>
        <w:t xml:space="preserve"> </w:t>
      </w:r>
      <w:r w:rsidRPr="008768A6">
        <w:t xml:space="preserve">yetişkinde plazma CRP düzeyi 10 </w:t>
      </w:r>
      <w:r w:rsidR="00742672">
        <w:t>mg/dl</w:t>
      </w:r>
      <w:r w:rsidR="00994160">
        <w:t xml:space="preserve"> den</w:t>
      </w:r>
      <w:r w:rsidRPr="008768A6">
        <w:t xml:space="preserve"> </w:t>
      </w:r>
      <w:r>
        <w:t>azdır</w:t>
      </w:r>
      <w:r w:rsidR="00994160">
        <w:t xml:space="preserve"> ve</w:t>
      </w:r>
      <w:r>
        <w:t xml:space="preserve"> </w:t>
      </w:r>
      <w:r w:rsidR="00E90B76" w:rsidRPr="008768A6">
        <w:t>inflamatuar</w:t>
      </w:r>
      <w:r w:rsidRPr="008768A6">
        <w:t xml:space="preserve"> uyarıya bağlı olarak</w:t>
      </w:r>
      <w:r>
        <w:t xml:space="preserve"> </w:t>
      </w:r>
      <w:r w:rsidRPr="008768A6">
        <w:t xml:space="preserve">plazma düzeyleri yükselir </w:t>
      </w:r>
      <w:r>
        <w:fldChar w:fldCharType="begin" w:fldLock="1"/>
      </w:r>
      <w:r w:rsidR="0085653B">
        <w:instrText>ADDIN CSL_CITATION {"citationItems":[{"id":"ITEM-1","itemData":{"DOI":"10.1016/0167-5699(94)90138-4","ISSN":"01675699","abstract":"Following an acute phase stimulus, such as infection or physical injury, many liver-derived plasma proteins are increased in concentration. These provide enhanced protection against invading micro-organisms, limit tissue damage and promote a rapid return to homeostasis. Diana Steel and Alexander Whitehead discuss the gene structure, regulation and possible clinical significance of the most dramatically induced acute phase reactants. © 1994.","author":[{"dropping-particle":"","family":"Steel","given":"Diana M.","non-dropping-particle":"","parse-names":false,"suffix":""},{"dropping-particle":"","family":"Whitehead","given":"Alexander S.","non-dropping-particle":"","parse-names":false,"suffix":""}],"container-title":"Immunology Today","id":"ITEM-1","issue":"2","issued":{"date-parts":[["1994","2","1"]]},"page":"81-88","publisher":"Elsevier Current Trends","title":"The major acute phase reactants: C-reactive protein, serum amyloid P component and serum amyloid A protein","type":"article-journal","volume":"15"},"uris":["http://www.mendeley.com/documents/?uuid=27f23b33-deff-34de-b376-4a26fe9ed8d2"]}],"mendeley":{"formattedCitation":"(59)","plainTextFormattedCitation":"(59)","previouslyFormattedCitation":"(59)"},"properties":{"noteIndex":0},"schema":"https://github.com/citation-style-language/schema/raw/master/csl-citation.json"}</w:instrText>
      </w:r>
      <w:r>
        <w:fldChar w:fldCharType="separate"/>
      </w:r>
      <w:r w:rsidR="0085653B" w:rsidRPr="0085653B">
        <w:rPr>
          <w:noProof/>
        </w:rPr>
        <w:t>(59)</w:t>
      </w:r>
      <w:r>
        <w:fldChar w:fldCharType="end"/>
      </w:r>
      <w:r w:rsidRPr="008768A6">
        <w:t xml:space="preserve">. CRP salgılanması </w:t>
      </w:r>
      <w:r w:rsidR="00E90B76" w:rsidRPr="008768A6">
        <w:t>inflamatuar</w:t>
      </w:r>
      <w:r w:rsidRPr="008768A6">
        <w:t xml:space="preserve"> uyarıyı takip eden 4–6.</w:t>
      </w:r>
      <w:r>
        <w:t xml:space="preserve"> </w:t>
      </w:r>
      <w:r w:rsidRPr="008768A6">
        <w:t xml:space="preserve">saatlerde başlar, her 8 saatte iki katına çıkar ve 36–50. saatte </w:t>
      </w:r>
      <w:r w:rsidR="00994160">
        <w:t>peak</w:t>
      </w:r>
      <w:r>
        <w:t xml:space="preserve"> noktasını g</w:t>
      </w:r>
      <w:r w:rsidRPr="008768A6">
        <w:t xml:space="preserve">örür </w:t>
      </w:r>
      <w:r>
        <w:fldChar w:fldCharType="begin" w:fldLock="1"/>
      </w:r>
      <w:r w:rsidR="0085653B">
        <w:instrText>ADDIN CSL_CITATION {"citationItems":[{"id":"ITEM-1","itemData":{"DOI":"10.1007/s00134-002-1209-6","ISSN":"03424642","PMID":"11904651","author":[{"dropping-particle":"","family":"Póvoa","given":"Pedro","non-dropping-particle":"","parse-names":false,"suffix":""}],"container-title":"Intensive Care Medicine","id":"ITEM-1","issue":"3","issued":{"date-parts":[["2002","2","6"]]},"page":"235-243","publisher":"Springer","title":"C-reactive protein: A valuable marker of sepsis","type":"article","volume":"28"},"uris":["http://www.mendeley.com/documents/?uuid=0fa107e2-8428-3a21-a01e-71d5821449c2"]}],"mendeley":{"formattedCitation":"(60)","plainTextFormattedCitation":"(60)","previouslyFormattedCitation":"(60)"},"properties":{"noteIndex":0},"schema":"https://github.com/citation-style-language/schema/raw/master/csl-citation.json"}</w:instrText>
      </w:r>
      <w:r>
        <w:fldChar w:fldCharType="separate"/>
      </w:r>
      <w:r w:rsidR="0085653B" w:rsidRPr="0085653B">
        <w:rPr>
          <w:noProof/>
        </w:rPr>
        <w:t>(60)</w:t>
      </w:r>
      <w:r>
        <w:fldChar w:fldCharType="end"/>
      </w:r>
      <w:r w:rsidRPr="008768A6">
        <w:t>.</w:t>
      </w:r>
      <w:r>
        <w:t xml:space="preserve"> </w:t>
      </w:r>
      <w:r w:rsidR="00994160">
        <w:t xml:space="preserve">CRP </w:t>
      </w:r>
      <w:r w:rsidRPr="003656DA">
        <w:t xml:space="preserve">seviyesinin bir önceki güne göre %25 artması büyük ihtimalle sepsisi düşündürür </w:t>
      </w:r>
      <w:r>
        <w:fldChar w:fldCharType="begin" w:fldLock="1"/>
      </w:r>
      <w:r w:rsidR="0085653B">
        <w:instrText>ADDIN CSL_CITATION {"citationItems":[{"id":"ITEM-1","itemData":{"DOI":"10.1007/s00134-002-1209-6","ISSN":"03424642","PMID":"11904651","author":[{"dropping-particle":"","family":"Póvoa","given":"Pedro","non-dropping-particle":"","parse-names":false,"suffix":""}],"container-title":"Intensive Care Medicine","id":"ITEM-1","issue":"3","issued":{"date-parts":[["2002","2","6"]]},"page":"235-243","publisher":"Springer","title":"C-reactive protein: A valuable marker of sepsis","type":"article","volume":"28"},"uris":["http://www.mendeley.com/documents/?uuid=0fa107e2-8428-3a21-a01e-71d5821449c2"]}],"mendeley":{"formattedCitation":"(60)","plainTextFormattedCitation":"(60)","previouslyFormattedCitation":"(60)"},"properties":{"noteIndex":0},"schema":"https://github.com/citation-style-language/schema/raw/master/csl-citation.json"}</w:instrText>
      </w:r>
      <w:r>
        <w:fldChar w:fldCharType="separate"/>
      </w:r>
      <w:r w:rsidR="0085653B" w:rsidRPr="0085653B">
        <w:rPr>
          <w:noProof/>
        </w:rPr>
        <w:t>(60)</w:t>
      </w:r>
      <w:r>
        <w:fldChar w:fldCharType="end"/>
      </w:r>
      <w:r w:rsidRPr="003656DA">
        <w:t>.</w:t>
      </w:r>
      <w:r>
        <w:t xml:space="preserve"> </w:t>
      </w:r>
      <w:r w:rsidRPr="008768A6">
        <w:t>Yarılanma ömrü yaklaşık 18-19 saat</w:t>
      </w:r>
      <w:r>
        <w:t xml:space="preserve"> </w:t>
      </w:r>
      <w:r w:rsidRPr="008768A6">
        <w:t xml:space="preserve">arasında olup </w:t>
      </w:r>
      <w:r w:rsidR="00CE4583">
        <w:t>enflamasy</w:t>
      </w:r>
      <w:r w:rsidRPr="008768A6">
        <w:t>onun bitmesinden sonra ortalama 3-5 gün içinde normal seviyeye</w:t>
      </w:r>
      <w:r>
        <w:t xml:space="preserve"> </w:t>
      </w:r>
      <w:r w:rsidRPr="008768A6">
        <w:t>düşer.</w:t>
      </w:r>
      <w:r>
        <w:t xml:space="preserve"> </w:t>
      </w:r>
      <w:r w:rsidRPr="003656DA">
        <w:t>Kan seviyesindeki post</w:t>
      </w:r>
      <w:r>
        <w:t>-</w:t>
      </w:r>
      <w:r w:rsidR="00E90B76" w:rsidRPr="003656DA">
        <w:t>inflamatuar</w:t>
      </w:r>
      <w:r w:rsidR="00994160">
        <w:t xml:space="preserve"> </w:t>
      </w:r>
      <w:r w:rsidR="00994160" w:rsidRPr="003656DA">
        <w:t>hızlı</w:t>
      </w:r>
      <w:r w:rsidR="00994160">
        <w:t xml:space="preserve"> azalma hastalığın</w:t>
      </w:r>
      <w:r w:rsidRPr="003656DA">
        <w:t xml:space="preserve"> aktivitesini değerlendirmede </w:t>
      </w:r>
      <w:r w:rsidRPr="003656DA">
        <w:lastRenderedPageBreak/>
        <w:t xml:space="preserve">yararlıdır. CRP düzeyi anemi, polisitemi, protein miktarı, hasta yaşı ve cinsiyetinden etkilenmez. </w:t>
      </w:r>
      <w:r w:rsidRPr="008768A6">
        <w:t>CRP’nin enfeksiyona spesifik</w:t>
      </w:r>
      <w:r>
        <w:t xml:space="preserve"> </w:t>
      </w:r>
      <w:r w:rsidRPr="008768A6">
        <w:t xml:space="preserve">olmamasına bağlı olarak </w:t>
      </w:r>
      <w:r w:rsidRPr="00C51DF3">
        <w:rPr>
          <w:color w:val="000000"/>
          <w:szCs w:val="24"/>
        </w:rPr>
        <w:t>sepsiste</w:t>
      </w:r>
      <w:r>
        <w:rPr>
          <w:color w:val="000000"/>
          <w:szCs w:val="24"/>
        </w:rPr>
        <w:t>,</w:t>
      </w:r>
      <w:r w:rsidRPr="00C51DF3">
        <w:rPr>
          <w:color w:val="000000"/>
          <w:szCs w:val="24"/>
        </w:rPr>
        <w:t xml:space="preserve"> özellikle tedavi takibinde</w:t>
      </w:r>
      <w:r w:rsidR="00994160">
        <w:rPr>
          <w:color w:val="000000"/>
          <w:szCs w:val="24"/>
        </w:rPr>
        <w:t xml:space="preserve"> ve</w:t>
      </w:r>
      <w:r w:rsidRPr="00C51DF3">
        <w:rPr>
          <w:color w:val="000000"/>
          <w:szCs w:val="24"/>
        </w:rPr>
        <w:t xml:space="preserve"> prognoz tayininde tek başına güvenilir sonuçlar vermeyeceği düşünülmektedir.</w:t>
      </w:r>
    </w:p>
    <w:p w14:paraId="31CB26B1" w14:textId="77777777" w:rsidR="00577025" w:rsidRPr="00D44EF5" w:rsidRDefault="00577025" w:rsidP="00577025">
      <w:pPr>
        <w:pStyle w:val="Balk3"/>
        <w:numPr>
          <w:ilvl w:val="0"/>
          <w:numId w:val="0"/>
        </w:numPr>
        <w:ind w:left="720"/>
      </w:pPr>
      <w:bookmarkStart w:id="492" w:name="_Toc45265925"/>
      <w:bookmarkStart w:id="493" w:name="_Toc55727821"/>
      <w:r w:rsidRPr="00D44EF5">
        <w:t>Prokalsitonin (PCT)</w:t>
      </w:r>
      <w:bookmarkEnd w:id="492"/>
      <w:bookmarkEnd w:id="493"/>
    </w:p>
    <w:p w14:paraId="31CB26B2" w14:textId="6C3BA08A" w:rsidR="00577025" w:rsidRDefault="00577025" w:rsidP="004E7F98">
      <w:pPr>
        <w:rPr>
          <w:color w:val="000000"/>
          <w:szCs w:val="24"/>
        </w:rPr>
      </w:pPr>
      <w:r w:rsidRPr="003656DA">
        <w:t>Prokalsitonin tiroit bezinin C-hücrelerinde üretilir, kalsitoninin pro</w:t>
      </w:r>
      <w:r>
        <w:t>-</w:t>
      </w:r>
      <w:r w:rsidRPr="003656DA">
        <w:t>peptididir.</w:t>
      </w:r>
      <w:r>
        <w:t xml:space="preserve"> </w:t>
      </w:r>
      <w:r w:rsidRPr="003656DA">
        <w:t xml:space="preserve">Normalde dolaşımda çok az miktarda bulunur. </w:t>
      </w:r>
      <w:r>
        <w:t>Normal plazma PCT seviyesi yaklaşık 0</w:t>
      </w:r>
      <w:r w:rsidRPr="003656DA">
        <w:t>-0</w:t>
      </w:r>
      <w:r>
        <w:t>,5</w:t>
      </w:r>
      <w:r w:rsidRPr="003656DA">
        <w:t xml:space="preserve"> </w:t>
      </w:r>
      <w:r>
        <w:t>n</w:t>
      </w:r>
      <w:r w:rsidRPr="003656DA">
        <w:t>g/mL’dir</w:t>
      </w:r>
      <w:r>
        <w:t>. D</w:t>
      </w:r>
      <w:r w:rsidRPr="00447FD7">
        <w:rPr>
          <w:color w:val="000000"/>
          <w:szCs w:val="24"/>
        </w:rPr>
        <w:t>üzey</w:t>
      </w:r>
      <w:r>
        <w:rPr>
          <w:color w:val="000000"/>
          <w:szCs w:val="24"/>
        </w:rPr>
        <w:t>i</w:t>
      </w:r>
      <w:r w:rsidRPr="00447FD7">
        <w:rPr>
          <w:color w:val="000000"/>
          <w:szCs w:val="24"/>
        </w:rPr>
        <w:t xml:space="preserve"> 0,5 ng/ml ve altında</w:t>
      </w:r>
      <w:r w:rsidR="00994160">
        <w:rPr>
          <w:color w:val="000000"/>
          <w:szCs w:val="24"/>
        </w:rPr>
        <w:t xml:space="preserve">ki hastalarda </w:t>
      </w:r>
      <w:r w:rsidRPr="00447FD7">
        <w:rPr>
          <w:color w:val="000000"/>
          <w:szCs w:val="24"/>
        </w:rPr>
        <w:t>ciddi sepsis veya septik şok</w:t>
      </w:r>
      <w:r>
        <w:rPr>
          <w:color w:val="000000"/>
          <w:szCs w:val="24"/>
        </w:rPr>
        <w:t xml:space="preserve"> </w:t>
      </w:r>
      <w:r w:rsidRPr="00447FD7">
        <w:rPr>
          <w:color w:val="000000"/>
          <w:szCs w:val="24"/>
        </w:rPr>
        <w:t>görülmemektedir</w:t>
      </w:r>
      <w:r>
        <w:rPr>
          <w:color w:val="000000"/>
          <w:szCs w:val="24"/>
        </w:rPr>
        <w:t>;</w:t>
      </w:r>
      <w:r w:rsidRPr="00447FD7">
        <w:rPr>
          <w:color w:val="000000"/>
          <w:szCs w:val="24"/>
        </w:rPr>
        <w:t xml:space="preserve"> ancak 2 ng/ml üzerine çıktığında risk artmaktadır</w:t>
      </w:r>
      <w:r>
        <w:rPr>
          <w:color w:val="000000"/>
          <w:szCs w:val="24"/>
        </w:rPr>
        <w:t xml:space="preserve">. </w:t>
      </w:r>
      <w:r w:rsidRPr="00447FD7">
        <w:rPr>
          <w:color w:val="000000"/>
          <w:szCs w:val="24"/>
        </w:rPr>
        <w:t>10</w:t>
      </w:r>
      <w:r>
        <w:rPr>
          <w:color w:val="000000"/>
          <w:szCs w:val="24"/>
        </w:rPr>
        <w:t xml:space="preserve"> </w:t>
      </w:r>
      <w:r w:rsidRPr="00447FD7">
        <w:rPr>
          <w:color w:val="000000"/>
          <w:szCs w:val="24"/>
        </w:rPr>
        <w:t>ng/ml üzerinde genellikle organ yetmezliği gelişir. Lokalize enfeksiyonlarda sistemik</w:t>
      </w:r>
      <w:r>
        <w:rPr>
          <w:color w:val="000000"/>
          <w:szCs w:val="24"/>
        </w:rPr>
        <w:t xml:space="preserve"> </w:t>
      </w:r>
      <w:r w:rsidRPr="00447FD7">
        <w:rPr>
          <w:color w:val="000000"/>
          <w:szCs w:val="24"/>
        </w:rPr>
        <w:t>yanıt olmayacağından PCT düzeyleri yükselmez</w:t>
      </w:r>
      <w:r>
        <w:rPr>
          <w:color w:val="000000"/>
          <w:szCs w:val="24"/>
        </w:rPr>
        <w:t xml:space="preserve"> </w:t>
      </w:r>
      <w:r>
        <w:rPr>
          <w:color w:val="000000"/>
          <w:szCs w:val="24"/>
        </w:rPr>
        <w:fldChar w:fldCharType="begin" w:fldLock="1"/>
      </w:r>
      <w:r w:rsidR="0085653B">
        <w:rPr>
          <w:color w:val="000000"/>
          <w:szCs w:val="24"/>
        </w:rPr>
        <w:instrText>ADDIN CSL_CITATION {"citationItems":[{"id":"ITEM-1","itemData":{"URL":"https://journals.lww.com/ccmjournal/Fulltext/1997/04000/L_arginine__Nitric_oxide_pathway_in_endotoxemia.9.aspx","accessed":{"date-parts":[["2020","6","22"]]},"id":"ITEM-1","issued":{"date-parts":[["0"]]},"title":"Cytokines, nitrite/nitrate, soluble tumor necrosis factor re... : Critical Care Medicine","type":"webpage"},"uris":["http://www.mendeley.com/documents/?uuid=1602215e-9c6a-3eb3-97cb-683c71a16909"]}],"mendeley":{"formattedCitation":"(61)","plainTextFormattedCitation":"(61)","previouslyFormattedCitation":"(61)"},"properties":{"noteIndex":0},"schema":"https://github.com/citation-style-language/schema/raw/master/csl-citation.json"}</w:instrText>
      </w:r>
      <w:r>
        <w:rPr>
          <w:color w:val="000000"/>
          <w:szCs w:val="24"/>
        </w:rPr>
        <w:fldChar w:fldCharType="separate"/>
      </w:r>
      <w:r w:rsidR="0085653B" w:rsidRPr="0085653B">
        <w:rPr>
          <w:noProof/>
          <w:color w:val="000000"/>
          <w:szCs w:val="24"/>
        </w:rPr>
        <w:t>(61)</w:t>
      </w:r>
      <w:r>
        <w:rPr>
          <w:color w:val="000000"/>
          <w:szCs w:val="24"/>
        </w:rPr>
        <w:fldChar w:fldCharType="end"/>
      </w:r>
      <w:r w:rsidRPr="00447FD7">
        <w:rPr>
          <w:color w:val="000000"/>
          <w:szCs w:val="24"/>
        </w:rPr>
        <w:t xml:space="preserve">. </w:t>
      </w:r>
      <w:r>
        <w:rPr>
          <w:color w:val="000000"/>
          <w:szCs w:val="24"/>
        </w:rPr>
        <w:t>PCT’nin</w:t>
      </w:r>
      <w:r w:rsidRPr="003656DA">
        <w:t xml:space="preserve"> </w:t>
      </w:r>
      <w:r>
        <w:t>y</w:t>
      </w:r>
      <w:r w:rsidRPr="003656DA">
        <w:t>arı ömrü 22-23 saattir</w:t>
      </w:r>
      <w:r>
        <w:t xml:space="preserve"> </w:t>
      </w:r>
      <w:r>
        <w:fldChar w:fldCharType="begin" w:fldLock="1"/>
      </w:r>
      <w:r w:rsidR="0085653B">
        <w:instrText>ADDIN CSL_CITATION {"citationItems":[{"id":"ITEM-1","itemData":{"DOI":"10.1210/jcem.79.6.7989463","ISSN":"0021-972X","abstract":"As procalcitonin concentrations have been shown to be elevated in patients with septicemia and gram-negative infections in particular, we proceeded to investigate the effect of endotoxin, a product of gram-negative bacteria, on procalcitonin concentrations in normal human volunteers. Endotoxin from Escherichia coli 0113:H10:k, was injected i.v. at a dose of 4 mg/kg BW into these healthy volunteers. Blood samples were obtained before and 1, 2, 4, 6, 8, and 24 h after injection of the endotoxin. Each patient's cardiovascular and overall clinical status was monitored over this period. The patients developed chills and rigors, myalgia, and fever between 1-3 h. Tumor necrosis factor-alpha levels increased sharply at 1 h and peaked at 90 min, reaching the baseline concentration thereafter by 6 h. Interleukin-6 levels increased more gradually, peaking at 3 h and reaching the baseline concentration at 8 h. The procalcitonin concentration, which was undetectable (&lt; 10 pg/mL) at 0, 1, and 2 h, was detectable at 4 h and peaked at 6 h, maintaining a plateau through 8 and 24 h (4 ng/mL). There was no elevation of calcitonin concentrations, which remained below 10 pg/mL, the lowest sensitivity of the assay. Procalcitonin was measured by a two-antibody immunoradiometric assay specific for this peptide, with no cross-reactivity with calcitonin, katacalcin, or calcitonin gene-related peptide. We conclude that endotoxin induces the release of procalcitonin systemically, that this increase is not associated with an increase in calcitonin, and that the increase in procalcitonin associated with septicemia in patients may be mediated through the effect of endotoxin described here. Whether procalcitonin participates in the mechanisms underlying inflammation remains to be investigated. © 1994 by The Endocrine Society.","author":[{"dropping-particle":"","family":"Dandona","given":"P","non-dropping-particle":"","parse-names":false,"suffix":""},{"dropping-particle":"","family":"Nix","given":"D","non-dropping-particle":"","parse-names":false,"suffix":""},{"dropping-particle":"","family":"Wilson","given":"M F","non-dropping-particle":"","parse-names":false,"suffix":""},{"dropping-particle":"","family":"Aljada","given":"A","non-dropping-particle":"","parse-names":false,"suffix":""},{"dropping-particle":"","family":"Love","given":"J","non-dropping-particle":"","parse-names":false,"suffix":""},{"dropping-particle":"","family":"Assicot","given":"M","non-dropping-particle":"","parse-names":false,"suffix":""},{"dropping-particle":"","family":"Bohuon","given":"C","non-dropping-particle":"","parse-names":false,"suffix":""}],"container-title":"The Journal of Clinical Endocrinology &amp; Metabolism","id":"ITEM-1","issue":"6","issued":{"date-parts":[["1994","12","1"]]},"page":"1605-1608","publisher":"Oxford Academic","title":"Procalcitonin increase after endotoxin injection in normal subjects.","type":"article-journal","volume":"79"},"uris":["http://www.mendeley.com/documents/?uuid=11b0207e-4a3d-3da4-bdaf-6d781ea3e0d4"]}],"mendeley":{"formattedCitation":"(62)","plainTextFormattedCitation":"(62)","previouslyFormattedCitation":"(62)"},"properties":{"noteIndex":0},"schema":"https://github.com/citation-style-language/schema/raw/master/csl-citation.json"}</w:instrText>
      </w:r>
      <w:r>
        <w:fldChar w:fldCharType="separate"/>
      </w:r>
      <w:r w:rsidR="0085653B" w:rsidRPr="0085653B">
        <w:rPr>
          <w:noProof/>
        </w:rPr>
        <w:t>(62)</w:t>
      </w:r>
      <w:r>
        <w:fldChar w:fldCharType="end"/>
      </w:r>
      <w:r w:rsidRPr="003656DA">
        <w:t>. Ama böbrek fonksiyon bozukluğunda yarı ömrü %30</w:t>
      </w:r>
      <w:r>
        <w:t xml:space="preserve"> artabilir</w:t>
      </w:r>
      <w:r w:rsidRPr="003656DA">
        <w:t>.</w:t>
      </w:r>
      <w:r>
        <w:t xml:space="preserve"> </w:t>
      </w:r>
      <w:r>
        <w:rPr>
          <w:color w:val="000000"/>
          <w:szCs w:val="24"/>
        </w:rPr>
        <w:t>PCT, sıklıkla bakteriyel ve fungal enfeksiyonlarda artmaktadır</w:t>
      </w:r>
      <w:r w:rsidRPr="00C51DF3">
        <w:rPr>
          <w:color w:val="000000"/>
          <w:szCs w:val="24"/>
        </w:rPr>
        <w:t xml:space="preserve">. Viral enfeksiyonlar ve sistemik </w:t>
      </w:r>
      <w:r w:rsidR="00F52B2F" w:rsidRPr="00C51DF3">
        <w:rPr>
          <w:color w:val="000000"/>
          <w:szCs w:val="24"/>
        </w:rPr>
        <w:t>immünolojik</w:t>
      </w:r>
      <w:r w:rsidRPr="00C51DF3">
        <w:rPr>
          <w:color w:val="000000"/>
          <w:szCs w:val="24"/>
        </w:rPr>
        <w:t xml:space="preserve"> hastalıklarda PCT düzeyinde belirgin bir artış beklenmez. </w:t>
      </w:r>
      <w:r>
        <w:rPr>
          <w:color w:val="000000"/>
          <w:szCs w:val="24"/>
        </w:rPr>
        <w:t>N</w:t>
      </w:r>
      <w:r w:rsidRPr="00C51DF3">
        <w:rPr>
          <w:color w:val="000000"/>
          <w:szCs w:val="24"/>
        </w:rPr>
        <w:t xml:space="preserve">ekroz, </w:t>
      </w:r>
      <w:r w:rsidR="00CE4583">
        <w:rPr>
          <w:color w:val="000000"/>
          <w:szCs w:val="24"/>
        </w:rPr>
        <w:t>enflamasy</w:t>
      </w:r>
      <w:r w:rsidRPr="00C51DF3">
        <w:rPr>
          <w:color w:val="000000"/>
          <w:szCs w:val="24"/>
        </w:rPr>
        <w:t xml:space="preserve">on ve viral enfeksiyonlarda </w:t>
      </w:r>
      <w:r>
        <w:rPr>
          <w:color w:val="000000"/>
          <w:szCs w:val="24"/>
        </w:rPr>
        <w:t>s</w:t>
      </w:r>
      <w:r w:rsidRPr="00C51DF3">
        <w:rPr>
          <w:color w:val="000000"/>
          <w:szCs w:val="24"/>
        </w:rPr>
        <w:t>itokinler ve CRP‘nin aksine</w:t>
      </w:r>
      <w:r>
        <w:rPr>
          <w:color w:val="000000"/>
          <w:szCs w:val="24"/>
        </w:rPr>
        <w:t>,</w:t>
      </w:r>
      <w:r w:rsidRPr="00C51DF3">
        <w:rPr>
          <w:color w:val="000000"/>
          <w:szCs w:val="24"/>
        </w:rPr>
        <w:t xml:space="preserve"> PCT seviyelerinde önemli bir artış görülme</w:t>
      </w:r>
      <w:r>
        <w:rPr>
          <w:color w:val="000000"/>
          <w:szCs w:val="24"/>
        </w:rPr>
        <w:t xml:space="preserve">z. </w:t>
      </w:r>
      <w:r w:rsidRPr="00C51DF3">
        <w:rPr>
          <w:color w:val="000000"/>
          <w:szCs w:val="24"/>
        </w:rPr>
        <w:t>PCT</w:t>
      </w:r>
      <w:r>
        <w:rPr>
          <w:color w:val="000000"/>
          <w:szCs w:val="24"/>
        </w:rPr>
        <w:t>’</w:t>
      </w:r>
      <w:r w:rsidRPr="00C51DF3">
        <w:rPr>
          <w:color w:val="000000"/>
          <w:szCs w:val="24"/>
        </w:rPr>
        <w:t xml:space="preserve">nin bakteriyel enfeksiyonlara özgü olduğu kabul edilmektedir </w:t>
      </w:r>
      <w:r>
        <w:rPr>
          <w:color w:val="000000"/>
          <w:szCs w:val="24"/>
        </w:rPr>
        <w:fldChar w:fldCharType="begin" w:fldLock="1"/>
      </w:r>
      <w:r w:rsidR="0085653B">
        <w:rPr>
          <w:color w:val="000000"/>
          <w:szCs w:val="24"/>
        </w:rPr>
        <w:instrText>ADDIN CSL_CITATION {"citationItems":[{"id":"ITEM-1","itemData":{"URL":"https://www.infona.pl/resource/bwmeta1.element.springer-70d3200b-39b8-32a8-97d4-0a664ea7d759","accessed":{"date-parts":[["2020","6","21"]]},"id":"ITEM-1","issued":{"date-parts":[["0"]]},"title":"Procalcitonin Eigenschaften eines neuen Parameters bei schweren bakteriellen Infektionen und Sepsis","type":"webpage"},"uris":["http://www.mendeley.com/documents/?uuid=986521ee-685f-38f0-9b17-6574655dfda0"]}],"mendeley":{"formattedCitation":"(63)","plainTextFormattedCitation":"(63)","previouslyFormattedCitation":"(63)"},"properties":{"noteIndex":0},"schema":"https://github.com/citation-style-language/schema/raw/master/csl-citation.json"}</w:instrText>
      </w:r>
      <w:r>
        <w:rPr>
          <w:color w:val="000000"/>
          <w:szCs w:val="24"/>
        </w:rPr>
        <w:fldChar w:fldCharType="separate"/>
      </w:r>
      <w:r w:rsidR="0085653B" w:rsidRPr="0085653B">
        <w:rPr>
          <w:noProof/>
          <w:color w:val="000000"/>
          <w:szCs w:val="24"/>
        </w:rPr>
        <w:t>(63)</w:t>
      </w:r>
      <w:r>
        <w:rPr>
          <w:color w:val="000000"/>
          <w:szCs w:val="24"/>
        </w:rPr>
        <w:fldChar w:fldCharType="end"/>
      </w:r>
      <w:r w:rsidRPr="00C51DF3">
        <w:rPr>
          <w:color w:val="000000"/>
          <w:szCs w:val="24"/>
        </w:rPr>
        <w:t xml:space="preserve">. </w:t>
      </w:r>
      <w:r>
        <w:rPr>
          <w:color w:val="000000"/>
          <w:szCs w:val="24"/>
        </w:rPr>
        <w:t xml:space="preserve"> </w:t>
      </w:r>
    </w:p>
    <w:p w14:paraId="31CB26B3" w14:textId="77777777" w:rsidR="004E7F98" w:rsidRDefault="00577025" w:rsidP="00994160">
      <w:r w:rsidRPr="00447FD7">
        <w:t>PCT</w:t>
      </w:r>
      <w:r w:rsidR="00994160">
        <w:t>’nin</w:t>
      </w:r>
      <w:r w:rsidRPr="00447FD7">
        <w:t xml:space="preserve"> salgılanma yeri konus</w:t>
      </w:r>
      <w:r>
        <w:t xml:space="preserve">unda en çok benimsenen görüş, </w:t>
      </w:r>
      <w:r w:rsidR="004E7F98">
        <w:t>b</w:t>
      </w:r>
      <w:r w:rsidR="004E7F98" w:rsidRPr="004E7F98">
        <w:t xml:space="preserve">akterilerin uyarısı </w:t>
      </w:r>
      <w:r w:rsidR="004E7F98">
        <w:t xml:space="preserve">ile </w:t>
      </w:r>
      <w:r w:rsidRPr="00447FD7">
        <w:t>mononükleer hücreler</w:t>
      </w:r>
      <w:r w:rsidR="004E7F98">
        <w:t>den (</w:t>
      </w:r>
      <w:r w:rsidRPr="00447FD7">
        <w:t>makrofaj ve monositler</w:t>
      </w:r>
      <w:r w:rsidR="004E7F98">
        <w:t>)</w:t>
      </w:r>
      <w:r w:rsidRPr="00447FD7">
        <w:t xml:space="preserve"> olduğudur. </w:t>
      </w:r>
      <w:r w:rsidR="004E7F98" w:rsidRPr="004E7F98">
        <w:t>TNF-</w:t>
      </w:r>
      <w:r w:rsidR="004E7F98" w:rsidRPr="004E7F98">
        <w:rPr>
          <w:rFonts w:ascii="Symbol" w:hAnsi="Symbol"/>
        </w:rPr>
        <w:sym w:font="Symbol" w:char="F061"/>
      </w:r>
      <w:r w:rsidR="004E7F98" w:rsidRPr="004E7F98">
        <w:rPr>
          <w:rFonts w:ascii="Symbol" w:hAnsi="Symbol"/>
        </w:rPr>
        <w:t></w:t>
      </w:r>
      <w:r w:rsidR="004E7F98" w:rsidRPr="004E7F98">
        <w:t>ve IL-6 uyarısı ile KC’de sentezlenir</w:t>
      </w:r>
      <w:r w:rsidR="004E7F98">
        <w:t>.</w:t>
      </w:r>
    </w:p>
    <w:p w14:paraId="31CB26B4" w14:textId="5F43D304" w:rsidR="00F96E75" w:rsidRDefault="00166D5E" w:rsidP="00CC1A19">
      <w:pPr>
        <w:pStyle w:val="Balk3"/>
        <w:numPr>
          <w:ilvl w:val="0"/>
          <w:numId w:val="0"/>
        </w:numPr>
        <w:ind w:left="720"/>
      </w:pPr>
      <w:bookmarkStart w:id="494" w:name="_Toc45265926"/>
      <w:bookmarkStart w:id="495" w:name="_Toc55727822"/>
      <w:r>
        <w:t>Kan G</w:t>
      </w:r>
      <w:r w:rsidR="00CC1A19">
        <w:t xml:space="preserve">azı </w:t>
      </w:r>
      <w:r>
        <w:t>A</w:t>
      </w:r>
      <w:r w:rsidR="00CC1A19">
        <w:t>nalizi</w:t>
      </w:r>
      <w:bookmarkEnd w:id="494"/>
      <w:bookmarkEnd w:id="495"/>
    </w:p>
    <w:p w14:paraId="31CB26B5" w14:textId="4F5000B5" w:rsidR="00CC1A19" w:rsidRPr="00CC1A19" w:rsidRDefault="002226EC" w:rsidP="00CC1A19">
      <w:pPr>
        <w:jc w:val="left"/>
      </w:pPr>
      <w:r>
        <w:t>Sepsisli hastalarda asit-baz dengesizlikleri ve solunum yetmezliğinin takibinde kan gazı kullanılmaktadır. pH, PO2, PCO2, HCO3 ve baz açığı gibi parametreler hakkında bilgi verir. S</w:t>
      </w:r>
      <w:r w:rsidR="00CC1A19" w:rsidRPr="00CC1A19">
        <w:rPr>
          <w:color w:val="000000"/>
          <w:szCs w:val="24"/>
        </w:rPr>
        <w:t>epsis</w:t>
      </w:r>
      <w:r w:rsidR="00CC1A19">
        <w:rPr>
          <w:color w:val="000000"/>
          <w:szCs w:val="24"/>
        </w:rPr>
        <w:t>te takipne</w:t>
      </w:r>
      <w:r>
        <w:rPr>
          <w:color w:val="000000"/>
          <w:szCs w:val="24"/>
        </w:rPr>
        <w:t>ye bağlı</w:t>
      </w:r>
      <w:r w:rsidR="00CC1A19">
        <w:rPr>
          <w:color w:val="000000"/>
          <w:szCs w:val="24"/>
        </w:rPr>
        <w:t xml:space="preserve"> erken dönemde solunumsal alkaloz görülür</w:t>
      </w:r>
      <w:r>
        <w:rPr>
          <w:color w:val="000000"/>
          <w:szCs w:val="24"/>
        </w:rPr>
        <w:t>ken</w:t>
      </w:r>
      <w:r w:rsidR="00CC1A19" w:rsidRPr="00CC1A19">
        <w:rPr>
          <w:color w:val="000000"/>
          <w:szCs w:val="24"/>
        </w:rPr>
        <w:t xml:space="preserve">, geç </w:t>
      </w:r>
      <w:r>
        <w:rPr>
          <w:color w:val="000000"/>
          <w:szCs w:val="24"/>
        </w:rPr>
        <w:t>dönemde</w:t>
      </w:r>
      <w:r w:rsidR="00CC1A19" w:rsidRPr="00CC1A19">
        <w:rPr>
          <w:color w:val="000000"/>
          <w:szCs w:val="24"/>
        </w:rPr>
        <w:t xml:space="preserve"> metabolik asidoz görül</w:t>
      </w:r>
      <w:r>
        <w:rPr>
          <w:color w:val="000000"/>
          <w:szCs w:val="24"/>
        </w:rPr>
        <w:t xml:space="preserve">ür </w:t>
      </w:r>
      <w:r>
        <w:rPr>
          <w:color w:val="000000"/>
          <w:szCs w:val="24"/>
        </w:rPr>
        <w:fldChar w:fldCharType="begin" w:fldLock="1"/>
      </w:r>
      <w:r w:rsidR="0085653B">
        <w:rPr>
          <w:color w:val="000000"/>
          <w:szCs w:val="24"/>
        </w:rPr>
        <w:instrText>ADDIN CSL_CITATION {"citationItems":[{"id":"ITEM-1","itemData":{"id":"ITEM-1","issued":{"date-parts":[["0"]]},"title":"Şahinoğlu AH. Yoğun bakım sorunları ve Tedavileri. Türkiye Klinikleri Yayınevi, Ankara, 1992.","type":"article-journal"},"uris":["http://www.mendeley.com/documents/?uuid=38dc4e87-61e0-4c5a-ac1d-91a2b621446d"]}],"mendeley":{"formattedCitation":"(64)","plainTextFormattedCitation":"(64)","previouslyFormattedCitation":"(64)"},"properties":{"noteIndex":0},"schema":"https://github.com/citation-style-language/schema/raw/master/csl-citation.json"}</w:instrText>
      </w:r>
      <w:r>
        <w:rPr>
          <w:color w:val="000000"/>
          <w:szCs w:val="24"/>
        </w:rPr>
        <w:fldChar w:fldCharType="separate"/>
      </w:r>
      <w:r w:rsidR="0085653B" w:rsidRPr="0085653B">
        <w:rPr>
          <w:noProof/>
          <w:color w:val="000000"/>
          <w:szCs w:val="24"/>
        </w:rPr>
        <w:t>(64)</w:t>
      </w:r>
      <w:r>
        <w:rPr>
          <w:color w:val="000000"/>
          <w:szCs w:val="24"/>
        </w:rPr>
        <w:fldChar w:fldCharType="end"/>
      </w:r>
      <w:r>
        <w:rPr>
          <w:color w:val="000000"/>
          <w:szCs w:val="24"/>
        </w:rPr>
        <w:t xml:space="preserve">. </w:t>
      </w:r>
    </w:p>
    <w:p w14:paraId="31CB26B7" w14:textId="77777777" w:rsidR="00D70178" w:rsidRPr="004C7B8B" w:rsidRDefault="00D70178" w:rsidP="00D70178">
      <w:pPr>
        <w:pStyle w:val="Balk3"/>
        <w:numPr>
          <w:ilvl w:val="0"/>
          <w:numId w:val="0"/>
        </w:numPr>
        <w:ind w:left="720"/>
      </w:pPr>
      <w:bookmarkStart w:id="496" w:name="_Toc45265927"/>
      <w:bookmarkStart w:id="497" w:name="_Toc55727823"/>
      <w:r>
        <w:t>Laktat</w:t>
      </w:r>
      <w:bookmarkEnd w:id="496"/>
      <w:bookmarkEnd w:id="497"/>
    </w:p>
    <w:p w14:paraId="31CB26B8" w14:textId="13F12421" w:rsidR="00F96E75" w:rsidRDefault="00D70178" w:rsidP="00D34537">
      <w:pPr>
        <w:jc w:val="left"/>
      </w:pPr>
      <w:r w:rsidRPr="00C51DF3">
        <w:t>Laktat</w:t>
      </w:r>
      <w:r>
        <w:t>,</w:t>
      </w:r>
      <w:r w:rsidRPr="00C51DF3">
        <w:t xml:space="preserve"> dokulardaki anaerobik metabolizmanın ürünü olup adrenerjik stimulusa yanıt olarak ortaya çıkan bir akut faz reaktanıdır. </w:t>
      </w:r>
      <w:r w:rsidR="00D34537" w:rsidRPr="00D34537">
        <w:rPr>
          <w:color w:val="000000"/>
          <w:szCs w:val="24"/>
        </w:rPr>
        <w:t>Sepsiste</w:t>
      </w:r>
      <w:r w:rsidR="00D34537">
        <w:rPr>
          <w:color w:val="000000"/>
          <w:szCs w:val="24"/>
        </w:rPr>
        <w:t xml:space="preserve"> </w:t>
      </w:r>
      <w:r w:rsidR="00D34537" w:rsidRPr="00D34537">
        <w:rPr>
          <w:color w:val="000000"/>
          <w:szCs w:val="24"/>
        </w:rPr>
        <w:t xml:space="preserve">doku hipoksisinin şiddetiyle korele olarak plazma laktat düzeyi, </w:t>
      </w:r>
      <w:r w:rsidR="00D34537">
        <w:rPr>
          <w:color w:val="000000"/>
          <w:szCs w:val="24"/>
        </w:rPr>
        <w:t>3</w:t>
      </w:r>
      <w:r w:rsidR="00D34537" w:rsidRPr="00D34537">
        <w:rPr>
          <w:color w:val="000000"/>
          <w:szCs w:val="24"/>
        </w:rPr>
        <w:t xml:space="preserve"> ile </w:t>
      </w:r>
      <w:r w:rsidR="00D34537">
        <w:rPr>
          <w:color w:val="000000"/>
          <w:szCs w:val="24"/>
        </w:rPr>
        <w:t>5</w:t>
      </w:r>
      <w:r w:rsidR="00D34537" w:rsidRPr="00D34537">
        <w:rPr>
          <w:color w:val="000000"/>
          <w:szCs w:val="24"/>
        </w:rPr>
        <w:t xml:space="preserve"> kata kadar artış</w:t>
      </w:r>
      <w:r w:rsidR="00D34537">
        <w:rPr>
          <w:color w:val="000000"/>
          <w:szCs w:val="24"/>
        </w:rPr>
        <w:t xml:space="preserve"> </w:t>
      </w:r>
      <w:r w:rsidR="00D34537" w:rsidRPr="00D34537">
        <w:rPr>
          <w:color w:val="000000"/>
          <w:szCs w:val="24"/>
        </w:rPr>
        <w:t>gösterebilir</w:t>
      </w:r>
      <w:r w:rsidR="00D34537">
        <w:rPr>
          <w:color w:val="000000"/>
          <w:szCs w:val="24"/>
        </w:rPr>
        <w:t xml:space="preserve">,  </w:t>
      </w:r>
      <w:r w:rsidRPr="00C51DF3">
        <w:t xml:space="preserve">4 mmoL/L üzerinde ölçülmüş olması artmış mortaliteyle ilişkilendirilmiştir </w:t>
      </w:r>
      <w:r>
        <w:fldChar w:fldCharType="begin" w:fldLock="1"/>
      </w:r>
      <w:r w:rsidR="0085653B">
        <w:instrText>ADDIN CSL_CITATION {"citationItems":[{"id":"ITEM-1","itemData":{"DOI":"10.1086/315214","ISSN":"0022-1899","abstract":"Serum concentrations of the proinflammatory cytokines tumor necrosis factor-alpha (TNF-alpha), interleukin (IL)-1beta, and IL-6, and the anti-inflammatory cytokine Il-10, and IL-1 receptor antagonists (IL-1ra) and soluble TNF receptors (sTNFRs) were measured in 65 patients with severe sepsis. All patients were evaluated clinically and microbiologically and were followed up for clinical outcome. Levels of both pro- and anti-inflammatory cytokines were significantly elevated in patients with sepsis. Elevated serum IL-10 and TNF-alpha levels and a high IL-10 to TNF-alpha ratio were associated with death, whereas higher levels of TNF-alpha, IL-6, IL-1ra, and sTNFR were detected in patients with an early hemodynamic deterioration. Interleukin-10 and IL-10:TNF-alpha ratio remained higher in nonsurvivors, whereas IL-10 paralleled the sepsis score. Although both the inflammatory and anti-inflammatory response is profoundly augmented in patients with severe sepsis, the sustained overproduction of the anti-inflammatory cytokine IL-10 is the main predictor of severity and fatal outcome.","author":[{"dropping-particle":"","family":"Gogos","given":"Charalambos A.","non-dropping-particle":"","parse-names":false,"suffix":""},{"dropping-particle":"","family":"Drosou","given":"Eugenia","non-dropping-particle":"","parse-names":false,"suffix":""},{"dropping-particle":"","family":"Bassaris","given":"Harry P.","non-dropping-particle":"","parse-names":false,"suffix":""},{"dropping-particle":"","family":"Skoutelis","given":"Athanassios","non-dropping-particle":"","parse-names":false,"suffix":""}],"container-title":"The Journal of Infectious Diseases","id":"ITEM-1","issue":"1","issued":{"date-parts":[["2000","1","1"]]},"page":"176-180","publisher":"Oxford University Press (OUP)","title":"Pro</w:instrText>
      </w:r>
      <w:r w:rsidR="0085653B">
        <w:rPr>
          <w:rFonts w:ascii="Cambria Math" w:hAnsi="Cambria Math" w:cs="Cambria Math"/>
        </w:rPr>
        <w:instrText>‐</w:instrText>
      </w:r>
      <w:r w:rsidR="0085653B">
        <w:instrText xml:space="preserve"> versus Anti</w:instrText>
      </w:r>
      <w:r w:rsidR="0085653B">
        <w:rPr>
          <w:rFonts w:ascii="Cambria Math" w:hAnsi="Cambria Math" w:cs="Cambria Math"/>
        </w:rPr>
        <w:instrText>‐</w:instrText>
      </w:r>
      <w:r w:rsidR="0085653B">
        <w:instrText>inflammatory Cytokine Profile in Patients with Severe Sepsis: A Marker for Prognosis and Future Therapeutic Options","type":"article-journal","volume":"181"},"uris":["http://www.mendeley.com/documents/?uuid=b05eba3b-65e6-3c9b-b79c-d9592dfc5392"]}],"mendeley":{"formattedCitation":"(58)","plainTextFormattedCitation":"(58)","previouslyFormattedCitation":"(58)"},"properties":{"noteIndex":0},"schema":"https://github.com/citation-style-language/schema/raw/master/csl-citation.json"}</w:instrText>
      </w:r>
      <w:r>
        <w:fldChar w:fldCharType="separate"/>
      </w:r>
      <w:r w:rsidR="0085653B" w:rsidRPr="0085653B">
        <w:rPr>
          <w:noProof/>
        </w:rPr>
        <w:t>(58)</w:t>
      </w:r>
      <w:r>
        <w:fldChar w:fldCharType="end"/>
      </w:r>
      <w:r w:rsidRPr="00C51DF3">
        <w:t xml:space="preserve">. </w:t>
      </w:r>
    </w:p>
    <w:p w14:paraId="31CB26BA" w14:textId="77777777" w:rsidR="004550D3" w:rsidRDefault="004550D3" w:rsidP="004550D3">
      <w:pPr>
        <w:pStyle w:val="Balk3"/>
        <w:numPr>
          <w:ilvl w:val="0"/>
          <w:numId w:val="0"/>
        </w:numPr>
        <w:ind w:left="720"/>
        <w:jc w:val="left"/>
        <w:rPr>
          <w:rFonts w:ascii="ArialMT" w:eastAsiaTheme="minorHAnsi" w:hAnsi="ArialMT" w:cs="Times New Roman"/>
          <w:bCs/>
          <w:color w:val="000000"/>
        </w:rPr>
      </w:pPr>
      <w:bookmarkStart w:id="498" w:name="_Toc45265928"/>
      <w:bookmarkStart w:id="499" w:name="_Toc55727824"/>
      <w:r w:rsidRPr="00F96E75">
        <w:t>TREM-1 (</w:t>
      </w:r>
      <w:r w:rsidRPr="00F96E75">
        <w:rPr>
          <w:rFonts w:ascii="ArialMT" w:eastAsiaTheme="minorHAnsi" w:hAnsi="ArialMT" w:cs="Times New Roman"/>
          <w:bCs/>
          <w:color w:val="000000"/>
        </w:rPr>
        <w:t>The Triggering Receptor Expressed on Myeloid Cells /</w:t>
      </w:r>
      <w:r w:rsidRPr="00F96E75">
        <w:t xml:space="preserve"> </w:t>
      </w:r>
      <w:r w:rsidRPr="00F96E75">
        <w:rPr>
          <w:rFonts w:ascii="ArialMT" w:eastAsiaTheme="minorHAnsi" w:hAnsi="ArialMT" w:cs="Times New Roman"/>
          <w:bCs/>
          <w:color w:val="000000"/>
        </w:rPr>
        <w:t>Myeloid Hücrelerde Eksprese Edilen Tetikleyici Reseptör )</w:t>
      </w:r>
      <w:bookmarkEnd w:id="498"/>
      <w:bookmarkEnd w:id="499"/>
    </w:p>
    <w:p w14:paraId="31CB26BB" w14:textId="0E490FAB" w:rsidR="004550D3" w:rsidRDefault="00E90B76" w:rsidP="00314FF0">
      <w:r>
        <w:t>TREM-1, immü</w:t>
      </w:r>
      <w:r w:rsidR="004550D3" w:rsidRPr="00AB7EB7">
        <w:t>nglobulin süper ailesinin bir parçasıdır,</w:t>
      </w:r>
      <w:r w:rsidR="00314FF0">
        <w:t xml:space="preserve"> </w:t>
      </w:r>
      <w:r w:rsidR="00314FF0" w:rsidRPr="00314FF0">
        <w:t>Miyeloid hücrelerin üzerinde eksprese edilir.</w:t>
      </w:r>
      <w:r w:rsidR="00314FF0">
        <w:rPr>
          <w:rFonts w:ascii="STIXGeneral-Regular" w:hAnsi="STIXGeneral-Regular"/>
        </w:rPr>
        <w:t xml:space="preserve"> B</w:t>
      </w:r>
      <w:r w:rsidR="004550D3" w:rsidRPr="00AB7EB7">
        <w:t>akteri veya mantarlara</w:t>
      </w:r>
      <w:r w:rsidR="004550D3">
        <w:t xml:space="preserve"> yanıt olarak upregüle olup</w:t>
      </w:r>
      <w:r w:rsidR="004550D3" w:rsidRPr="00423626">
        <w:t xml:space="preserve"> liganda</w:t>
      </w:r>
      <w:r w:rsidR="004550D3">
        <w:t xml:space="preserve"> </w:t>
      </w:r>
      <w:r w:rsidR="004550D3" w:rsidRPr="00423626">
        <w:t>bağlan</w:t>
      </w:r>
      <w:r w:rsidR="004550D3">
        <w:t>arak</w:t>
      </w:r>
      <w:r w:rsidR="004550D3" w:rsidRPr="00423626">
        <w:t xml:space="preserve"> sinyal transdüksiyon molekülü </w:t>
      </w:r>
      <w:r w:rsidR="004550D3">
        <w:t>(</w:t>
      </w:r>
      <w:r w:rsidR="004550D3" w:rsidRPr="00423626">
        <w:t>DAP12</w:t>
      </w:r>
      <w:r w:rsidR="004550D3">
        <w:t>)</w:t>
      </w:r>
      <w:r w:rsidR="004550D3" w:rsidRPr="00423626">
        <w:t xml:space="preserve"> aracılığıyla</w:t>
      </w:r>
      <w:r w:rsidR="004550D3">
        <w:t xml:space="preserve"> </w:t>
      </w:r>
      <w:r w:rsidR="004550D3" w:rsidRPr="00423626">
        <w:t>proinflamatuvar sitokinlerin salınımını uyarır</w:t>
      </w:r>
      <w:r w:rsidR="00A72ABA">
        <w:t xml:space="preserve"> </w:t>
      </w:r>
      <w:r w:rsidR="004550D3">
        <w:fldChar w:fldCharType="begin" w:fldLock="1"/>
      </w:r>
      <w:r w:rsidR="0085653B">
        <w:instrText>ADDIN CSL_CITATION {"citationItems":[{"id":"ITEM-1","itemData":{"DOI":"10.4049/jimmunol.164.10.4991","ISSN":"0022-1767","PMID":"10799849","abstract":"We have identified new activating receptors of the Ig superfamily expressed on human myeloid cells, called TREM (triggering receptor expressed on myeloid cells). TREM-1 is selectively expressed on blood neutrophils and a subset of monocytes and is up-regulated by bacterial LPS. Engagement of TREM-1 triggers secretion of IL-8, monocyte chemotactic protein-1, and TNF-alpha and induces neutrophil degranulation. Intracellularly, TREM-1 induces Ca2+ mobilization and tyrosine phosphorylation of extracellular signal-related kinase 1 (ERK1), ERK2 and phospholipase C-gamma. To mediate activation, TREM-1 associates with the transmembrane adapter molecule DAP12. Thus, TREM-1 mediates activation of neutrophil and monocytes, and may have a predominant role in inflammatory responses.","author":[{"dropping-particle":"","family":"Bouchon","given":"Axel","non-dropping-particle":"","parse-names":false,"suffix":""},{"dropping-particle":"","family":"Dietrich","given":"Jes","non-dropping-particle":"","parse-names":false,"suffix":""},{"dropping-particle":"","family":"Colonna","given":"Marco","non-dropping-particle":"","parse-names":false,"suffix":""}],"container-title":"The Journal of Immunology","id":"ITEM-1","issue":"10","issued":{"date-parts":[["2000","5","15"]]},"page":"4991-4995","publisher":"The American Association of Immunologists","title":"Cutting Edge: Inflammatory Responses Can Be Triggered by TREM-1, a Novel Receptor Expressed on Neutrophils and Monocytes","type":"article-journal","volume":"164"},"uris":["http://www.mendeley.com/documents/?uuid=3f1f93ef-e7fa-3c48-a5c4-147e58a42b90"]}],"mendeley":{"formattedCitation":"(65)","plainTextFormattedCitation":"(65)","previouslyFormattedCitation":"(65)"},"properties":{"noteIndex":0},"schema":"https://github.com/citation-style-language/schema/raw/master/csl-citation.json"}</w:instrText>
      </w:r>
      <w:r w:rsidR="004550D3">
        <w:fldChar w:fldCharType="separate"/>
      </w:r>
      <w:r w:rsidR="0085653B" w:rsidRPr="0085653B">
        <w:rPr>
          <w:noProof/>
        </w:rPr>
        <w:t>(65)</w:t>
      </w:r>
      <w:r w:rsidR="004550D3">
        <w:fldChar w:fldCharType="end"/>
      </w:r>
      <w:r w:rsidR="004550D3" w:rsidRPr="00423626">
        <w:t>. TREM-1’in</w:t>
      </w:r>
      <w:r w:rsidR="004550D3">
        <w:t xml:space="preserve"> </w:t>
      </w:r>
      <w:r w:rsidRPr="00423626">
        <w:t>inflamatuar</w:t>
      </w:r>
      <w:r w:rsidR="004550D3" w:rsidRPr="00423626">
        <w:t xml:space="preserve"> bağırsak hastalığı ve SIRS </w:t>
      </w:r>
      <w:r w:rsidR="004550D3" w:rsidRPr="00423626">
        <w:lastRenderedPageBreak/>
        <w:t xml:space="preserve">gibi non-enfeksiyöz </w:t>
      </w:r>
      <w:r>
        <w:t>inflamatuar</w:t>
      </w:r>
      <w:r w:rsidR="004550D3">
        <w:t xml:space="preserve"> </w:t>
      </w:r>
      <w:r w:rsidR="004550D3" w:rsidRPr="00423626">
        <w:t>hastalıklarda up</w:t>
      </w:r>
      <w:r w:rsidR="004550D3">
        <w:t>regüle olmadığı gösterilmiştir</w:t>
      </w:r>
      <w:r w:rsidR="004550D3" w:rsidRPr="00423626">
        <w:t>. Ayrıca, TREM-1</w:t>
      </w:r>
      <w:r w:rsidR="004550D3">
        <w:t xml:space="preserve"> modülasyonunun</w:t>
      </w:r>
      <w:r w:rsidR="004550D3" w:rsidRPr="00423626">
        <w:t xml:space="preserve"> murin sepsis modellerinde koruyucu olduğu gösterilmiştir, bu</w:t>
      </w:r>
      <w:r w:rsidR="004550D3">
        <w:t xml:space="preserve"> </w:t>
      </w:r>
      <w:r w:rsidR="004550D3" w:rsidRPr="00423626">
        <w:t xml:space="preserve">da TREM-1’i potansiyel bir belirteç yapmaktadır </w:t>
      </w:r>
      <w:r w:rsidR="004550D3">
        <w:fldChar w:fldCharType="begin" w:fldLock="1"/>
      </w:r>
      <w:r w:rsidR="0085653B">
        <w:instrText>ADDIN CSL_CITATION {"citationItems":[{"id":"ITEM-1","itemData":{"DOI":"10.4049/jimmunol.164.10.4991","ISSN":"0022-1767","PMID":"10799849","abstract":"We have identified new activating receptors of the Ig superfamily expressed on human myeloid cells, called TREM (triggering receptor expressed on myeloid cells). TREM-1 is selectively expressed on blood neutrophils and a subset of monocytes and is up-regulated by bacterial LPS. Engagement of TREM-1 triggers secretion of IL-8, monocyte chemotactic protein-1, and TNF-alpha and induces neutrophil degranulation. Intracellularly, TREM-1 induces Ca2+ mobilization and tyrosine phosphorylation of extracellular signal-related kinase 1 (ERK1), ERK2 and phospholipase C-gamma. To mediate activation, TREM-1 associates with the transmembrane adapter molecule DAP12. Thus, TREM-1 mediates activation of neutrophil and monocytes, and may have a predominant role in inflammatory responses.","author":[{"dropping-particle":"","family":"Bouchon","given":"Axel","non-dropping-particle":"","parse-names":false,"suffix":""},{"dropping-particle":"","family":"Dietrich","given":"Jes","non-dropping-particle":"","parse-names":false,"suffix":""},{"dropping-particle":"","family":"Colonna","given":"Marco","non-dropping-particle":"","parse-names":false,"suffix":""}],"container-title":"The Journal of Immunology","id":"ITEM-1","issue":"10","issued":{"date-parts":[["2000","5","15"]]},"page":"4991-4995","publisher":"The American Association of Immunologists","title":"Cutting Edge: Inflammatory Responses Can Be Triggered by TREM-1, a Novel Receptor Expressed on Neutrophils and Monocytes","type":"article-journal","volume":"164"},"uris":["http://www.mendeley.com/documents/?uuid=3f1f93ef-e7fa-3c48-a5c4-147e58a42b90"]}],"mendeley":{"formattedCitation":"(65)","plainTextFormattedCitation":"(65)","previouslyFormattedCitation":"(65)"},"properties":{"noteIndex":0},"schema":"https://github.com/citation-style-language/schema/raw/master/csl-citation.json"}</w:instrText>
      </w:r>
      <w:r w:rsidR="004550D3">
        <w:fldChar w:fldCharType="separate"/>
      </w:r>
      <w:r w:rsidR="0085653B" w:rsidRPr="0085653B">
        <w:rPr>
          <w:noProof/>
        </w:rPr>
        <w:t>(65)</w:t>
      </w:r>
      <w:r w:rsidR="004550D3">
        <w:fldChar w:fldCharType="end"/>
      </w:r>
      <w:r w:rsidR="004550D3" w:rsidRPr="00423626">
        <w:t>.</w:t>
      </w:r>
      <w:r w:rsidR="004550D3">
        <w:t xml:space="preserve"> </w:t>
      </w:r>
      <w:r w:rsidR="004550D3" w:rsidRPr="00423626">
        <w:t>Çeşitli çalışmalarda, bir tanı belirteci olarak TREM-1 kullanımı</w:t>
      </w:r>
      <w:r w:rsidR="004550D3">
        <w:t xml:space="preserve"> </w:t>
      </w:r>
      <w:r w:rsidR="004550D3" w:rsidRPr="00423626">
        <w:t>araştırılmıştır ve CRP ve PCT’den daha duyarlı ve daha özgül olduğu</w:t>
      </w:r>
      <w:r w:rsidR="004550D3">
        <w:t xml:space="preserve"> </w:t>
      </w:r>
      <w:r w:rsidR="004550D3" w:rsidRPr="00423626">
        <w:t>gösterilmiştir</w:t>
      </w:r>
      <w:r w:rsidR="004550D3">
        <w:t xml:space="preserve">. </w:t>
      </w:r>
      <w:r w:rsidR="004550D3" w:rsidRPr="00423626">
        <w:t>TREM-1’in çözünür bir formu (sTREM-1) aktif fagositik</w:t>
      </w:r>
      <w:r w:rsidR="004550D3">
        <w:t xml:space="preserve"> </w:t>
      </w:r>
      <w:r w:rsidR="004550D3" w:rsidRPr="00423626">
        <w:t xml:space="preserve">hücre zarlarından geçer ve insan vücut sıvılarında saptanabilir </w:t>
      </w:r>
      <w:r w:rsidR="004550D3">
        <w:fldChar w:fldCharType="begin" w:fldLock="1"/>
      </w:r>
      <w:r w:rsidR="0085653B">
        <w:instrText>ADDIN CSL_CITATION {"citationItems":[{"id":"ITEM-1","itemData":{"DOI":"10.4049/jimmunol.164.10.4991","ISSN":"0022-1767","PMID":"10799849","abstract":"We have identified new activating receptors of the Ig superfamily expressed on human myeloid cells, called TREM (triggering receptor expressed on myeloid cells). TREM-1 is selectively expressed on blood neutrophils and a subset of monocytes and is up-regulated by bacterial LPS. Engagement of TREM-1 triggers secretion of IL-8, monocyte chemotactic protein-1, and TNF-alpha and induces neutrophil degranulation. Intracellularly, TREM-1 induces Ca2+ mobilization and tyrosine phosphorylation of extracellular signal-related kinase 1 (ERK1), ERK2 and phospholipase C-gamma. To mediate activation, TREM-1 associates with the transmembrane adapter molecule DAP12. Thus, TREM-1 mediates activation of neutrophil and monocytes, and may have a predominant role in inflammatory responses.","author":[{"dropping-particle":"","family":"Bouchon","given":"Axel","non-dropping-particle":"","parse-names":false,"suffix":""},{"dropping-particle":"","family":"Dietrich","given":"Jes","non-dropping-particle":"","parse-names":false,"suffix":""},{"dropping-particle":"","family":"Colonna","given":"Marco","non-dropping-particle":"","parse-names":false,"suffix":""}],"container-title":"The Journal of Immunology","id":"ITEM-1","issue":"10","issued":{"date-parts":[["2000","5","15"]]},"page":"4991-4995","publisher":"The American Association of Immunologists","title":"Cutting Edge: Inflammatory Responses Can Be Triggered by TREM-1, a Novel Receptor Expressed on Neutrophils and Monocytes","type":"article-journal","volume":"164"},"uris":["http://www.mendeley.com/documents/?uuid=3f1f93ef-e7fa-3c48-a5c4-147e58a42b90"]}],"mendeley":{"formattedCitation":"(65)","plainTextFormattedCitation":"(65)","previouslyFormattedCitation":"(65)"},"properties":{"noteIndex":0},"schema":"https://github.com/citation-style-language/schema/raw/master/csl-citation.json"}</w:instrText>
      </w:r>
      <w:r w:rsidR="004550D3">
        <w:fldChar w:fldCharType="separate"/>
      </w:r>
      <w:r w:rsidR="0085653B" w:rsidRPr="0085653B">
        <w:rPr>
          <w:noProof/>
        </w:rPr>
        <w:t>(65)</w:t>
      </w:r>
      <w:r w:rsidR="004550D3">
        <w:fldChar w:fldCharType="end"/>
      </w:r>
      <w:r w:rsidR="004550D3" w:rsidRPr="00423626">
        <w:t>.</w:t>
      </w:r>
    </w:p>
    <w:p w14:paraId="31CB26BD" w14:textId="77777777" w:rsidR="007715BF" w:rsidRPr="00470C03" w:rsidRDefault="007715BF" w:rsidP="007715BF">
      <w:pPr>
        <w:pStyle w:val="Balk3"/>
        <w:numPr>
          <w:ilvl w:val="0"/>
          <w:numId w:val="0"/>
        </w:numPr>
        <w:ind w:left="720"/>
      </w:pPr>
      <w:bookmarkStart w:id="500" w:name="_Toc45265929"/>
      <w:bookmarkStart w:id="501" w:name="_Toc55727825"/>
      <w:r>
        <w:t>sHLA-G</w:t>
      </w:r>
      <w:r w:rsidR="00F4050A">
        <w:t xml:space="preserve"> (S</w:t>
      </w:r>
      <w:r w:rsidR="00F4050A" w:rsidRPr="00F4050A">
        <w:t>oluble human leukocyte antigen</w:t>
      </w:r>
      <w:r w:rsidR="00F4050A">
        <w:t>-</w:t>
      </w:r>
      <w:r w:rsidR="00F4050A" w:rsidRPr="00F4050A">
        <w:t>G</w:t>
      </w:r>
      <w:r w:rsidR="00F4050A">
        <w:t>)</w:t>
      </w:r>
      <w:bookmarkEnd w:id="500"/>
      <w:bookmarkEnd w:id="501"/>
    </w:p>
    <w:p w14:paraId="31CB26BE" w14:textId="3723C74F" w:rsidR="007715BF" w:rsidRPr="004550D3" w:rsidRDefault="007715BF" w:rsidP="007715BF">
      <w:pPr>
        <w:rPr>
          <w:color w:val="FF0000"/>
        </w:rPr>
      </w:pPr>
      <w:r w:rsidRPr="004550D3">
        <w:rPr>
          <w:rFonts w:ascii="ArialMT" w:hAnsi="ArialMT"/>
          <w:color w:val="000000"/>
          <w:szCs w:val="24"/>
        </w:rPr>
        <w:t>HLA-G, doğal öldürücü (NK) hücreler ile etkileşen klasik olmayan bir</w:t>
      </w:r>
      <w:r w:rsidRPr="004550D3">
        <w:rPr>
          <w:rFonts w:ascii="ArialMT" w:hAnsi="ArialMT"/>
          <w:color w:val="000000"/>
        </w:rPr>
        <w:br/>
      </w:r>
      <w:r w:rsidRPr="004550D3">
        <w:rPr>
          <w:rFonts w:ascii="ArialMT" w:hAnsi="ArialMT"/>
          <w:color w:val="000000"/>
          <w:szCs w:val="24"/>
        </w:rPr>
        <w:t>MHC sınıf I tipi molekülü olup normal koşullarda trofoblastlar, amnion sıvısı ve</w:t>
      </w:r>
      <w:r w:rsidRPr="004550D3">
        <w:rPr>
          <w:rFonts w:ascii="ArialMT" w:hAnsi="ArialMT"/>
          <w:color w:val="000000"/>
        </w:rPr>
        <w:br/>
      </w:r>
      <w:r w:rsidRPr="004550D3">
        <w:rPr>
          <w:rFonts w:ascii="ArialMT" w:hAnsi="ArialMT"/>
          <w:color w:val="000000"/>
          <w:szCs w:val="24"/>
        </w:rPr>
        <w:t>timik epitelyal hücrel</w:t>
      </w:r>
      <w:r w:rsidR="00E90B76">
        <w:rPr>
          <w:rFonts w:ascii="ArialMT" w:hAnsi="ArialMT"/>
          <w:color w:val="000000"/>
          <w:szCs w:val="24"/>
        </w:rPr>
        <w:t>er tarafından salgılanır. HLA-G’</w:t>
      </w:r>
      <w:r w:rsidRPr="004550D3">
        <w:rPr>
          <w:rFonts w:ascii="ArialMT" w:hAnsi="ArialMT"/>
          <w:color w:val="000000"/>
          <w:szCs w:val="24"/>
        </w:rPr>
        <w:t>nin yedi protein izoformu</w:t>
      </w:r>
      <w:r w:rsidRPr="004550D3">
        <w:rPr>
          <w:rFonts w:ascii="ArialMT" w:hAnsi="ArialMT"/>
          <w:color w:val="000000"/>
        </w:rPr>
        <w:br/>
      </w:r>
      <w:r w:rsidRPr="004550D3">
        <w:rPr>
          <w:rFonts w:ascii="ArialMT" w:hAnsi="ArialMT"/>
          <w:color w:val="000000"/>
          <w:szCs w:val="24"/>
        </w:rPr>
        <w:t>mevcut olup, HLA-G5 çözünebilir formlarındandır. CD4</w:t>
      </w:r>
      <w:r w:rsidRPr="004550D3">
        <w:rPr>
          <w:rFonts w:ascii="ArialMT" w:hAnsi="ArialMT"/>
          <w:color w:val="000000"/>
          <w:sz w:val="16"/>
          <w:szCs w:val="16"/>
        </w:rPr>
        <w:t xml:space="preserve">+ </w:t>
      </w:r>
      <w:r w:rsidRPr="004550D3">
        <w:rPr>
          <w:rFonts w:ascii="ArialMT" w:hAnsi="ArialMT"/>
          <w:color w:val="000000"/>
          <w:szCs w:val="24"/>
        </w:rPr>
        <w:t>T lenfosit</w:t>
      </w:r>
      <w:r w:rsidRPr="004550D3">
        <w:rPr>
          <w:rFonts w:ascii="ArialMT" w:hAnsi="ArialMT"/>
          <w:color w:val="000000"/>
        </w:rPr>
        <w:br/>
      </w:r>
      <w:r w:rsidRPr="004550D3">
        <w:rPr>
          <w:rFonts w:ascii="ArialMT" w:hAnsi="ArialMT"/>
          <w:color w:val="000000"/>
          <w:szCs w:val="24"/>
        </w:rPr>
        <w:t>proliferasyonunu baskılar ve NK hücreleri ile T hücre bağımlı sitolizi inhibe eder.</w:t>
      </w:r>
      <w:r w:rsidRPr="004550D3">
        <w:rPr>
          <w:rFonts w:ascii="ArialMT" w:hAnsi="ArialMT"/>
          <w:color w:val="000000"/>
        </w:rPr>
        <w:br/>
      </w:r>
      <w:r w:rsidRPr="004550D3">
        <w:rPr>
          <w:rFonts w:ascii="ArialMT" w:hAnsi="ArialMT"/>
          <w:color w:val="000000"/>
          <w:szCs w:val="24"/>
        </w:rPr>
        <w:t>Yapılan bazı çalışmalarda sepsis tanısı alan hastaların tanının ilk iki gününde</w:t>
      </w:r>
      <w:r w:rsidRPr="004550D3">
        <w:rPr>
          <w:rFonts w:ascii="ArialMT" w:hAnsi="ArialMT"/>
          <w:color w:val="000000"/>
        </w:rPr>
        <w:br/>
      </w:r>
      <w:r w:rsidRPr="004550D3">
        <w:rPr>
          <w:rFonts w:ascii="ArialMT" w:hAnsi="ArialMT"/>
          <w:color w:val="000000"/>
          <w:szCs w:val="24"/>
        </w:rPr>
        <w:t>bakılan HLA-G5 düzeyleri anlamlı yüksek saptanmış ve bu mortalite ile ilişkili</w:t>
      </w:r>
      <w:r w:rsidRPr="004550D3">
        <w:rPr>
          <w:rFonts w:ascii="ArialMT" w:hAnsi="ArialMT"/>
          <w:color w:val="000000"/>
        </w:rPr>
        <w:br/>
      </w:r>
      <w:r w:rsidRPr="004550D3">
        <w:rPr>
          <w:rFonts w:ascii="ArialMT" w:hAnsi="ArialMT"/>
          <w:color w:val="000000"/>
          <w:szCs w:val="24"/>
        </w:rPr>
        <w:t xml:space="preserve">bulunmuştur </w:t>
      </w:r>
      <w:r>
        <w:rPr>
          <w:rFonts w:ascii="ArialMT" w:hAnsi="ArialMT"/>
          <w:color w:val="000000"/>
          <w:szCs w:val="24"/>
        </w:rPr>
        <w:fldChar w:fldCharType="begin" w:fldLock="1"/>
      </w:r>
      <w:r w:rsidR="0085653B">
        <w:rPr>
          <w:rFonts w:ascii="ArialMT" w:hAnsi="ArialMT"/>
          <w:color w:val="000000"/>
          <w:szCs w:val="24"/>
        </w:rPr>
        <w:instrText xml:space="preserve">ADDIN CSL_CITATION {"citationItems":[{"id":"ITEM-1","itemData":{"DOI":"10.1097/01.CCM.0000277039.84372.1C","ISSN":"00903493","PMID":"17581490","abstract":"OBJECTIVE: Although it is established that septic shock induces immunosuppression, the mechanisms for this phenomenon remain poorly understood. Human leukocyte antigen-G exerts strong inhibitory effects that are directed at different arms of the immune system. The main objective of the current study was to measure human leukocyte antigen-G (soluble and membrane proteins) in septic shock. DESIGN: Observational study. SETTING: Adult intensive care units in a university hospital. PATIENTS: Sixty-four consecutive patients with septic shock (7 days of follow-up). INTERVENTIONS: None. MEASUREMENTS AND MAIN RESULTS: We measured plasma human leukocyte antigen-G5 (with enzyme linked immunosorbent assay) and human leukocyte antigen-G1 (with flow cytometry) expression on circulating leukocytes. As early as days 1-2 after the onset of shock, we observed a marked elevation of soluble human leukocyte antigen-G5 in patients: 60 ng/mL (34-146) as median (Q1-Q3) (reference values &lt;5 ng/mL). This increase was stable over time. Most important, we also found at days 1-2 a significant difference between survivors and nonsurvivors: 109 ng/mL (43-183) vs. 37 ng/mL (19-61), respectively (p = .003). This difference remained significant until day 7. Receiver operating characteristic curve analysis showed that human leukocyte antigen-G5 was a good predictor of outcome (areas under curves: 0.76 and 0.84 at days 1-2 and days 3-4, respectively, p &lt; .001). Adjusted logistic regression analysis suggested that human leukocyte antigen-G5 at days 3-5 was a better prognostic marker than decreased monocyte human leukocyte antigen-DR and/or severity score. CONCLUSIONS: The present results show a marked elevation of soluble human leukocyte antigen-G5 protein during septic shock. We may hypothesize that given its potent inhibitory properties and its association with survival, human leukocyte antigen-G5 has an important role in the numerous negative feedback signals that limit the process of inflammation during septic shock. </w:instrText>
      </w:r>
      <w:r w:rsidR="0085653B">
        <w:rPr>
          <w:rFonts w:ascii="ArialMT" w:hAnsi="ArialMT" w:hint="eastAsia"/>
          <w:color w:val="000000"/>
          <w:szCs w:val="24"/>
        </w:rPr>
        <w:instrText>©</w:instrText>
      </w:r>
      <w:r w:rsidR="0085653B">
        <w:rPr>
          <w:rFonts w:ascii="ArialMT" w:hAnsi="ArialMT"/>
          <w:color w:val="000000"/>
          <w:szCs w:val="24"/>
        </w:rPr>
        <w:instrText xml:space="preserve"> 2007 Lippincott Williams &amp; Wilkins, Inc.","author":[{"dropping-particle":"","family":"Monneret","given":"Guillaume","non-dropping-particle":"","parse-names":false,"suffix":""},{"dropping-particle":"","family":"Voirin","given":"Nicolas","non-dropping-particle":"","parse-names":false,"suffix":""},{"dropping-particle":"","family":"Krawice-Radanne","given":"Ir</w:instrText>
      </w:r>
      <w:r w:rsidR="0085653B">
        <w:rPr>
          <w:rFonts w:ascii="ArialMT" w:hAnsi="ArialMT" w:hint="eastAsia"/>
          <w:color w:val="000000"/>
          <w:szCs w:val="24"/>
        </w:rPr>
        <w:instrText>è</w:instrText>
      </w:r>
      <w:r w:rsidR="0085653B">
        <w:rPr>
          <w:rFonts w:ascii="ArialMT" w:hAnsi="ArialMT"/>
          <w:color w:val="000000"/>
          <w:szCs w:val="24"/>
        </w:rPr>
        <w:instrText>ne","non-dropping-particle":"","parse-names":false,"suffix":""},{"dropping-particle":"","family":"Boh</w:instrText>
      </w:r>
      <w:r w:rsidR="0085653B">
        <w:rPr>
          <w:rFonts w:ascii="ArialMT" w:hAnsi="ArialMT" w:hint="eastAsia"/>
          <w:color w:val="000000"/>
          <w:szCs w:val="24"/>
        </w:rPr>
        <w:instrText>é</w:instrText>
      </w:r>
      <w:r w:rsidR="0085653B">
        <w:rPr>
          <w:rFonts w:ascii="ArialMT" w:hAnsi="ArialMT"/>
          <w:color w:val="000000"/>
          <w:szCs w:val="24"/>
        </w:rPr>
        <w:instrText>","given":"Julien","non-dropping-particle":"","parse-names":false,"suffix":""},{"dropping-particle":"","family":"Lepape","given":"Alain","non-dropping-particle":"","parse-names":false,"suffix":""},{"dropping-particle":"","family":"Rouas-Freiss","given":"Nathalie","non-dropping-particle":"","parse-names":false,"suffix":""},{"dropping-particle":"","family":"Carosella","given":"Edgardo D.","non-dropping-particle":"","parse-names":false,"suffix":""}],"container-title":"Critical Care Medicine","id":"ITEM-1","issue":"8","issued":{"date-parts":[["2007","8"]]},"page":"1942-1947","publisher":"Lippincott Williams and Wilkins","title":"Soluble human leukocyte antigen-G5 in septic shock: Marked and persisting elevation as a predictor of survival","type":"article-journal","volume":"35"},"uris":["http://www.mendeley.com/documents/?uuid=2f27b26d-8d2e-3570-9226-0484eb38c786"]}],"mendeley":{"formattedCitation":"(66)","plainTextFormattedCitation":"(66)","previouslyFormattedCitation":"(66)"},"properties":{"noteIndex":0},"schema":"https://github.com/citation-style-language/schema/raw/master/csl-citation.json"}</w:instrText>
      </w:r>
      <w:r>
        <w:rPr>
          <w:rFonts w:ascii="ArialMT" w:hAnsi="ArialMT"/>
          <w:color w:val="000000"/>
          <w:szCs w:val="24"/>
        </w:rPr>
        <w:fldChar w:fldCharType="separate"/>
      </w:r>
      <w:r w:rsidR="0085653B" w:rsidRPr="0085653B">
        <w:rPr>
          <w:rFonts w:ascii="ArialMT" w:hAnsi="ArialMT"/>
          <w:noProof/>
          <w:color w:val="000000"/>
          <w:szCs w:val="24"/>
        </w:rPr>
        <w:t>(66)</w:t>
      </w:r>
      <w:r>
        <w:rPr>
          <w:rFonts w:ascii="ArialMT" w:hAnsi="ArialMT"/>
          <w:color w:val="000000"/>
          <w:szCs w:val="24"/>
        </w:rPr>
        <w:fldChar w:fldCharType="end"/>
      </w:r>
      <w:r w:rsidRPr="004550D3">
        <w:rPr>
          <w:rFonts w:ascii="ArialMT" w:hAnsi="ArialMT"/>
          <w:color w:val="000000"/>
          <w:szCs w:val="24"/>
        </w:rPr>
        <w:t>.</w:t>
      </w:r>
      <w:r>
        <w:rPr>
          <w:rFonts w:ascii="ArialMT" w:hAnsi="ArialMT"/>
          <w:color w:val="000000"/>
          <w:szCs w:val="24"/>
        </w:rPr>
        <w:t xml:space="preserve"> </w:t>
      </w:r>
    </w:p>
    <w:p w14:paraId="31CB26C0" w14:textId="77777777" w:rsidR="00D70178" w:rsidRDefault="00F4050A" w:rsidP="00D70178">
      <w:pPr>
        <w:pStyle w:val="Balk3"/>
        <w:numPr>
          <w:ilvl w:val="0"/>
          <w:numId w:val="0"/>
        </w:numPr>
        <w:ind w:left="720"/>
      </w:pPr>
      <w:bookmarkStart w:id="502" w:name="_Toc45265930"/>
      <w:bookmarkStart w:id="503" w:name="_Toc55727826"/>
      <w:r>
        <w:t>TNF-α</w:t>
      </w:r>
      <w:r w:rsidR="00D70178" w:rsidRPr="00D67D8F">
        <w:t xml:space="preserve"> </w:t>
      </w:r>
      <w:r w:rsidR="00D70178">
        <w:t>(</w:t>
      </w:r>
      <w:r w:rsidRPr="00D67D8F">
        <w:t>Tümör Nekrosis Faktör</w:t>
      </w:r>
      <w:r>
        <w:t>- alfa</w:t>
      </w:r>
      <w:r w:rsidR="00D70178">
        <w:t>)</w:t>
      </w:r>
      <w:bookmarkEnd w:id="502"/>
      <w:bookmarkEnd w:id="503"/>
    </w:p>
    <w:p w14:paraId="31CB26C1" w14:textId="0E0541BA" w:rsidR="00D70178" w:rsidRDefault="00D70178" w:rsidP="00D70178">
      <w:pPr>
        <w:rPr>
          <w:b/>
        </w:rPr>
      </w:pPr>
      <w:r>
        <w:t>TNF-α</w:t>
      </w:r>
      <w:r w:rsidRPr="00C51DF3">
        <w:t>, proinflamatuvar sitokinler içinde en erken salgılanan ve konakçı</w:t>
      </w:r>
      <w:r>
        <w:t xml:space="preserve"> </w:t>
      </w:r>
      <w:r w:rsidRPr="00C51DF3">
        <w:t>c</w:t>
      </w:r>
      <w:r>
        <w:t xml:space="preserve">evabındaki en güçlü mediatördür. </w:t>
      </w:r>
      <w:r w:rsidR="00100E48" w:rsidRPr="00100E48">
        <w:rPr>
          <w:color w:val="000000"/>
          <w:szCs w:val="24"/>
        </w:rPr>
        <w:t>TNF-α, esas olarak</w:t>
      </w:r>
      <w:r w:rsidR="00100E48">
        <w:rPr>
          <w:color w:val="000000"/>
          <w:szCs w:val="24"/>
        </w:rPr>
        <w:t xml:space="preserve"> </w:t>
      </w:r>
      <w:r w:rsidR="00100E48" w:rsidRPr="00100E48">
        <w:rPr>
          <w:color w:val="000000"/>
          <w:szCs w:val="24"/>
        </w:rPr>
        <w:t xml:space="preserve">LPS’lerin </w:t>
      </w:r>
      <w:r w:rsidR="005A0FF4" w:rsidRPr="00100E48">
        <w:rPr>
          <w:color w:val="000000"/>
          <w:szCs w:val="24"/>
        </w:rPr>
        <w:t>uyardığı monosit</w:t>
      </w:r>
      <w:r w:rsidR="00100E48" w:rsidRPr="00100E48">
        <w:rPr>
          <w:color w:val="000000"/>
          <w:szCs w:val="24"/>
        </w:rPr>
        <w:t xml:space="preserve"> ve makrofaj</w:t>
      </w:r>
      <w:r w:rsidR="00100E48">
        <w:rPr>
          <w:color w:val="000000"/>
          <w:szCs w:val="24"/>
        </w:rPr>
        <w:t xml:space="preserve"> </w:t>
      </w:r>
      <w:r w:rsidR="00100E48" w:rsidRPr="00100E48">
        <w:rPr>
          <w:color w:val="000000"/>
          <w:szCs w:val="24"/>
        </w:rPr>
        <w:t>hücrelerinde sentezlenir.</w:t>
      </w:r>
      <w:r w:rsidR="00100E48">
        <w:rPr>
          <w:color w:val="000000"/>
          <w:szCs w:val="24"/>
        </w:rPr>
        <w:t xml:space="preserve"> </w:t>
      </w:r>
      <w:r w:rsidR="00100E48" w:rsidRPr="00100E48">
        <w:rPr>
          <w:color w:val="000000"/>
          <w:szCs w:val="24"/>
        </w:rPr>
        <w:t>Uyarı sonrası 30 dk içinde ekspresyon başlamakta, 90-120. dakikalarda pik sağlanmakta ve</w:t>
      </w:r>
      <w:r w:rsidR="00100E48">
        <w:rPr>
          <w:color w:val="000000"/>
          <w:szCs w:val="24"/>
        </w:rPr>
        <w:t xml:space="preserve"> </w:t>
      </w:r>
      <w:r w:rsidR="00100E48" w:rsidRPr="00100E48">
        <w:rPr>
          <w:color w:val="000000"/>
          <w:szCs w:val="24"/>
        </w:rPr>
        <w:t>miktarı 240 dakika içinde saptanamayacak seviyelere kadar inmektedir</w:t>
      </w:r>
      <w:r w:rsidR="00100E48">
        <w:t xml:space="preserve">. </w:t>
      </w:r>
      <w:r>
        <w:t>S</w:t>
      </w:r>
      <w:r w:rsidRPr="00C51DF3">
        <w:t>epsis patogenezinde ilk suçlanan sitokin</w:t>
      </w:r>
      <w:r>
        <w:t>dir</w:t>
      </w:r>
      <w:r w:rsidRPr="00C51DF3">
        <w:t xml:space="preserve"> </w:t>
      </w:r>
      <w:r>
        <w:fldChar w:fldCharType="begin" w:fldLock="1"/>
      </w:r>
      <w:r w:rsidR="0085653B">
        <w:instrText>ADDIN CSL_CITATION {"citationItems":[{"id":"ITEM-1","itemData":{"DOI":"10.1056/NEJM198702123160705","ISSN":"15334406","abstract":"THE metabolic impact of infectious and neoplastic disease states has long been known to clinicians.1234 Invasive diseases may disrupt normal homeo-static mechanisms, both locally and systemically. For example, acute gram-negative infections frequently lead to profound metabolic acidosis and to biphasic changes in plasma glucose concentration, both seen in the context of hypotension, disseminated intravascular coagulation, and widespread tissue injury.56789101112 Chronic infectious diseases, as well as neoplastic diseases, may provoke a severe wasting diathesis, in which negative calorie and nitrogen balance lead to death despite the absence of a large parasite or tumor burden. It was once widely believed that invasive… © 1987, Massachusetts Medical Society. All rights reserved.","author":[{"dropping-particle":"","family":"Epstein","given":"Franklin H.","non-dropping-particle":"","parse-names":false,"suffix":""},{"dropping-particle":"","family":"Beutler","given":"Bruce","non-dropping-particle":"","parse-names":false,"suffix":""},{"dropping-particle":"","family":"Cerami","given":"Anthony","non-dropping-particle":"","parse-names":false,"suffix":""}],"container-title":"New England Journal of Medicine","id":"ITEM-1","issue":"7","issued":{"date-parts":[["1987","2","12"]]},"page":"379-385","publisher":" Massachusetts Medical Society ","title":"Cachectin: More Than a Tumor Necrosis Factor","type":"article","volume":"316"},"uris":["http://www.mendeley.com/documents/?uuid=b94ada97-a96d-3c7e-bc7c-42c4b6a9a696"]}],"mendeley":{"formattedCitation":"(67)","plainTextFormattedCitation":"(67)","previouslyFormattedCitation":"(67)"},"properties":{"noteIndex":0},"schema":"https://github.com/citation-style-language/schema/raw/master/csl-citation.json"}</w:instrText>
      </w:r>
      <w:r>
        <w:fldChar w:fldCharType="separate"/>
      </w:r>
      <w:r w:rsidR="0085653B" w:rsidRPr="0085653B">
        <w:rPr>
          <w:noProof/>
        </w:rPr>
        <w:t>(67)</w:t>
      </w:r>
      <w:r>
        <w:fldChar w:fldCharType="end"/>
      </w:r>
      <w:r w:rsidRPr="00C51DF3">
        <w:t xml:space="preserve">. </w:t>
      </w:r>
      <w:r w:rsidRPr="00092E9B">
        <w:t>TNF-α'nın septik komplikasyonlarda karaciğer hasarının gelişiminde çok önemli rol oynadığı düşünülmektedir. TNF-α, hepatositleri IL-6 üretimini indüklemek için doğrudan uyarabilir.</w:t>
      </w:r>
      <w:r>
        <w:t xml:space="preserve"> </w:t>
      </w:r>
      <w:r w:rsidRPr="00C51DF3">
        <w:t>Sepsis ciddiyeti ile TNF-α seviyeleri arasında pozitif yönde bir ilişki</w:t>
      </w:r>
      <w:r>
        <w:t xml:space="preserve"> mevcuttur</w:t>
      </w:r>
      <w:r w:rsidR="00100E48">
        <w:t xml:space="preserve"> </w:t>
      </w:r>
      <w:r>
        <w:fldChar w:fldCharType="begin" w:fldLock="1"/>
      </w:r>
      <w:r w:rsidR="0085653B">
        <w:instrText>ADDIN CSL_CITATION {"citationItems":[{"id":"ITEM-1","itemData":{"DOI":"10.1016/S0953-6205(00)00068-6","ISSN":"09536205","abstract":"Background: At present, it is unclear whether in experimental endotoxemia, the pro-inflammatory response observed in healthy volunteers is followed by an anti-inflammatory response, as observed in patients with sepsis. We studied the evolution of a number of inflammatory parameters during a prolonged period (24 h) after infusion of endotoxin in healthy subjects. Methods: Six healthy male subjects received an infusion of endotoxin (4 ng/kg body weight). Blood was drawn before, and at various intervals up to and including 24 h after, endotoxin infusion. Circulating cytokine levels, leukocyte activation surface markers, plasma lactoferrin, and neopterin levels were measured, and clinical signs and symptoms were noted during a 24-h period. Monocyte and neutrophil activation after endotoxin infusion is investigated in relation to the inflammatory response. The extent of neutrophil and monocyte activation was correlated to clinical markers and blood levels of inflammatory mediators and cytokines. Results: Tumor necrosis factor-α appeared 30 min after infusion in the circulation, peaking (5665±1910 pg/ml) at 2 h. Interleukin-10 appeared 60 min after infusion, peaking (427±348 pg/ml) at 3 h. The expression of leukocyte activation markers increased significantly after infusion. Expression of HLA-DR on monocytes decreased significantly after 3 h (P=0.03). There was a correlation between the TNF-α:IL-10 ratio and the CD11b:HLA-DR ratio (P=0.03). Conclusions: During experimental human endotoxemia, an initial pro-inflammatory response is successfully compensated by an anti-inflammatory response, leading to homeostasis. This is in contrast to what happens in septic patients with compensatory anti-inflammatory response syndrome. The inflammatory balance, expressed as the cytokine pro:anti-inflammatory ratio, is reflected at a cellular level. Copyright (C) 2000 Elsevier Science B.V.","author":[{"dropping-particle":"","family":"Fijen","given":"J. W.","non-dropping-particle":"","parse-names":false,"suffix":""},{"dropping-particle":"","family":"Kobold","given":"A. C.Muller","non-dropping-particle":"","parse-names":false,"suffix":""},{"dropping-particle":"","family":"Boer","given":"P.","non-dropping-particle":"De","parse-names":false,"suffix":""},{"dropping-particle":"","family":"Jones","given":"C. R.","non-dropping-particle":"","parse-names":false,"suffix":""},{"dropping-particle":"","family":"Werf","given":"T. S.","non-dropping-particle":"Van Der","parse-names":false,"suffix":""},{"dropping-particle":"","family":"Tervaert","given":"J. W.Cohen","non-dropping-particle":"","parse-names":false,"suffix":""},{"dropping-particle":"","family":"Zijlstra","given":"J. G.","non-dropping-particle":"","parse-names":false,"suffix":""},{"dropping-particle":"","family":"Tulleken","given":"J. E.","non-dropping-particle":"","parse-names":false,"suffix":""}],"container-title":"European Journal of Internal Medicine","id":"ITEM-1","issue":"2","issued":{"date-parts":[["2000","4","1"]]},"page":"89-95","publisher":"Elsevier","title":"Leukocyte activation and cytokine production during experimental human endotoxemia","type":"article-journal","volume":"11"},"uris":["http://www.mendeley.com/documents/?uuid=fbd7b55b-6dd6-39dd-9a4f-fcd80797a3da"]}],"mendeley":{"formattedCitation":"(68)","plainTextFormattedCitation":"(68)","previouslyFormattedCitation":"(68)"},"properties":{"noteIndex":0},"schema":"https://github.com/citation-style-language/schema/raw/master/csl-citation.json"}</w:instrText>
      </w:r>
      <w:r>
        <w:fldChar w:fldCharType="separate"/>
      </w:r>
      <w:r w:rsidR="0085653B" w:rsidRPr="0085653B">
        <w:rPr>
          <w:noProof/>
        </w:rPr>
        <w:t>(68)</w:t>
      </w:r>
      <w:r>
        <w:fldChar w:fldCharType="end"/>
      </w:r>
      <w:r>
        <w:t xml:space="preserve">. </w:t>
      </w:r>
      <w:r w:rsidR="00100E48" w:rsidRPr="00100E48">
        <w:rPr>
          <w:color w:val="000000"/>
          <w:szCs w:val="24"/>
        </w:rPr>
        <w:t xml:space="preserve">TNF-α salınımını baskılayan en önemli </w:t>
      </w:r>
      <w:r w:rsidR="005A0FF4" w:rsidRPr="00100E48">
        <w:rPr>
          <w:color w:val="000000"/>
          <w:szCs w:val="24"/>
        </w:rPr>
        <w:t>mediyatörler</w:t>
      </w:r>
      <w:r w:rsidR="00100E48" w:rsidRPr="00100E48">
        <w:rPr>
          <w:color w:val="000000"/>
          <w:szCs w:val="24"/>
        </w:rPr>
        <w:t xml:space="preserve"> ise IL-10 ve prostaglandinler</w:t>
      </w:r>
      <w:r w:rsidR="00100E48">
        <w:rPr>
          <w:color w:val="000000"/>
          <w:szCs w:val="24"/>
        </w:rPr>
        <w:t>dir.</w:t>
      </w:r>
    </w:p>
    <w:p w14:paraId="31CB26C2" w14:textId="77777777" w:rsidR="00D70178" w:rsidRDefault="00A443F0" w:rsidP="00D70178">
      <w:pPr>
        <w:pStyle w:val="Balk3"/>
        <w:numPr>
          <w:ilvl w:val="0"/>
          <w:numId w:val="0"/>
        </w:numPr>
        <w:ind w:left="720"/>
      </w:pPr>
      <w:bookmarkStart w:id="504" w:name="_Toc45265931"/>
      <w:bookmarkStart w:id="505" w:name="_Toc55727827"/>
      <w:r w:rsidRPr="008103AF">
        <w:t>TGF-β</w:t>
      </w:r>
      <w:r w:rsidR="00F4050A">
        <w:t xml:space="preserve"> (T</w:t>
      </w:r>
      <w:r w:rsidR="00F4050A" w:rsidRPr="00F4050A">
        <w:t>ransforming büyüme faktörü</w:t>
      </w:r>
      <w:r w:rsidR="00000517">
        <w:t>-beta</w:t>
      </w:r>
      <w:r w:rsidR="00F4050A">
        <w:t>)</w:t>
      </w:r>
      <w:bookmarkEnd w:id="504"/>
      <w:bookmarkEnd w:id="505"/>
    </w:p>
    <w:p w14:paraId="31CB26C3" w14:textId="77777777" w:rsidR="00D70178" w:rsidRDefault="00D70178" w:rsidP="00A81EDF">
      <w:pPr>
        <w:rPr>
          <w:shd w:val="clear" w:color="auto" w:fill="FFFFFF"/>
        </w:rPr>
      </w:pPr>
      <w:r>
        <w:rPr>
          <w:shd w:val="clear" w:color="auto" w:fill="FFFFFF"/>
        </w:rPr>
        <w:t> </w:t>
      </w:r>
      <w:r w:rsidR="00A443F0" w:rsidRPr="00A443F0">
        <w:t>TGF-β</w:t>
      </w:r>
      <w:r>
        <w:rPr>
          <w:shd w:val="clear" w:color="auto" w:fill="FFFFFF"/>
        </w:rPr>
        <w:t>, makrofajlar tarafından üretilir</w:t>
      </w:r>
      <w:r w:rsidRPr="00A443F0">
        <w:t xml:space="preserve">. </w:t>
      </w:r>
      <w:r>
        <w:rPr>
          <w:shd w:val="clear" w:color="auto" w:fill="FFFFFF"/>
        </w:rPr>
        <w:t>T hücre</w:t>
      </w:r>
      <w:r w:rsidR="00F96E75">
        <w:rPr>
          <w:shd w:val="clear" w:color="auto" w:fill="FFFFFF"/>
        </w:rPr>
        <w:t>lerinin</w:t>
      </w:r>
      <w:r>
        <w:rPr>
          <w:shd w:val="clear" w:color="auto" w:fill="FFFFFF"/>
        </w:rPr>
        <w:t xml:space="preserve"> büyümesini ve farklılaşmasını değiştirerek </w:t>
      </w:r>
      <w:r w:rsidRPr="00A443F0">
        <w:t xml:space="preserve">pro-enflamatuar bağışıklık yanıtlarını baskılayan bir anti-enflamatuar </w:t>
      </w:r>
      <w:r w:rsidR="00F96E75">
        <w:t xml:space="preserve">olarak görev yapar. </w:t>
      </w:r>
      <w:r>
        <w:rPr>
          <w:rFonts w:ascii="Segoe UI" w:hAnsi="Segoe UI" w:cs="Segoe UI"/>
          <w:color w:val="212121"/>
          <w:shd w:val="clear" w:color="auto" w:fill="FFFFFF"/>
        </w:rPr>
        <w:t> </w:t>
      </w:r>
      <w:r>
        <w:rPr>
          <w:shd w:val="clear" w:color="auto" w:fill="FFFFFF"/>
        </w:rPr>
        <w:t xml:space="preserve"> </w:t>
      </w:r>
    </w:p>
    <w:p w14:paraId="31CB26C4" w14:textId="77777777" w:rsidR="00D70178" w:rsidRPr="00D44033" w:rsidRDefault="00F4050A" w:rsidP="00D70178">
      <w:pPr>
        <w:pStyle w:val="Balk3"/>
        <w:numPr>
          <w:ilvl w:val="0"/>
          <w:numId w:val="0"/>
        </w:numPr>
        <w:ind w:left="720"/>
      </w:pPr>
      <w:bookmarkStart w:id="506" w:name="_Toc45265932"/>
      <w:bookmarkStart w:id="507" w:name="_Toc55727828"/>
      <w:r>
        <w:t>IFN-</w:t>
      </w:r>
      <w:r w:rsidRPr="007974E9">
        <w:t>γ</w:t>
      </w:r>
      <w:r w:rsidRPr="00D44033">
        <w:t xml:space="preserve"> </w:t>
      </w:r>
      <w:r w:rsidR="00D70178" w:rsidRPr="00D44033">
        <w:t>(</w:t>
      </w:r>
      <w:r w:rsidRPr="00D44033">
        <w:t>İnterferon</w:t>
      </w:r>
      <w:r>
        <w:t>-</w:t>
      </w:r>
      <w:r w:rsidRPr="00D44033">
        <w:t>gama</w:t>
      </w:r>
      <w:r w:rsidR="00D70178" w:rsidRPr="00D44033">
        <w:t>)</w:t>
      </w:r>
      <w:bookmarkEnd w:id="506"/>
      <w:bookmarkEnd w:id="507"/>
    </w:p>
    <w:p w14:paraId="31CB26C5" w14:textId="77777777" w:rsidR="00D70178" w:rsidRDefault="00D70178" w:rsidP="00D70178">
      <w:r>
        <w:t xml:space="preserve">Vücut hücrelerinin </w:t>
      </w:r>
      <w:r w:rsidR="005A0FF4">
        <w:t>birçoğunda</w:t>
      </w:r>
      <w:r w:rsidRPr="00994160">
        <w:t xml:space="preserve"> sentezlenen</w:t>
      </w:r>
      <w:r>
        <w:t>;</w:t>
      </w:r>
      <w:r w:rsidRPr="00994160">
        <w:t xml:space="preserve"> bakterilere, parazitlere, virüslere ve </w:t>
      </w:r>
      <w:r>
        <w:t>tümörlere</w:t>
      </w:r>
      <w:r w:rsidRPr="00994160">
        <w:t xml:space="preserve"> karşı etki gösteren bir pro</w:t>
      </w:r>
      <w:r>
        <w:t>inflamatuvar ve düzenleyici s</w:t>
      </w:r>
      <w:r w:rsidRPr="00994160">
        <w:t>itokin</w:t>
      </w:r>
      <w:r>
        <w:t>dir.</w:t>
      </w:r>
      <w:r w:rsidRPr="00D7338F">
        <w:t xml:space="preserve"> İnterferon-y </w:t>
      </w:r>
      <w:r w:rsidRPr="00D7338F">
        <w:lastRenderedPageBreak/>
        <w:t>(</w:t>
      </w:r>
      <w:r w:rsidR="00A443F0">
        <w:t>IFN-</w:t>
      </w:r>
      <w:r w:rsidR="00314FF0" w:rsidRPr="007974E9">
        <w:t>γ</w:t>
      </w:r>
      <w:r w:rsidRPr="00D7338F">
        <w:t xml:space="preserve">) esas olarak aktifleştirilmiş CD4 + veya CD8 + T hücreleri ve doğal öldürücü hücreler tarafından üretilir. </w:t>
      </w:r>
    </w:p>
    <w:p w14:paraId="31CB26C6" w14:textId="77777777" w:rsidR="00577025" w:rsidRDefault="00577025" w:rsidP="00577025">
      <w:pPr>
        <w:pStyle w:val="Balk3"/>
        <w:numPr>
          <w:ilvl w:val="0"/>
          <w:numId w:val="0"/>
        </w:numPr>
        <w:ind w:left="720"/>
      </w:pPr>
      <w:bookmarkStart w:id="508" w:name="_Toc45265933"/>
      <w:bookmarkStart w:id="509" w:name="_Toc55727829"/>
      <w:r w:rsidRPr="00491E8F">
        <w:t>İnterlökin-4 (IL-4)</w:t>
      </w:r>
      <w:bookmarkEnd w:id="508"/>
      <w:bookmarkEnd w:id="509"/>
      <w:r>
        <w:t xml:space="preserve"> </w:t>
      </w:r>
    </w:p>
    <w:p w14:paraId="31CB26C7" w14:textId="37228B96" w:rsidR="00133F3D" w:rsidRDefault="00133F3D" w:rsidP="002568E9">
      <w:r w:rsidRPr="002568E9">
        <w:t>IL-4, aktif B ve T lenfositlerinin proliferasyonunu uyarabilen ve CD4 + T lenfositlerinin Th2'ye farklılaşmasını indükleyebilen klasik bir</w:t>
      </w:r>
      <w:r w:rsidR="002568E9">
        <w:t xml:space="preserve"> </w:t>
      </w:r>
      <w:r w:rsidR="005A0FF4" w:rsidRPr="002568E9">
        <w:t>anti</w:t>
      </w:r>
      <w:r w:rsidR="005A0FF4">
        <w:t>i</w:t>
      </w:r>
      <w:r w:rsidR="005A0FF4" w:rsidRPr="002568E9">
        <w:t>nflamatuvar</w:t>
      </w:r>
      <w:r>
        <w:rPr>
          <w:rFonts w:ascii="Tahoma" w:hAnsi="Tahoma" w:cs="Tahoma"/>
          <w:color w:val="333333"/>
          <w:sz w:val="21"/>
          <w:szCs w:val="21"/>
          <w:shd w:val="clear" w:color="auto" w:fill="FFFFFF"/>
        </w:rPr>
        <w:t> </w:t>
      </w:r>
      <w:r>
        <w:t>sitokindir</w:t>
      </w:r>
      <w:r>
        <w:rPr>
          <w:rFonts w:ascii="Tahoma" w:hAnsi="Tahoma" w:cs="Tahoma"/>
          <w:color w:val="333333"/>
          <w:sz w:val="21"/>
          <w:szCs w:val="21"/>
          <w:shd w:val="clear" w:color="auto" w:fill="FFFFFF"/>
        </w:rPr>
        <w:t xml:space="preserve">. </w:t>
      </w:r>
      <w:r w:rsidRPr="00491E8F">
        <w:t xml:space="preserve">Antijenle </w:t>
      </w:r>
      <w:r>
        <w:t>karşılaşan</w:t>
      </w:r>
      <w:r w:rsidRPr="00491E8F">
        <w:t xml:space="preserve"> CD4+ T lenfositlerinden </w:t>
      </w:r>
      <w:r>
        <w:t>(</w:t>
      </w:r>
      <w:r w:rsidRPr="00491E8F">
        <w:t>özellikle TH2 alt</w:t>
      </w:r>
      <w:r>
        <w:t xml:space="preserve"> </w:t>
      </w:r>
      <w:r w:rsidRPr="00491E8F">
        <w:t>grubundan</w:t>
      </w:r>
      <w:r>
        <w:t>)</w:t>
      </w:r>
      <w:r w:rsidRPr="00491E8F">
        <w:t xml:space="preserve"> </w:t>
      </w:r>
      <w:r>
        <w:t>salınırlar.</w:t>
      </w:r>
      <w:r w:rsidR="00577025">
        <w:t xml:space="preserve"> </w:t>
      </w:r>
      <w:r w:rsidR="00577025" w:rsidRPr="00491E8F">
        <w:t>Aktive mast hücreleri,</w:t>
      </w:r>
      <w:r w:rsidR="00577025">
        <w:t xml:space="preserve"> </w:t>
      </w:r>
      <w:r w:rsidR="00577025" w:rsidRPr="00491E8F">
        <w:t>bazofil ve bazı CD8+ T hücreleri de IL-4 üretirler.</w:t>
      </w:r>
      <w:r>
        <w:t xml:space="preserve"> </w:t>
      </w:r>
      <w:r w:rsidRPr="00491E8F">
        <w:t>Temel etkisi alerjik olayları</w:t>
      </w:r>
      <w:r>
        <w:t xml:space="preserve"> </w:t>
      </w:r>
      <w:r w:rsidRPr="00491E8F">
        <w:t>düzenlemektir</w:t>
      </w:r>
      <w:r w:rsidR="00577025" w:rsidRPr="00491E8F">
        <w:t xml:space="preserve"> </w:t>
      </w:r>
      <w:r w:rsidR="00577025">
        <w:fldChar w:fldCharType="begin" w:fldLock="1"/>
      </w:r>
      <w:r w:rsidR="0085653B">
        <w:instrText>ADDIN CSL_CITATION {"citationItems":[{"id":"ITEM-1","itemData":{"DOI":"10.1080/1744666X.2017.1298443","ISSN":"17448409","abstract":"Introduction: Allergy results from an aberrant Type 2 inflammatory response, triggered by a wide range of environmental antigens (allergens) that lead to various immune responses, culminating in the production of immunoglobulin E (IgE). Two key cytokines, interleukin (IL)-4 and IL-13, are critical to the induction and perpetuation of the Type 2 response, and have been implicated in multiple atopic diseases. Area covered: This review summarizes recent milestone developments that have elucidated components of the pathogenesis of atopic diseases such as atopic dermatitis (AD), asthma, and chronic sinusitis with nasal polyposis (CSwNP). Expert commentary: Several therapeutic agents that selectively target potentiators of the Type 2 pathway have shown efficacy in one or more of these atopic diseases, but few agents have proven to be broadly applicable across all three atopic diseases. Dupilumab, a human monoclonal antibody that simultaneously inhibits signaling of IL-4 and IL-13, has demonstrated significant clinical efficacy in AD, asthma, and CSwNP. The fact that these diseases often occur as comorbidities and respond to the same therapy suggests that there is a common underlying pathogenic pathway, and that IL-4 and IL-13 cytokines are central to regulating the pathogenesis of these atopic diseases.","author":[{"dropping-particle":"","family":"Gandhi","given":"Namita A.","non-dropping-particle":"","parse-names":false,"suffix":""},{"dropping-particle":"","family":"Pirozzi","given":"Gianluca","non-dropping-particle":"","parse-names":false,"suffix":""},{"dropping-particle":"","family":"Graham","given":"Neil M.H.","non-dropping-particle":"","parse-names":false,"suffix":""}],"container-title":"Expert Review of Clinical Immunology","id":"ITEM-1","issue":"5","issued":{"date-parts":[["2017","5","4"]]},"page":"425-437","publisher":"Taylor and Francis Ltd","title":"Commonality of the IL-4/IL-13 pathway in atopic diseases","type":"article","volume":"13"},"uris":["http://www.mendeley.com/documents/?uuid=bc35f69e-4ecc-30b7-90a3-9ae92f2d783e"]}],"mendeley":{"formattedCitation":"(69)","plainTextFormattedCitation":"(69)","previouslyFormattedCitation":"(69)"},"properties":{"noteIndex":0},"schema":"https://github.com/citation-style-language/schema/raw/master/csl-citation.json"}</w:instrText>
      </w:r>
      <w:r w:rsidR="00577025">
        <w:fldChar w:fldCharType="separate"/>
      </w:r>
      <w:r w:rsidR="0085653B" w:rsidRPr="0085653B">
        <w:rPr>
          <w:noProof/>
        </w:rPr>
        <w:t>(69)</w:t>
      </w:r>
      <w:r w:rsidR="00577025">
        <w:fldChar w:fldCharType="end"/>
      </w:r>
      <w:r w:rsidR="00577025" w:rsidRPr="00491E8F">
        <w:t>.</w:t>
      </w:r>
      <w:r>
        <w:rPr>
          <w:rFonts w:ascii="Tahoma" w:hAnsi="Tahoma" w:cs="Tahoma"/>
          <w:color w:val="333333"/>
          <w:sz w:val="21"/>
          <w:szCs w:val="21"/>
          <w:shd w:val="clear" w:color="auto" w:fill="FFFFFF"/>
        </w:rPr>
        <w:t> </w:t>
      </w:r>
      <w:r w:rsidRPr="00133F3D">
        <w:t xml:space="preserve">IL-4, kendisinin ve diğer anti-enflamatuar sitokinlerin salınmasını uyarabilir ve pro-enflamatuar sitokinlerin monositler tarafından salgılanmasını engelleyebilir. Mevcut klinik çalışmalar, IL-4'ün sepsisin şiddeti ve prognozu ile anlamlı bir korelasyonu olmadığını, dolayısıyla IL-4'ün klinik uygulamasını sınırladığını göstermektedir </w:t>
      </w:r>
      <w:r w:rsidRPr="00133F3D">
        <w:fldChar w:fldCharType="begin" w:fldLock="1"/>
      </w:r>
      <w:r w:rsidR="0085653B">
        <w:instrText>ADDIN CSL_CITATION {"citationItems":[{"id":"ITEM-1","itemData":{"DOI":"10.3760/cma.j.issn.1009-2587.2019.01.002","ISSN":"10092587","abstract":"Sepsis is defined as a life-threatening organ dysfunction caused by a dysregulated host response to infection, which is a global health crisis. The cytokines are a class of protein mediators secreted by cells with low molecular weights and biological activity. There are two types of cytokines, pro-inflammatory and anti-inflammatory cytokines, participating in regulation of immunity and inflammation in sepsis. Cytokines are also used as biomarkers for early warning, diagnosis, and prognostic assessment of sepsis and as therapeutic targets for prevention and treatment of sepsis. This paper briefly summarizes the research advance of some cytokines in sepsis and the related work carried out by author's institute, and elaborates the roles of cytokines in sepsis and their clinical application value, helping to provide some ideas and reference for the future research of cytokines in sepsis.","author":[{"dropping-particle":"","family":"Xia","given":"Z. F.","non-dropping-particle":"","parse-names":false,"suffix":""},{"dropping-particle":"","family":"Wu","given":"G. S.","non-dropping-particle":"","parse-names":false,"suffix":""}],"container-title":"Zhonghua shao shang za zhi = Zhonghua shaoshang zazhi = Chinese journal of burns","id":"ITEM-1","issue":"1","issued":{"date-parts":[["2019","1","20"]]},"page":"3-7","publisher":"NLM (Medline)","title":"Role of cytokines in sepsis and its current situation of clinical application","type":"article","volume":"35"},"uris":["http://www.mendeley.com/documents/?uuid=54e0614a-4e3d-3466-9e76-a39dae8d7122"]}],"mendeley":{"formattedCitation":"(70)","plainTextFormattedCitation":"(70)","previouslyFormattedCitation":"(70)"},"properties":{"noteIndex":0},"schema":"https://github.com/citation-style-language/schema/raw/master/csl-citation.json"}</w:instrText>
      </w:r>
      <w:r w:rsidRPr="00133F3D">
        <w:fldChar w:fldCharType="separate"/>
      </w:r>
      <w:r w:rsidR="0085653B" w:rsidRPr="0085653B">
        <w:rPr>
          <w:noProof/>
        </w:rPr>
        <w:t>(70)</w:t>
      </w:r>
      <w:r w:rsidRPr="00133F3D">
        <w:fldChar w:fldCharType="end"/>
      </w:r>
      <w:r w:rsidRPr="00133F3D">
        <w:t>.</w:t>
      </w:r>
      <w:r>
        <w:rPr>
          <w:rFonts w:ascii="Tahoma" w:hAnsi="Tahoma" w:cs="Tahoma"/>
          <w:color w:val="333333"/>
          <w:sz w:val="21"/>
          <w:szCs w:val="21"/>
          <w:shd w:val="clear" w:color="auto" w:fill="FFFFFF"/>
        </w:rPr>
        <w:t> </w:t>
      </w:r>
    </w:p>
    <w:p w14:paraId="31CB26C9" w14:textId="77777777" w:rsidR="00577025" w:rsidRDefault="00577025" w:rsidP="00577025">
      <w:pPr>
        <w:pStyle w:val="Balk3"/>
        <w:numPr>
          <w:ilvl w:val="0"/>
          <w:numId w:val="0"/>
        </w:numPr>
        <w:ind w:left="720"/>
      </w:pPr>
      <w:bookmarkStart w:id="510" w:name="_Toc45265934"/>
      <w:bookmarkStart w:id="511" w:name="_Toc55727830"/>
      <w:r>
        <w:t>İnterlökin-6</w:t>
      </w:r>
      <w:r w:rsidRPr="00491E8F">
        <w:rPr>
          <w:color w:val="FF0000"/>
          <w:sz w:val="28"/>
          <w:szCs w:val="28"/>
        </w:rPr>
        <w:t xml:space="preserve"> </w:t>
      </w:r>
      <w:r>
        <w:t>(IL-6</w:t>
      </w:r>
      <w:r w:rsidRPr="00491E8F">
        <w:t>)</w:t>
      </w:r>
      <w:bookmarkEnd w:id="510"/>
      <w:bookmarkEnd w:id="511"/>
      <w:r w:rsidRPr="00491E8F">
        <w:rPr>
          <w:color w:val="FF0000"/>
        </w:rPr>
        <w:t xml:space="preserve"> </w:t>
      </w:r>
    </w:p>
    <w:p w14:paraId="31CB26CA" w14:textId="7BA61916" w:rsidR="00100E48" w:rsidRDefault="00F1791B" w:rsidP="00D34537">
      <w:r>
        <w:t>Proinflamatuvar</w:t>
      </w:r>
      <w:r w:rsidR="001D6569">
        <w:t xml:space="preserve"> </w:t>
      </w:r>
      <w:r w:rsidR="00D34537">
        <w:t>bir</w:t>
      </w:r>
      <w:r>
        <w:t xml:space="preserve"> sitokin olan </w:t>
      </w:r>
      <w:r w:rsidR="00577025" w:rsidRPr="00C51DF3">
        <w:t>IL-6</w:t>
      </w:r>
      <w:r>
        <w:t xml:space="preserve"> nın plazma düzeyleri</w:t>
      </w:r>
      <w:r w:rsidR="00577025" w:rsidRPr="00C51DF3">
        <w:t xml:space="preserve"> sepsisin ciddiyetini belirlemede güvenilir bir belirteç</w:t>
      </w:r>
      <w:r w:rsidR="00577025">
        <w:t xml:space="preserve"> </w:t>
      </w:r>
      <w:r w:rsidR="00577025" w:rsidRPr="00C51DF3">
        <w:t xml:space="preserve">olarak gösterilmektedir </w:t>
      </w:r>
      <w:r w:rsidR="00577025">
        <w:fldChar w:fldCharType="begin" w:fldLock="1"/>
      </w:r>
      <w:r w:rsidR="0085653B">
        <w:instrText>ADDIN CSL_CITATION {"citationItems":[{"id":"ITEM-1","itemData":{"DOI":"10.1086/315214","ISSN":"0022-1899","abstract":"Serum concentrations of the proinflammatory cytokines tumor necrosis factor-alpha (TNF-alpha), interleukin (IL)-1beta, and IL-6, and the anti-inflammatory cytokine Il-10, and IL-1 receptor antagonists (IL-1ra) and soluble TNF receptors (sTNFRs) were measured in 65 patients with severe sepsis. All patients were evaluated clinically and microbiologically and were followed up for clinical outcome. Levels of both pro- and anti-inflammatory cytokines were significantly elevated in patients with sepsis. Elevated serum IL-10 and TNF-alpha levels and a high IL-10 to TNF-alpha ratio were associated with death, whereas higher levels of TNF-alpha, IL-6, IL-1ra, and sTNFR were detected in patients with an early hemodynamic deterioration. Interleukin-10 and IL-10:TNF-alpha ratio remained higher in nonsurvivors, whereas IL-10 paralleled the sepsis score. Although both the inflammatory and anti-inflammatory response is profoundly augmented in patients with severe sepsis, the sustained overproduction of the anti-inflammatory cytokine IL-10 is the main predictor of severity and fatal outcome.","author":[{"dropping-particle":"","family":"Gogos","given":"Charalambos A.","non-dropping-particle":"","parse-names":false,"suffix":""},{"dropping-particle":"","family":"Drosou","given":"Eugenia","non-dropping-particle":"","parse-names":false,"suffix":""},{"dropping-particle":"","family":"Bassaris","given":"Harry P.","non-dropping-particle":"","parse-names":false,"suffix":""},{"dropping-particle":"","family":"Skoutelis","given":"Athanassios","non-dropping-particle":"","parse-names":false,"suffix":""}],"container-title":"The Journal of Infectious Diseases","id":"ITEM-1","issue":"1","issued":{"date-parts":[["2000","1","1"]]},"page":"176-180","publisher":"Oxford University Press (OUP)","title":"Pro</w:instrText>
      </w:r>
      <w:r w:rsidR="0085653B">
        <w:rPr>
          <w:rFonts w:ascii="Cambria Math" w:hAnsi="Cambria Math" w:cs="Cambria Math"/>
        </w:rPr>
        <w:instrText>‐</w:instrText>
      </w:r>
      <w:r w:rsidR="0085653B">
        <w:instrText xml:space="preserve"> versus Anti</w:instrText>
      </w:r>
      <w:r w:rsidR="0085653B">
        <w:rPr>
          <w:rFonts w:ascii="Cambria Math" w:hAnsi="Cambria Math" w:cs="Cambria Math"/>
        </w:rPr>
        <w:instrText>‐</w:instrText>
      </w:r>
      <w:r w:rsidR="0085653B">
        <w:instrText>inflammatory Cytokine Profile in Patients with Severe Sepsis: A Marker for Prognosis and Future Therapeutic Options","type":"article-journal","volume":"181"},"uris":["http://www.mendeley.com/documents/?uuid=b05eba3b-65e6-3c9b-b79c-d9592dfc5392"]}],"mendeley":{"formattedCitation":"(58)","plainTextFormattedCitation":"(58)","previouslyFormattedCitation":"(58)"},"properties":{"noteIndex":0},"schema":"https://github.com/citation-style-language/schema/raw/master/csl-citation.json"}</w:instrText>
      </w:r>
      <w:r w:rsidR="00577025">
        <w:fldChar w:fldCharType="separate"/>
      </w:r>
      <w:r w:rsidR="0085653B" w:rsidRPr="0085653B">
        <w:rPr>
          <w:noProof/>
        </w:rPr>
        <w:t>(58)</w:t>
      </w:r>
      <w:r w:rsidR="00577025">
        <w:fldChar w:fldCharType="end"/>
      </w:r>
      <w:r w:rsidR="00577025">
        <w:t>.</w:t>
      </w:r>
      <w:r w:rsidR="00577025" w:rsidRPr="00C51DF3">
        <w:t xml:space="preserve"> </w:t>
      </w:r>
      <w:r w:rsidR="00C76CC1" w:rsidRPr="00590C14">
        <w:t>IL-6, LPS stimülasyonundan sonra Kupffer hücreleri, hepatositler ve sinüzoidal endotelyal hücreler tarafından üretilir. </w:t>
      </w:r>
      <w:r w:rsidR="005A0FF4" w:rsidRPr="00D34537">
        <w:rPr>
          <w:color w:val="000000"/>
          <w:szCs w:val="24"/>
        </w:rPr>
        <w:t>Enflamasyona</w:t>
      </w:r>
      <w:r w:rsidR="00D34537" w:rsidRPr="00D34537">
        <w:rPr>
          <w:color w:val="000000"/>
          <w:szCs w:val="24"/>
        </w:rPr>
        <w:t xml:space="preserve"> sekonder olarak </w:t>
      </w:r>
      <w:r w:rsidR="00D34537">
        <w:rPr>
          <w:color w:val="000000"/>
          <w:szCs w:val="24"/>
        </w:rPr>
        <w:t>ilk 1 saatte</w:t>
      </w:r>
      <w:r w:rsidR="00D34537" w:rsidRPr="00D34537">
        <w:rPr>
          <w:color w:val="000000"/>
          <w:szCs w:val="24"/>
        </w:rPr>
        <w:t xml:space="preserve"> sentezlenip </w:t>
      </w:r>
      <w:r w:rsidR="00D34537">
        <w:rPr>
          <w:color w:val="000000"/>
          <w:szCs w:val="24"/>
        </w:rPr>
        <w:t>dolaşıma katılmaktadır</w:t>
      </w:r>
      <w:r w:rsidR="00D34537" w:rsidRPr="00D34537">
        <w:rPr>
          <w:color w:val="000000"/>
          <w:szCs w:val="24"/>
        </w:rPr>
        <w:t>. 4-6 saatte pik yaparak 10 gün dolaşımda kalmaktadır. Komplike olmayan</w:t>
      </w:r>
      <w:r w:rsidR="00D34537">
        <w:rPr>
          <w:color w:val="000000"/>
          <w:szCs w:val="24"/>
        </w:rPr>
        <w:t xml:space="preserve"> </w:t>
      </w:r>
      <w:r w:rsidR="00D34537" w:rsidRPr="00D34537">
        <w:rPr>
          <w:color w:val="000000"/>
          <w:szCs w:val="24"/>
        </w:rPr>
        <w:t>vakalarda iki gün yüksek kalmakta ve hızla düşerek bir haftada normal düzeylere inmektedir.</w:t>
      </w:r>
      <w:r w:rsidR="00100E48">
        <w:rPr>
          <w:color w:val="000000"/>
          <w:szCs w:val="24"/>
        </w:rPr>
        <w:t xml:space="preserve"> </w:t>
      </w:r>
      <w:r w:rsidR="00100E48" w:rsidRPr="00100E48">
        <w:rPr>
          <w:color w:val="000000"/>
          <w:szCs w:val="24"/>
        </w:rPr>
        <w:t>Hipotalamusta bulunan ateş merkezini stimule ettiklerinden dolayı, ateş</w:t>
      </w:r>
      <w:r w:rsidR="00100E48">
        <w:rPr>
          <w:color w:val="000000"/>
          <w:szCs w:val="24"/>
        </w:rPr>
        <w:t xml:space="preserve"> yüksekliği yapar, bu nedenle</w:t>
      </w:r>
      <w:r w:rsidR="00100E48" w:rsidRPr="00100E48">
        <w:rPr>
          <w:color w:val="000000"/>
          <w:szCs w:val="24"/>
        </w:rPr>
        <w:t xml:space="preserve"> endojen pirojen</w:t>
      </w:r>
      <w:r w:rsidR="00100E48">
        <w:rPr>
          <w:color w:val="000000"/>
          <w:szCs w:val="24"/>
        </w:rPr>
        <w:t xml:space="preserve"> </w:t>
      </w:r>
      <w:r w:rsidR="00100E48" w:rsidRPr="00100E48">
        <w:rPr>
          <w:color w:val="000000"/>
          <w:szCs w:val="24"/>
        </w:rPr>
        <w:t xml:space="preserve">olarak rol </w:t>
      </w:r>
      <w:r w:rsidR="00100E48">
        <w:rPr>
          <w:color w:val="000000"/>
          <w:szCs w:val="24"/>
        </w:rPr>
        <w:t>adlandırılır.</w:t>
      </w:r>
      <w:r w:rsidR="00D34537" w:rsidRPr="00D34537">
        <w:t xml:space="preserve"> </w:t>
      </w:r>
      <w:r w:rsidR="00577025" w:rsidRPr="00C51DF3">
        <w:t>Sepsiste organ disfonksiyonunun artmasıyla IL-6 düzeyinde</w:t>
      </w:r>
      <w:r w:rsidR="00577025">
        <w:t xml:space="preserve"> artış olmaktadır, s</w:t>
      </w:r>
      <w:r w:rsidR="00577025" w:rsidRPr="00C51DF3">
        <w:t>epsiste yüksek IL-6 düzeyleri artmış mortaliteyle de ilişkili</w:t>
      </w:r>
      <w:r>
        <w:t xml:space="preserve"> </w:t>
      </w:r>
      <w:r w:rsidR="00577025" w:rsidRPr="00C51DF3">
        <w:t>bulunmuştur</w:t>
      </w:r>
      <w:r w:rsidR="00577025">
        <w:t xml:space="preserve"> </w:t>
      </w:r>
      <w:r w:rsidR="00577025">
        <w:fldChar w:fldCharType="begin" w:fldLock="1"/>
      </w:r>
      <w:r w:rsidR="0085653B">
        <w:instrText>ADDIN CSL_CITATION {"citationItems":[{"id":"ITEM-1","itemData":{"DOI":"10.1086/315214","ISSN":"0022-1899","abstract":"Serum concentrations of the proinflammatory cytokines tumor necrosis factor-alpha (TNF-alpha), interleukin (IL)-1beta, and IL-6, and the anti-inflammatory cytokine Il-10, and IL-1 receptor antagonists (IL-1ra) and soluble TNF receptors (sTNFRs) were measured in 65 patients with severe sepsis. All patients were evaluated clinically and microbiologically and were followed up for clinical outcome. Levels of both pro- and anti-inflammatory cytokines were significantly elevated in patients with sepsis. Elevated serum IL-10 and TNF-alpha levels and a high IL-10 to TNF-alpha ratio were associated with death, whereas higher levels of TNF-alpha, IL-6, IL-1ra, and sTNFR were detected in patients with an early hemodynamic deterioration. Interleukin-10 and IL-10:TNF-alpha ratio remained higher in nonsurvivors, whereas IL-10 paralleled the sepsis score. Although both the inflammatory and anti-inflammatory response is profoundly augmented in patients with severe sepsis, the sustained overproduction of the anti-inflammatory cytokine IL-10 is the main predictor of severity and fatal outcome.","author":[{"dropping-particle":"","family":"Gogos","given":"Charalambos A.","non-dropping-particle":"","parse-names":false,"suffix":""},{"dropping-particle":"","family":"Drosou","given":"Eugenia","non-dropping-particle":"","parse-names":false,"suffix":""},{"dropping-particle":"","family":"Bassaris","given":"Harry P.","non-dropping-particle":"","parse-names":false,"suffix":""},{"dropping-particle":"","family":"Skoutelis","given":"Athanassios","non-dropping-particle":"","parse-names":false,"suffix":""}],"container-title":"The Journal of Infectious Diseases","id":"ITEM-1","issue":"1","issued":{"date-parts":[["2000","1","1"]]},"page":"176-180","publisher":"Oxford University Press (OUP)","title":"Pro</w:instrText>
      </w:r>
      <w:r w:rsidR="0085653B">
        <w:rPr>
          <w:rFonts w:ascii="Cambria Math" w:hAnsi="Cambria Math" w:cs="Cambria Math"/>
        </w:rPr>
        <w:instrText>‐</w:instrText>
      </w:r>
      <w:r w:rsidR="0085653B">
        <w:instrText xml:space="preserve"> versus Anti</w:instrText>
      </w:r>
      <w:r w:rsidR="0085653B">
        <w:rPr>
          <w:rFonts w:ascii="Cambria Math" w:hAnsi="Cambria Math" w:cs="Cambria Math"/>
        </w:rPr>
        <w:instrText>‐</w:instrText>
      </w:r>
      <w:r w:rsidR="0085653B">
        <w:instrText>inflammatory Cytokine Profile in Patients with Severe Sepsis: A Marker for Prognosis and Future Therapeutic Options","type":"article-journal","volume":"181"},"uris":["http://www.mendeley.com/documents/?uuid=b05eba3b-65e6-3c9b-b79c-d9592dfc5392"]}],"mendeley":{"formattedCitation":"(58)","plainTextFormattedCitation":"(58)","previouslyFormattedCitation":"(58)"},"properties":{"noteIndex":0},"schema":"https://github.com/citation-style-language/schema/raw/master/csl-citation.json"}</w:instrText>
      </w:r>
      <w:r w:rsidR="00577025">
        <w:fldChar w:fldCharType="separate"/>
      </w:r>
      <w:r w:rsidR="0085653B" w:rsidRPr="0085653B">
        <w:rPr>
          <w:noProof/>
        </w:rPr>
        <w:t>(58)</w:t>
      </w:r>
      <w:r w:rsidR="00577025">
        <w:fldChar w:fldCharType="end"/>
      </w:r>
      <w:r w:rsidR="00577025" w:rsidRPr="00C51DF3">
        <w:t xml:space="preserve">. </w:t>
      </w:r>
    </w:p>
    <w:p w14:paraId="31CB26CB" w14:textId="2BACB95E" w:rsidR="00577025" w:rsidRDefault="00100E48" w:rsidP="00D34537">
      <w:r w:rsidRPr="00100E48">
        <w:rPr>
          <w:color w:val="000000"/>
          <w:szCs w:val="24"/>
        </w:rPr>
        <w:t>IL- 6; inflamasyon ve doku hasarı meydana geldiğinde, hepatositlere uyarı göndererek</w:t>
      </w:r>
      <w:r>
        <w:rPr>
          <w:color w:val="000000"/>
          <w:szCs w:val="24"/>
        </w:rPr>
        <w:t xml:space="preserve"> </w:t>
      </w:r>
      <w:r w:rsidRPr="00100E48">
        <w:rPr>
          <w:color w:val="000000"/>
          <w:szCs w:val="24"/>
        </w:rPr>
        <w:t>CRP, amiloid, fibrinojen ve haptoglobulin gibi pozitif akut faz proteinlerinin sentezinde</w:t>
      </w:r>
      <w:r>
        <w:rPr>
          <w:color w:val="000000"/>
          <w:szCs w:val="24"/>
        </w:rPr>
        <w:t xml:space="preserve"> </w:t>
      </w:r>
      <w:r w:rsidRPr="00100E48">
        <w:rPr>
          <w:color w:val="000000"/>
          <w:szCs w:val="24"/>
        </w:rPr>
        <w:t>önemli roller üstlen</w:t>
      </w:r>
      <w:r>
        <w:rPr>
          <w:color w:val="000000"/>
          <w:szCs w:val="24"/>
        </w:rPr>
        <w:t xml:space="preserve">mektedir </w:t>
      </w:r>
      <w:r>
        <w:rPr>
          <w:color w:val="000000"/>
          <w:szCs w:val="24"/>
        </w:rPr>
        <w:fldChar w:fldCharType="begin" w:fldLock="1"/>
      </w:r>
      <w:r w:rsidR="0085653B">
        <w:rPr>
          <w:color w:val="000000"/>
          <w:szCs w:val="24"/>
        </w:rPr>
        <w:instrText>ADDIN CSL_CITATION {"citationItems":[{"id":"ITEM-1","itemData":{"DOI":"10.1002/eji.1830260522","ISSN":"00142980","abstract":"The complement activation fragment C5a was recently shown to induce interleukin (IL)-6 synthesis by peripheral blood mononuclear cells. To understand better the role of C5a in cytokine regulation in vivo, we investigated the effects of complement depletion by cobra venom factor (CVF) or of anti-C5a monoclonal antibodies (mAb) on IL-6 generation in an animal model of septic shock. Complement-depleted pigs which were subsequently challenged with Escherichia coli generated significantly (p &lt; 0.05) less IL-6 during the 6-h observation period than complement-sufficient controls. To address specifically the role of C5a in IL-6 regulation, we produced a C5a(57-74) peptide-specific mAb (T13/9) which neutralizes the bioactivity of porcine C5a. The mAb T13/9 does not cross-react with the precursor protein C5. The pretreatment of pigs with anti-C5a mAb T13/9 prior to the induction of sepsis resulted in a decrease of over 75% in serum IL-6 bioactivity compared to control animals (p &lt; 0.0001). These results indicate a role for C5a in the modulation of IL-6 synthesis in Gram-negative bacteremia.","author":[{"dropping-particle":"","family":"Höpken","given":"Uta","non-dropping-particle":"","parse-names":false,"suffix":""},{"dropping-particle":"","family":"Mohr","given":"Michael","non-dropping-particle":"","parse-names":false,"suffix":""},{"dropping-particle":"","family":"Strüber","given":"Andreas","non-dropping-particle":"","parse-names":false,"suffix":""},{"dropping-particle":"","family":"Montz","given":"Hildegard","non-dropping-particle":"","parse-names":false,"suffix":""},{"dropping-particle":"","family":"Burchardi","given":"Hilmar","non-dropping-particle":"","parse-names":false,"suffix":""},{"dropping-particle":"","family":"Götze","given":"Otto","non-dropping-particle":"","parse-names":false,"suffix":""},{"dropping-particle":"","family":"Oppermann","given":"Martin","non-dropping-particle":"","parse-names":false,"suffix":""}],"container-title":"European Journal of Immunology","id":"ITEM-1","issue":"5","issued":{"date-parts":[["1996","5","1"]]},"page":"1103-1109","publisher":"John Wiley &amp; Sons, Ltd","title":"Inhibition of interleukin-6 synthesis in an animal model of septic shock by anti-C5a monoclonal antibodies","type":"article-journal","volume":"26"},"uris":["http://www.mendeley.com/documents/?uuid=584a6913-4649-3ebc-b722-fcb4635a7264"]}],"mendeley":{"formattedCitation":"(71)","plainTextFormattedCitation":"(71)","previouslyFormattedCitation":"(71)"},"properties":{"noteIndex":0},"schema":"https://github.com/citation-style-language/schema/raw/master/csl-citation.json"}</w:instrText>
      </w:r>
      <w:r>
        <w:rPr>
          <w:color w:val="000000"/>
          <w:szCs w:val="24"/>
        </w:rPr>
        <w:fldChar w:fldCharType="separate"/>
      </w:r>
      <w:r w:rsidR="0085653B" w:rsidRPr="0085653B">
        <w:rPr>
          <w:noProof/>
          <w:color w:val="000000"/>
          <w:szCs w:val="24"/>
        </w:rPr>
        <w:t>(71)</w:t>
      </w:r>
      <w:r>
        <w:rPr>
          <w:color w:val="000000"/>
          <w:szCs w:val="24"/>
        </w:rPr>
        <w:fldChar w:fldCharType="end"/>
      </w:r>
      <w:r>
        <w:rPr>
          <w:color w:val="000000"/>
          <w:szCs w:val="24"/>
        </w:rPr>
        <w:t>.</w:t>
      </w:r>
    </w:p>
    <w:p w14:paraId="31CB26CD" w14:textId="77777777" w:rsidR="00491E8F" w:rsidRDefault="00491E8F" w:rsidP="00491E8F">
      <w:pPr>
        <w:pStyle w:val="Balk3"/>
        <w:numPr>
          <w:ilvl w:val="0"/>
          <w:numId w:val="0"/>
        </w:numPr>
        <w:ind w:left="720"/>
      </w:pPr>
      <w:bookmarkStart w:id="512" w:name="_Toc45265935"/>
      <w:bookmarkStart w:id="513" w:name="_Toc55727831"/>
      <w:r w:rsidRPr="00491E8F">
        <w:t>İnterlökin-10 (IL-10)</w:t>
      </w:r>
      <w:bookmarkEnd w:id="512"/>
      <w:bookmarkEnd w:id="513"/>
      <w:r w:rsidRPr="00491E8F">
        <w:rPr>
          <w:color w:val="FF0000"/>
        </w:rPr>
        <w:t xml:space="preserve"> </w:t>
      </w:r>
    </w:p>
    <w:p w14:paraId="31CB26CE" w14:textId="77777777" w:rsidR="00491E8F" w:rsidRDefault="003B244F" w:rsidP="000C5B42">
      <w:pPr>
        <w:rPr>
          <w:color w:val="000000"/>
          <w:szCs w:val="24"/>
        </w:rPr>
      </w:pPr>
      <w:r>
        <w:rPr>
          <w:color w:val="000000"/>
          <w:szCs w:val="24"/>
        </w:rPr>
        <w:t>A</w:t>
      </w:r>
      <w:r w:rsidR="00EB5AE4">
        <w:rPr>
          <w:color w:val="000000"/>
          <w:szCs w:val="24"/>
        </w:rPr>
        <w:t xml:space="preserve">ntiinflamatuvar bir sitokin olan </w:t>
      </w:r>
      <w:r w:rsidR="00491E8F" w:rsidRPr="00491E8F">
        <w:rPr>
          <w:color w:val="000000"/>
          <w:szCs w:val="24"/>
        </w:rPr>
        <w:t xml:space="preserve">CD4+ </w:t>
      </w:r>
      <w:r w:rsidR="00537330" w:rsidRPr="00491E8F">
        <w:rPr>
          <w:color w:val="000000"/>
          <w:szCs w:val="24"/>
        </w:rPr>
        <w:t>T lenfositleri</w:t>
      </w:r>
      <w:r w:rsidR="00537330">
        <w:rPr>
          <w:color w:val="000000"/>
          <w:szCs w:val="24"/>
        </w:rPr>
        <w:t xml:space="preserve">n </w:t>
      </w:r>
      <w:r w:rsidR="00491E8F" w:rsidRPr="00491E8F">
        <w:rPr>
          <w:color w:val="000000"/>
          <w:szCs w:val="24"/>
        </w:rPr>
        <w:t>TH2 alt grubu tarafından</w:t>
      </w:r>
      <w:r w:rsidR="008950FC">
        <w:rPr>
          <w:color w:val="000000"/>
          <w:szCs w:val="24"/>
        </w:rPr>
        <w:t xml:space="preserve"> </w:t>
      </w:r>
      <w:r w:rsidR="00491E8F" w:rsidRPr="00491E8F">
        <w:rPr>
          <w:color w:val="000000"/>
          <w:szCs w:val="24"/>
        </w:rPr>
        <w:t>üretilir. IL-10’un iki önemli</w:t>
      </w:r>
      <w:r w:rsidR="00EB5AE4">
        <w:rPr>
          <w:color w:val="000000"/>
          <w:szCs w:val="24"/>
        </w:rPr>
        <w:t xml:space="preserve"> </w:t>
      </w:r>
      <w:r w:rsidR="00491E8F" w:rsidRPr="00491E8F">
        <w:rPr>
          <w:color w:val="000000"/>
          <w:szCs w:val="24"/>
        </w:rPr>
        <w:t>görevi vardır. Birincisi; makrofajlar tarafından sitokinlerin (örn: TNF, IL-1, IL-12,</w:t>
      </w:r>
      <w:r w:rsidR="00EB5AE4">
        <w:rPr>
          <w:color w:val="000000"/>
          <w:szCs w:val="24"/>
        </w:rPr>
        <w:t xml:space="preserve"> </w:t>
      </w:r>
      <w:r w:rsidR="00491E8F" w:rsidRPr="00491E8F">
        <w:rPr>
          <w:color w:val="000000"/>
          <w:szCs w:val="24"/>
        </w:rPr>
        <w:t>kemokin) üretimini engellemek, ikincisi ise makrofajların T hücresi aktivasyonundaki</w:t>
      </w:r>
      <w:r w:rsidR="00EB5AE4">
        <w:rPr>
          <w:color w:val="000000"/>
          <w:szCs w:val="24"/>
        </w:rPr>
        <w:t xml:space="preserve"> </w:t>
      </w:r>
      <w:r w:rsidR="00491E8F" w:rsidRPr="00491E8F">
        <w:rPr>
          <w:color w:val="000000"/>
          <w:szCs w:val="24"/>
        </w:rPr>
        <w:t>işlevlerini engellemektir. Bu etkilerin sonucunda, T hücresi</w:t>
      </w:r>
      <w:r w:rsidR="008950FC">
        <w:rPr>
          <w:color w:val="000000"/>
          <w:szCs w:val="24"/>
        </w:rPr>
        <w:t xml:space="preserve"> </w:t>
      </w:r>
      <w:r w:rsidR="00491E8F" w:rsidRPr="00491E8F">
        <w:rPr>
          <w:color w:val="000000"/>
          <w:szCs w:val="24"/>
        </w:rPr>
        <w:t>aracılığı ile gelişen bağışıklık yanıtı inhibe edilir. Makrofajlar üzerine inhibitör</w:t>
      </w:r>
      <w:r w:rsidR="008950FC">
        <w:rPr>
          <w:color w:val="000000"/>
          <w:szCs w:val="24"/>
        </w:rPr>
        <w:t xml:space="preserve"> </w:t>
      </w:r>
      <w:r w:rsidR="00491E8F" w:rsidRPr="00491E8F">
        <w:rPr>
          <w:color w:val="000000"/>
          <w:szCs w:val="24"/>
        </w:rPr>
        <w:t xml:space="preserve">etkilerine ek olarak, IL-10’nun B lenfositleri üzerine uyarıcı etkileri vardır. </w:t>
      </w:r>
    </w:p>
    <w:p w14:paraId="31CB26D0" w14:textId="77777777" w:rsidR="00C034FB" w:rsidRDefault="00C034FB" w:rsidP="00C034FB">
      <w:pPr>
        <w:pStyle w:val="Balk3"/>
        <w:numPr>
          <w:ilvl w:val="0"/>
          <w:numId w:val="0"/>
        </w:numPr>
        <w:ind w:left="720"/>
      </w:pPr>
      <w:bookmarkStart w:id="514" w:name="_Toc45265936"/>
      <w:bookmarkStart w:id="515" w:name="_Toc55727832"/>
      <w:r w:rsidRPr="00CC2483">
        <w:lastRenderedPageBreak/>
        <w:t>İnterlökin-1</w:t>
      </w:r>
      <w:r>
        <w:t xml:space="preserve">7 </w:t>
      </w:r>
      <w:r w:rsidRPr="00491E8F">
        <w:t>(IL-1</w:t>
      </w:r>
      <w:r>
        <w:t>7</w:t>
      </w:r>
      <w:r w:rsidRPr="00491E8F">
        <w:t>)</w:t>
      </w:r>
      <w:bookmarkEnd w:id="514"/>
      <w:bookmarkEnd w:id="515"/>
    </w:p>
    <w:p w14:paraId="31CB26D1" w14:textId="77777777" w:rsidR="009603E2" w:rsidRPr="00AB7EB7" w:rsidRDefault="009603E2" w:rsidP="00AB7EB7">
      <w:pPr>
        <w:rPr>
          <w:shd w:val="clear" w:color="auto" w:fill="FEFFFF"/>
        </w:rPr>
      </w:pPr>
      <w:r w:rsidRPr="00AB7EB7">
        <w:rPr>
          <w:shd w:val="clear" w:color="auto" w:fill="FEFFFF"/>
        </w:rPr>
        <w:t xml:space="preserve">İnterlökin 17; makrofajlar, dendritik hücreler (DC), doğal katil hücreler (NK), T </w:t>
      </w:r>
      <w:r w:rsidR="00AB7EB7" w:rsidRPr="00AB7EB7">
        <w:rPr>
          <w:shd w:val="clear" w:color="auto" w:fill="FEFFFF"/>
        </w:rPr>
        <w:t xml:space="preserve">ve B lenfositler dahil </w:t>
      </w:r>
      <w:r w:rsidRPr="00AB7EB7">
        <w:rPr>
          <w:shd w:val="clear" w:color="auto" w:fill="FEFFFF"/>
        </w:rPr>
        <w:t xml:space="preserve">çeşitli doğal </w:t>
      </w:r>
      <w:r w:rsidR="00AB7EB7" w:rsidRPr="00AB7EB7">
        <w:rPr>
          <w:shd w:val="clear" w:color="auto" w:fill="FEFFFF"/>
        </w:rPr>
        <w:t>bağışıklık hücreleri</w:t>
      </w:r>
      <w:r w:rsidRPr="00AB7EB7">
        <w:rPr>
          <w:shd w:val="clear" w:color="auto" w:fill="FEFFFF"/>
        </w:rPr>
        <w:t xml:space="preserve"> tarafından salgılanır.</w:t>
      </w:r>
      <w:r w:rsidR="00875CA7" w:rsidRPr="00AB7EB7">
        <w:rPr>
          <w:shd w:val="clear" w:color="auto" w:fill="FEFFFF"/>
        </w:rPr>
        <w:t xml:space="preserve"> IL-17 birçok bulaşıcı hastalıkta konakçı savunma rolünü üstlenir </w:t>
      </w:r>
      <w:r w:rsidR="005A0FF4" w:rsidRPr="00AB7EB7">
        <w:rPr>
          <w:shd w:val="clear" w:color="auto" w:fill="FEFFFF"/>
        </w:rPr>
        <w:t>proinflamatuvar</w:t>
      </w:r>
      <w:r w:rsidR="00875CA7" w:rsidRPr="00AB7EB7">
        <w:rPr>
          <w:shd w:val="clear" w:color="auto" w:fill="FEFFFF"/>
        </w:rPr>
        <w:t xml:space="preserve"> </w:t>
      </w:r>
      <w:r w:rsidR="00AB7EB7" w:rsidRPr="00AB7EB7">
        <w:rPr>
          <w:shd w:val="clear" w:color="auto" w:fill="FEFFFF"/>
        </w:rPr>
        <w:t>olarak görev yapar.</w:t>
      </w:r>
      <w:r w:rsidR="00875CA7" w:rsidRPr="00AB7EB7">
        <w:rPr>
          <w:shd w:val="clear" w:color="auto" w:fill="FEFFFF"/>
        </w:rPr>
        <w:t xml:space="preserve">  </w:t>
      </w:r>
    </w:p>
    <w:p w14:paraId="31CB26D2" w14:textId="77777777" w:rsidR="00C034FB" w:rsidRDefault="00C034FB" w:rsidP="00D70178">
      <w:pPr>
        <w:ind w:firstLine="0"/>
      </w:pPr>
    </w:p>
    <w:p w14:paraId="31CB26D3" w14:textId="60078D73" w:rsidR="00F23CF6" w:rsidRPr="00AE1F9B" w:rsidRDefault="007F7666" w:rsidP="00C50692">
      <w:pPr>
        <w:pStyle w:val="Balk2"/>
        <w:numPr>
          <w:ilvl w:val="0"/>
          <w:numId w:val="12"/>
        </w:numPr>
        <w:ind w:left="1701" w:firstLine="0"/>
      </w:pPr>
      <w:bookmarkStart w:id="516" w:name="_Toc38715738"/>
      <w:r>
        <w:t xml:space="preserve"> </w:t>
      </w:r>
      <w:bookmarkStart w:id="517" w:name="_Toc45265937"/>
      <w:bookmarkStart w:id="518" w:name="_Toc55727833"/>
      <w:r w:rsidR="00F23CF6" w:rsidRPr="00AE1F9B">
        <w:t>Sepsiste Gastrointestinal Sistem</w:t>
      </w:r>
      <w:bookmarkEnd w:id="517"/>
      <w:bookmarkEnd w:id="518"/>
      <w:r w:rsidR="00F23CF6" w:rsidRPr="00AE1F9B">
        <w:t xml:space="preserve"> </w:t>
      </w:r>
    </w:p>
    <w:p w14:paraId="31CB26D4" w14:textId="617386C0" w:rsidR="00CA7C99" w:rsidRDefault="00F23CF6" w:rsidP="00F23CF6">
      <w:r w:rsidRPr="003656DA">
        <w:t>Sepsiste bağırsaklar sağlıklı bireylerdeki bariyer görevini yerine getirmez ve bu</w:t>
      </w:r>
      <w:r w:rsidRPr="003656DA">
        <w:br/>
        <w:t xml:space="preserve">durum bakteri translokasyonuna sebep olur </w:t>
      </w:r>
      <w:r>
        <w:fldChar w:fldCharType="begin" w:fldLock="1"/>
      </w:r>
      <w:r w:rsidR="0085653B">
        <w:instrText>ADDIN CSL_CITATION {"citationItems":[{"id":"ITEM-1","itemData":{"id":"ITEM-1","issued":{"date-parts":[["0"]]},"title":"Ghosh S, Latimer RD, Gray BM, Harwood RJ, Oduro A. Endotoxin-induced organ injury. Critical care medicine. 1993;21(2 Suppl):S19-24.","type":"article-journal"},"uris":["http://www.mendeley.com/documents/?uuid=ead2c980-dae8-428d-86cc-a8ede4c23a77"]}],"mendeley":{"formattedCitation":"(72)","plainTextFormattedCitation":"(72)","previouslyFormattedCitation":"(72)"},"properties":{"noteIndex":0},"schema":"https://github.com/citation-style-language/schema/raw/master/csl-citation.json"}</w:instrText>
      </w:r>
      <w:r>
        <w:fldChar w:fldCharType="separate"/>
      </w:r>
      <w:r w:rsidR="0085653B" w:rsidRPr="0085653B">
        <w:rPr>
          <w:noProof/>
        </w:rPr>
        <w:t>(72)</w:t>
      </w:r>
      <w:r>
        <w:fldChar w:fldCharType="end"/>
      </w:r>
      <w:r w:rsidRPr="003656DA">
        <w:t>. Bakteriyel translokasyon</w:t>
      </w:r>
      <w:r w:rsidR="002568E9">
        <w:t>,</w:t>
      </w:r>
      <w:r w:rsidRPr="003656DA">
        <w:t xml:space="preserve"> septik</w:t>
      </w:r>
      <w:r w:rsidRPr="003656DA">
        <w:br/>
        <w:t>tablonun ağırlaşmasına sebep olur. Bağırsaktan portal sistem</w:t>
      </w:r>
      <w:r w:rsidR="002568E9">
        <w:t>e</w:t>
      </w:r>
      <w:r w:rsidRPr="003656DA">
        <w:t xml:space="preserve"> geçen bakteri </w:t>
      </w:r>
      <w:r w:rsidR="00F52B2F">
        <w:t>ve</w:t>
      </w:r>
      <w:r w:rsidR="00F52B2F">
        <w:br/>
        <w:t xml:space="preserve">endotoksinler </w:t>
      </w:r>
      <w:r w:rsidR="00E90B76">
        <w:t>retiküloendotel</w:t>
      </w:r>
      <w:r w:rsidR="00E90B76" w:rsidRPr="003656DA">
        <w:t>yal</w:t>
      </w:r>
      <w:r w:rsidRPr="003656DA">
        <w:t xml:space="preserve"> sistemin ilk basamağı olan karaciğere ulaşırlar.</w:t>
      </w:r>
      <w:r w:rsidRPr="003656DA">
        <w:br/>
        <w:t>Sepsiste karaciğer fonksiyonlarının bozulması</w:t>
      </w:r>
      <w:r w:rsidR="002568E9">
        <w:t xml:space="preserve"> nedeniyle</w:t>
      </w:r>
      <w:r w:rsidRPr="003656DA">
        <w:t xml:space="preserve"> gastrointestinal sistemden kaynaklı bakteri ve endotoksinleri uzaklaştıramaz. Yeterli filtrasyon sağlanamadığı gibi uygun immün yanıt</w:t>
      </w:r>
      <w:r w:rsidR="00AE1F9B">
        <w:t>ın</w:t>
      </w:r>
      <w:r w:rsidRPr="003656DA">
        <w:t xml:space="preserve"> oluşamaması (yetersiz sitokin salınımı)</w:t>
      </w:r>
      <w:r w:rsidR="00AE1F9B">
        <w:t xml:space="preserve"> nedeniyle</w:t>
      </w:r>
      <w:r w:rsidRPr="003656DA">
        <w:t xml:space="preserve"> portal sistemden sistemik dolaşıma potansiyel enfeksiyonların geçişine sebep olur </w:t>
      </w:r>
      <w:r>
        <w:fldChar w:fldCharType="begin" w:fldLock="1"/>
      </w:r>
      <w:r w:rsidR="0085653B">
        <w:instrText>ADDIN CSL_CITATION {"citationItems":[{"id":"ITEM-1","itemData":{"id":"ITEM-1","issued":{"date-parts":[["0"]]},"title":"Levy, M.M., Fink, M.P., Marshall, J.C., ve diğ., 2001 sccm/esicm/accp/ats/sis international sepsis definitions conference. Intensive care medicine, 2003. 29(4): 530-538.","type":"article-journal"},"uris":["http://www.mendeley.com/documents/?uuid=075615bb-6a50-4277-980e-e5e0cdad3db8"]},{"id":"ITEM-2","itemData":{"id":"ITEM-2","issued":{"date-parts":[["0"]]},"title":"Ghosh S, Latimer RD, Gray BM, Harwood RJ, Oduro A. Endotoxin-induced organ injury. Critical care medicine. 1993;21(2 Suppl):S19-24.","type":"article-journal"},"uris":["http://www.mendeley.com/documents/?uuid=ead2c980-dae8-428d-86cc-a8ede4c23a77"]}],"mendeley":{"formattedCitation":"(72,73)","plainTextFormattedCitation":"(72,73)","previouslyFormattedCitation":"(72,73)"},"properties":{"noteIndex":0},"schema":"https://github.com/citation-style-language/schema/raw/master/csl-citation.json"}</w:instrText>
      </w:r>
      <w:r>
        <w:fldChar w:fldCharType="separate"/>
      </w:r>
      <w:r w:rsidR="0085653B" w:rsidRPr="0085653B">
        <w:rPr>
          <w:noProof/>
        </w:rPr>
        <w:t>(72,73)</w:t>
      </w:r>
      <w:r>
        <w:fldChar w:fldCharType="end"/>
      </w:r>
      <w:r w:rsidRPr="003656DA">
        <w:t xml:space="preserve">. Sepsiste gastrointestinal sistem </w:t>
      </w:r>
      <w:r w:rsidR="00F52B2F">
        <w:t>hücrelerinde mukozal ödem, villu</w:t>
      </w:r>
      <w:r w:rsidRPr="003656DA">
        <w:t xml:space="preserve">s atrofisinden hemorajiye kadar farklı düzeylerde histopatolojik değişimler </w:t>
      </w:r>
      <w:r w:rsidR="00F52B2F" w:rsidRPr="003656DA">
        <w:t>oluşabilir. Bu</w:t>
      </w:r>
      <w:r w:rsidRPr="003656DA">
        <w:t xml:space="preserve"> değişimlerin sonucunda sepsisli hastalarda uygun beslenme stratejilerine rağmen yetersiz kalori alımı ve kanama riski meydana gelir.</w:t>
      </w:r>
    </w:p>
    <w:p w14:paraId="4E281DD8" w14:textId="77777777" w:rsidR="00152ED6" w:rsidRDefault="00152ED6" w:rsidP="00F23CF6"/>
    <w:p w14:paraId="31CB26D5" w14:textId="77777777" w:rsidR="007438CD" w:rsidRPr="008433AD" w:rsidRDefault="006631A4" w:rsidP="009270EB">
      <w:pPr>
        <w:pStyle w:val="Balk2"/>
        <w:numPr>
          <w:ilvl w:val="0"/>
          <w:numId w:val="12"/>
        </w:numPr>
        <w:ind w:left="1701" w:firstLine="0"/>
        <w:rPr>
          <w:color w:val="auto"/>
        </w:rPr>
      </w:pPr>
      <w:r w:rsidRPr="008433AD">
        <w:rPr>
          <w:color w:val="auto"/>
        </w:rPr>
        <w:t xml:space="preserve"> </w:t>
      </w:r>
      <w:bookmarkStart w:id="519" w:name="_Toc45265938"/>
      <w:bookmarkStart w:id="520" w:name="_Toc55727834"/>
      <w:r w:rsidR="00F23CF6" w:rsidRPr="008433AD">
        <w:rPr>
          <w:color w:val="auto"/>
        </w:rPr>
        <w:t>Sepsis ve Karaciğer</w:t>
      </w:r>
      <w:bookmarkEnd w:id="519"/>
      <w:bookmarkEnd w:id="520"/>
    </w:p>
    <w:p w14:paraId="31CB26D6" w14:textId="703BF77B" w:rsidR="00117AB6" w:rsidRPr="008433AD" w:rsidRDefault="00117AB6" w:rsidP="008433AD">
      <w:pPr>
        <w:rPr>
          <w:color w:val="000000"/>
          <w:shd w:val="clear" w:color="auto" w:fill="FFFFFF"/>
        </w:rPr>
      </w:pPr>
      <w:r w:rsidRPr="008433AD">
        <w:t>Karaciğer, sepsiste hem lenfoid organ olarak; bakterileri temizlemeye çalışır,</w:t>
      </w:r>
      <w:r w:rsidRPr="008433AD">
        <w:br/>
        <w:t xml:space="preserve">hem de </w:t>
      </w:r>
      <w:r w:rsidR="00E90B76" w:rsidRPr="008433AD">
        <w:t>inflamatuar</w:t>
      </w:r>
      <w:r w:rsidRPr="008433AD">
        <w:t xml:space="preserve"> yanıtlara aracılık ederek bağışıklığı baskılayıp organ hasarına neden olur. Karaciğer, kan dolaşımını sterilize etmek ve detoksifiye etmekle sorumlu olduğundan, karaciğer sepsiste kritik bir rol oynar </w:t>
      </w:r>
      <w:r w:rsidRPr="008433AD">
        <w:fldChar w:fldCharType="begin" w:fldLock="1"/>
      </w:r>
      <w:r w:rsidR="0085653B">
        <w:instrText>ADDIN CSL_CITATION {"citationItems":[{"id":"ITEM-1","itemData":{"DOI":"10.1038/nri3169","ISSN":"14741733","abstract":"The liver has vital metabolic and clearance functions that involve the uptake of nutrients, waste products and pathogens from the blood. In addition, its unique immunoregulatory functions mediated by local expression of co-inhibitory receptors and immunosuppressive mediators help to prevent inadvertent organ damage. However, these tolerogenic properties render the liver an attractive target site for pathogens. Although most pathogens that reach the liver via the blood are eliminated or controlled by local innate and adaptive immune responses, some pathogens (such as hepatitis viruses) can escape immune control and persist in hepatocytes, causing substantial morbidity and mortality worldwide. Here, we review our current knowledge of the mechanisms of liver targeting by pathogens and describe the interplay between pathogens and host factors that promote pathogen elimination and maintain organ integrity or that allow pathogen persistence. © 2012 Macmillan Publishers Limited. All rights reserved.","author":[{"dropping-particle":"","family":"Protzer","given":"Ulrike","non-dropping-particle":"","parse-names":false,"suffix":""},{"dropping-particle":"","family":"Maini","given":"Mala K.","non-dropping-particle":"","parse-names":false,"suffix":""},{"dropping-particle":"","family":"Knolle","given":"Percy A.","non-dropping-particle":"","parse-names":false,"suffix":""}],"container-title":"Nature Reviews Immunology","id":"ITEM-1","issue":"3","issued":{"date-parts":[["2012","3","24"]]},"page":"201-213","publisher":"Nature Publishing Group","title":"Living in the liver: Hepatic infections","type":"article","volume":"12"},"uris":["http://www.mendeley.com/documents/?uuid=33be82f9-d7cc-3244-9bf7-39985931b228"]}],"mendeley":{"formattedCitation":"(74)","plainTextFormattedCitation":"(74)","previouslyFormattedCitation":"(74)"},"properties":{"noteIndex":0},"schema":"https://github.com/citation-style-language/schema/raw/master/csl-citation.json"}</w:instrText>
      </w:r>
      <w:r w:rsidRPr="008433AD">
        <w:fldChar w:fldCharType="separate"/>
      </w:r>
      <w:r w:rsidR="0085653B" w:rsidRPr="0085653B">
        <w:rPr>
          <w:noProof/>
        </w:rPr>
        <w:t>(74)</w:t>
      </w:r>
      <w:r w:rsidRPr="008433AD">
        <w:fldChar w:fldCharType="end"/>
      </w:r>
      <w:r w:rsidRPr="008433AD">
        <w:t>.</w:t>
      </w:r>
      <w:r w:rsidR="0049692A" w:rsidRPr="008433AD">
        <w:t xml:space="preserve"> </w:t>
      </w:r>
      <w:r w:rsidRPr="008433AD">
        <w:rPr>
          <w:color w:val="000000"/>
          <w:shd w:val="clear" w:color="auto" w:fill="FFFFFF"/>
        </w:rPr>
        <w:t>Karaciğerin sepsisteki rolü; pro-enflamatuar sitokinlerin üretimine ek olarak, IL-10, TGF-β ve glukokortikoidler gibi anti-enflamatuar aracıların indüksiyonunu sağlar</w:t>
      </w:r>
      <w:r w:rsidR="00271271">
        <w:rPr>
          <w:color w:val="000000"/>
          <w:shd w:val="clear" w:color="auto" w:fill="FFFFFF"/>
        </w:rPr>
        <w:t xml:space="preserve"> </w:t>
      </w:r>
      <w:r w:rsidR="00271271" w:rsidRPr="008433AD">
        <w:fldChar w:fldCharType="begin" w:fldLock="1"/>
      </w:r>
      <w:r w:rsidR="0085653B">
        <w:instrText>ADDIN CSL_CITATION {"citationItems":[{"id":"ITEM-1","itemData":{"DOI":"10.1038/nri3169","ISSN":"14741733","abstract":"The liver has vital metabolic and clearance functions that involve the uptake of nutrients, waste products and pathogens from the blood. In addition, its unique immunoregulatory functions mediated by local expression of co-inhibitory receptors and immunosuppressive mediators help to prevent inadvertent organ damage. However, these tolerogenic properties render the liver an attractive target site for pathogens. Although most pathogens that reach the liver via the blood are eliminated or controlled by local innate and adaptive immune responses, some pathogens (such as hepatitis viruses) can escape immune control and persist in hepatocytes, causing substantial morbidity and mortality worldwide. Here, we review our current knowledge of the mechanisms of liver targeting by pathogens and describe the interplay between pathogens and host factors that promote pathogen elimination and maintain organ integrity or that allow pathogen persistence. © 2012 Macmillan Publishers Limited. All rights reserved.","author":[{"dropping-particle":"","family":"Protzer","given":"Ulrike","non-dropping-particle":"","parse-names":false,"suffix":""},{"dropping-particle":"","family":"Maini","given":"Mala K.","non-dropping-particle":"","parse-names":false,"suffix":""},{"dropping-particle":"","family":"Knolle","given":"Percy A.","non-dropping-particle":"","parse-names":false,"suffix":""}],"container-title":"Nature Reviews Immunology","id":"ITEM-1","issue":"3","issued":{"date-parts":[["2012","3","24"]]},"page":"201-213","publisher":"Nature Publishing Group","title":"Living in the liver: Hepatic infections","type":"article","volume":"12"},"uris":["http://www.mendeley.com/documents/?uuid=33be82f9-d7cc-3244-9bf7-39985931b228"]}],"mendeley":{"formattedCitation":"(74)","plainTextFormattedCitation":"(74)","previouslyFormattedCitation":"(74)"},"properties":{"noteIndex":0},"schema":"https://github.com/citation-style-language/schema/raw/master/csl-citation.json"}</w:instrText>
      </w:r>
      <w:r w:rsidR="00271271" w:rsidRPr="008433AD">
        <w:fldChar w:fldCharType="separate"/>
      </w:r>
      <w:r w:rsidR="0085653B" w:rsidRPr="0085653B">
        <w:rPr>
          <w:noProof/>
        </w:rPr>
        <w:t>(74)</w:t>
      </w:r>
      <w:r w:rsidR="00271271" w:rsidRPr="008433AD">
        <w:fldChar w:fldCharType="end"/>
      </w:r>
      <w:r w:rsidRPr="008433AD">
        <w:rPr>
          <w:color w:val="000000"/>
          <w:shd w:val="clear" w:color="auto" w:fill="FFFFFF"/>
        </w:rPr>
        <w:t>.</w:t>
      </w:r>
      <w:r w:rsidRPr="003A4709">
        <w:rPr>
          <w:color w:val="FF0000"/>
          <w:shd w:val="clear" w:color="auto" w:fill="FFFFFF"/>
        </w:rPr>
        <w:t> </w:t>
      </w:r>
    </w:p>
    <w:p w14:paraId="31CB26D7" w14:textId="35D30819" w:rsidR="00127581" w:rsidRDefault="00117AB6" w:rsidP="008433AD">
      <w:r w:rsidRPr="008433AD">
        <w:t xml:space="preserve"> </w:t>
      </w:r>
      <w:r w:rsidR="00127581" w:rsidRPr="008433AD">
        <w:t>Sepsis ile ilişkili karaciğer fonksiyon bozukluğu esas</w:t>
      </w:r>
      <w:r w:rsidR="00494606" w:rsidRPr="008433AD">
        <w:t xml:space="preserve"> </w:t>
      </w:r>
      <w:r w:rsidR="00127581" w:rsidRPr="008433AD">
        <w:t>olarak sistemik veya mikro dolaşım bozuklukları, bakteri ve endotoksinin (</w:t>
      </w:r>
      <w:r w:rsidR="005A0FF4" w:rsidRPr="008433AD">
        <w:t>lipopolisakkarid</w:t>
      </w:r>
      <w:r w:rsidR="00127581" w:rsidRPr="008433AD">
        <w:t>, LPS) yayılmaları ve ardından enflamatuar sitokinlerin ve</w:t>
      </w:r>
      <w:r w:rsidR="00494606" w:rsidRPr="008433AD">
        <w:t xml:space="preserve"> </w:t>
      </w:r>
      <w:r w:rsidR="00127581" w:rsidRPr="008433AD">
        <w:t xml:space="preserve">aracıların aktivasyonundan kaynaklanır. </w:t>
      </w:r>
      <w:r w:rsidR="0049692A" w:rsidRPr="008433AD">
        <w:t xml:space="preserve"> </w:t>
      </w:r>
      <w:r w:rsidR="00127581" w:rsidRPr="008433AD">
        <w:t xml:space="preserve">Sepsiste hepatik yanıta katkıda bulunan üç ana hücre </w:t>
      </w:r>
      <w:r w:rsidR="005A0FF4" w:rsidRPr="008433AD">
        <w:t>tipi vardır</w:t>
      </w:r>
      <w:r w:rsidR="00494606" w:rsidRPr="008433AD">
        <w:t>:</w:t>
      </w:r>
      <w:r w:rsidR="00127581" w:rsidRPr="008433AD">
        <w:t xml:space="preserve"> Kupffer hücreleri</w:t>
      </w:r>
      <w:r w:rsidR="00494606" w:rsidRPr="008433AD">
        <w:t>,</w:t>
      </w:r>
      <w:r w:rsidR="00127581" w:rsidRPr="008433AD">
        <w:t xml:space="preserve"> hepatositler ve karaciğer</w:t>
      </w:r>
      <w:r w:rsidR="00494606" w:rsidRPr="008433AD">
        <w:t xml:space="preserve"> </w:t>
      </w:r>
      <w:r w:rsidR="00127581" w:rsidRPr="008433AD">
        <w:t>sinüzoidal endotelyal hücreleridir</w:t>
      </w:r>
      <w:r w:rsidRPr="008433AD">
        <w:t>.</w:t>
      </w:r>
      <w:r w:rsidR="00117FDA">
        <w:t xml:space="preserve"> Aşağıdaki </w:t>
      </w:r>
      <w:r w:rsidR="007A3770">
        <w:t>Ş</w:t>
      </w:r>
      <w:r w:rsidR="00117FDA">
        <w:t>ekil</w:t>
      </w:r>
      <w:r w:rsidR="007A3770">
        <w:t xml:space="preserve"> 2.3 te</w:t>
      </w:r>
      <w:r w:rsidR="00117FDA">
        <w:t xml:space="preserve"> karaciğerin sepsise yanıtı gösterilmektedir.</w:t>
      </w:r>
    </w:p>
    <w:p w14:paraId="31CB26D8" w14:textId="766C3AC2" w:rsidR="00BC389F" w:rsidRDefault="007A3770" w:rsidP="00127581">
      <w:r w:rsidRPr="007A3770">
        <w:rPr>
          <w:noProof/>
          <w:lang w:eastAsia="tr-TR"/>
        </w:rPr>
        <w:lastRenderedPageBreak/>
        <w:drawing>
          <wp:anchor distT="0" distB="0" distL="114300" distR="114300" simplePos="0" relativeHeight="251718656" behindDoc="0" locked="0" layoutInCell="1" allowOverlap="1" wp14:anchorId="683479ED" wp14:editId="72E2BA68">
            <wp:simplePos x="0" y="0"/>
            <wp:positionH relativeFrom="column">
              <wp:posOffset>-16584</wp:posOffset>
            </wp:positionH>
            <wp:positionV relativeFrom="paragraph">
              <wp:posOffset>56338</wp:posOffset>
            </wp:positionV>
            <wp:extent cx="5399405" cy="3046272"/>
            <wp:effectExtent l="0" t="0" r="0" b="1905"/>
            <wp:wrapTopAndBottom/>
            <wp:docPr id="4" name="Resim 4" descr="C:\Users\totm\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tm\Desktop\Adsız.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99405" cy="3046272"/>
                    </a:xfrm>
                    <a:prstGeom prst="rect">
                      <a:avLst/>
                    </a:prstGeom>
                    <a:noFill/>
                    <a:ln>
                      <a:noFill/>
                    </a:ln>
                  </pic:spPr>
                </pic:pic>
              </a:graphicData>
            </a:graphic>
          </wp:anchor>
        </w:drawing>
      </w:r>
    </w:p>
    <w:p w14:paraId="31CB26D9" w14:textId="208BA7DA" w:rsidR="00BF114A" w:rsidRDefault="00BF114A" w:rsidP="00117AB6">
      <w:pPr>
        <w:pStyle w:val="ResimYazs"/>
        <w:ind w:firstLine="0"/>
        <w:rPr>
          <w:i w:val="0"/>
          <w:color w:val="auto"/>
          <w:sz w:val="24"/>
          <w:szCs w:val="24"/>
        </w:rPr>
      </w:pPr>
      <w:bookmarkStart w:id="521" w:name="_Toc49817969"/>
      <w:r w:rsidRPr="00117AB6">
        <w:rPr>
          <w:i w:val="0"/>
          <w:color w:val="auto"/>
          <w:sz w:val="24"/>
          <w:szCs w:val="24"/>
        </w:rPr>
        <w:t xml:space="preserve">Şekil </w:t>
      </w:r>
      <w:r w:rsidR="00CB0587">
        <w:rPr>
          <w:i w:val="0"/>
          <w:color w:val="auto"/>
          <w:sz w:val="24"/>
          <w:szCs w:val="24"/>
        </w:rPr>
        <w:fldChar w:fldCharType="begin"/>
      </w:r>
      <w:r w:rsidR="00CB0587">
        <w:rPr>
          <w:i w:val="0"/>
          <w:color w:val="auto"/>
          <w:sz w:val="24"/>
          <w:szCs w:val="24"/>
        </w:rPr>
        <w:instrText xml:space="preserve"> STYLEREF 1 \s </w:instrText>
      </w:r>
      <w:r w:rsidR="00CB0587">
        <w:rPr>
          <w:i w:val="0"/>
          <w:color w:val="auto"/>
          <w:sz w:val="24"/>
          <w:szCs w:val="24"/>
        </w:rPr>
        <w:fldChar w:fldCharType="separate"/>
      </w:r>
      <w:r w:rsidR="00063441">
        <w:rPr>
          <w:i w:val="0"/>
          <w:noProof/>
          <w:color w:val="auto"/>
          <w:sz w:val="24"/>
          <w:szCs w:val="24"/>
        </w:rPr>
        <w:t>2</w:t>
      </w:r>
      <w:r w:rsidR="00CB0587">
        <w:rPr>
          <w:i w:val="0"/>
          <w:color w:val="auto"/>
          <w:sz w:val="24"/>
          <w:szCs w:val="24"/>
        </w:rPr>
        <w:fldChar w:fldCharType="end"/>
      </w:r>
      <w:r w:rsidR="00CB0587">
        <w:rPr>
          <w:i w:val="0"/>
          <w:color w:val="auto"/>
          <w:sz w:val="24"/>
          <w:szCs w:val="24"/>
        </w:rPr>
        <w:t>.</w:t>
      </w:r>
      <w:r w:rsidR="00CB0587">
        <w:rPr>
          <w:i w:val="0"/>
          <w:color w:val="auto"/>
          <w:sz w:val="24"/>
          <w:szCs w:val="24"/>
        </w:rPr>
        <w:fldChar w:fldCharType="begin"/>
      </w:r>
      <w:r w:rsidR="00CB0587">
        <w:rPr>
          <w:i w:val="0"/>
          <w:color w:val="auto"/>
          <w:sz w:val="24"/>
          <w:szCs w:val="24"/>
        </w:rPr>
        <w:instrText xml:space="preserve"> SEQ Şekil \* ARABIC \s 1 </w:instrText>
      </w:r>
      <w:r w:rsidR="00CB0587">
        <w:rPr>
          <w:i w:val="0"/>
          <w:color w:val="auto"/>
          <w:sz w:val="24"/>
          <w:szCs w:val="24"/>
        </w:rPr>
        <w:fldChar w:fldCharType="separate"/>
      </w:r>
      <w:r w:rsidR="00063441">
        <w:rPr>
          <w:i w:val="0"/>
          <w:noProof/>
          <w:color w:val="auto"/>
          <w:sz w:val="24"/>
          <w:szCs w:val="24"/>
        </w:rPr>
        <w:t>3</w:t>
      </w:r>
      <w:r w:rsidR="00CB0587">
        <w:rPr>
          <w:i w:val="0"/>
          <w:color w:val="auto"/>
          <w:sz w:val="24"/>
          <w:szCs w:val="24"/>
        </w:rPr>
        <w:fldChar w:fldCharType="end"/>
      </w:r>
      <w:r w:rsidRPr="00117AB6">
        <w:rPr>
          <w:i w:val="0"/>
          <w:color w:val="auto"/>
          <w:sz w:val="24"/>
          <w:szCs w:val="24"/>
        </w:rPr>
        <w:t xml:space="preserve"> Sepsisli </w:t>
      </w:r>
      <w:r w:rsidR="00166574" w:rsidRPr="00117AB6">
        <w:rPr>
          <w:i w:val="0"/>
          <w:color w:val="auto"/>
          <w:sz w:val="24"/>
          <w:szCs w:val="24"/>
        </w:rPr>
        <w:t xml:space="preserve">Hastada Karaciğer Fonksiyonu </w:t>
      </w:r>
      <w:r w:rsidR="00166574">
        <w:rPr>
          <w:i w:val="0"/>
          <w:color w:val="auto"/>
          <w:sz w:val="24"/>
          <w:szCs w:val="24"/>
        </w:rPr>
        <w:t>v</w:t>
      </w:r>
      <w:r w:rsidR="00166574" w:rsidRPr="00117AB6">
        <w:rPr>
          <w:i w:val="0"/>
          <w:color w:val="auto"/>
          <w:sz w:val="24"/>
          <w:szCs w:val="24"/>
        </w:rPr>
        <w:t>e Sepsise Yanıtı</w:t>
      </w:r>
      <w:r w:rsidR="00166574">
        <w:rPr>
          <w:i w:val="0"/>
          <w:color w:val="auto"/>
          <w:sz w:val="24"/>
          <w:szCs w:val="24"/>
        </w:rPr>
        <w:t xml:space="preserve"> </w:t>
      </w:r>
      <w:r w:rsidR="00871003">
        <w:rPr>
          <w:i w:val="0"/>
          <w:color w:val="auto"/>
          <w:sz w:val="24"/>
          <w:szCs w:val="24"/>
        </w:rPr>
        <w:fldChar w:fldCharType="begin" w:fldLock="1"/>
      </w:r>
      <w:r w:rsidR="0085653B">
        <w:rPr>
          <w:i w:val="0"/>
          <w:color w:val="auto"/>
          <w:sz w:val="24"/>
          <w:szCs w:val="24"/>
        </w:rPr>
        <w:instrText>ADDIN CSL_CITATION {"citationItems":[{"id":"ITEM-1","itemData":{"DOI":"10.3109/08830185.2014.889129","ISSN":"0883-0185","abstract":"Despite the progress made in the clinical management of sepsis, sepsis morbidity and mortality rates remain high. The inflammatory pathogenesis and organ injury leading to death from sepsis are not fully understood for vital organs, especially the liver. Only recently has the role of the liver in sepsis begun to be revealed. Pre-existing liver dysfunction is a risk factor for the progression of infection to sepsis. Liver dysfunction after sepsis is an independent risk factor for multiple organ dysfunction and sepsis-induced death. The liver works as a lymphoid organ in response to sepsis. Acting as a double-edged sword in sepsis, the liver-mediated immune response is responsible for clearing bacteria and toxins but also causes inflammation, immunosuppression, and organ damage. Attenuating liver injury and restoring liver function lowers morbidity and mortality rates in patients with sepsis. This review summarizes the central role of liver in the host immune response to sepsis and in clinical outcomes.","author":[{"dropping-particle":"","family":"Yan","given":"Jun","non-dropping-particle":"","parse-names":false,"suffix":""},{"dropping-particle":"","family":"Li","given":"Song Shulin","non-dropping-particle":"","parse-names":false,"suffix":""},{"dropping-particle":"","family":"Li","given":"Song Shulin","non-dropping-particle":"","parse-names":false,"suffix":""}],"container-title":"International Reviews of Immunology","id":"ITEM-1","issue":"6","issued":{"date-parts":[["2014","11","2"]]},"page":"498-510","publisher":"Informa Healthcare","title":"The Role of the Liver in Sepsis","type":"article-journal","volume":"33"},"uris":["http://www.mendeley.com/documents/?uuid=f23f5444-cc6d-4a9c-bb10-58eb305c6725"]}],"mendeley":{"formattedCitation":"(75)","plainTextFormattedCitation":"(75)","previouslyFormattedCitation":"(75)"},"properties":{"noteIndex":0},"schema":"https://github.com/citation-style-language/schema/raw/master/csl-citation.json"}</w:instrText>
      </w:r>
      <w:r w:rsidR="00871003">
        <w:rPr>
          <w:i w:val="0"/>
          <w:color w:val="auto"/>
          <w:sz w:val="24"/>
          <w:szCs w:val="24"/>
        </w:rPr>
        <w:fldChar w:fldCharType="separate"/>
      </w:r>
      <w:r w:rsidR="0085653B" w:rsidRPr="0085653B">
        <w:rPr>
          <w:i w:val="0"/>
          <w:noProof/>
          <w:color w:val="auto"/>
          <w:sz w:val="24"/>
          <w:szCs w:val="24"/>
        </w:rPr>
        <w:t>(75)</w:t>
      </w:r>
      <w:bookmarkEnd w:id="521"/>
      <w:r w:rsidR="00871003">
        <w:rPr>
          <w:i w:val="0"/>
          <w:color w:val="auto"/>
          <w:sz w:val="24"/>
          <w:szCs w:val="24"/>
        </w:rPr>
        <w:fldChar w:fldCharType="end"/>
      </w:r>
      <w:r w:rsidR="00871003">
        <w:rPr>
          <w:i w:val="0"/>
          <w:color w:val="auto"/>
          <w:sz w:val="24"/>
          <w:szCs w:val="24"/>
        </w:rPr>
        <w:t xml:space="preserve">  </w:t>
      </w:r>
    </w:p>
    <w:p w14:paraId="31CB26DA" w14:textId="77777777" w:rsidR="004C77CD" w:rsidRPr="004C77CD" w:rsidRDefault="004C77CD" w:rsidP="004C77CD"/>
    <w:p w14:paraId="31CB26DB" w14:textId="123E0913" w:rsidR="00117AB6" w:rsidRPr="008433AD" w:rsidRDefault="00117AB6" w:rsidP="008433AD">
      <w:pPr>
        <w:rPr>
          <w:rStyle w:val="fontstyle21"/>
          <w:rFonts w:ascii="Times New Roman" w:hAnsi="Times New Roman"/>
          <w:color w:val="auto"/>
          <w:szCs w:val="22"/>
        </w:rPr>
      </w:pPr>
      <w:r w:rsidRPr="008433AD">
        <w:rPr>
          <w:b/>
          <w:bCs/>
          <w:shd w:val="clear" w:color="auto" w:fill="FFFFFF"/>
        </w:rPr>
        <w:t>Kupffer hücreleri;</w:t>
      </w:r>
      <w:r w:rsidRPr="008433AD">
        <w:rPr>
          <w:shd w:val="clear" w:color="auto" w:fill="FFFFFF"/>
        </w:rPr>
        <w:t xml:space="preserve">  portal bakteriyemi ve endotoksemiye karşı birincil savunma duvarıdır. Bakteri ve endotoksinlerin portal ven kanından uzaklaştırılarak sistemik dolaşıma girmesini önlerler. </w:t>
      </w:r>
      <w:r w:rsidRPr="008433AD">
        <w:t xml:space="preserve">Kupffer hücreleri bakterileri yakaladığında, trombositler üzerindeki von-Willebrand faktörü ile etkileşime geçerek hücreye sıkıca yapışırlar. Böylece trombositlerin agregasyonu ile birlikte bakterilerin Kupffer hücrelerinden kurtulma olasılığını azaltır. </w:t>
      </w:r>
      <w:r w:rsidR="0035774D" w:rsidRPr="008433AD">
        <w:rPr>
          <w:shd w:val="clear" w:color="auto" w:fill="FFFFFF"/>
        </w:rPr>
        <w:t>Aşırı LPS stimülasyonunu takiben</w:t>
      </w:r>
      <w:r w:rsidR="0035774D" w:rsidRPr="008433AD">
        <w:rPr>
          <w:rStyle w:val="fontstyle21"/>
          <w:rFonts w:ascii="Times New Roman" w:hAnsi="Times New Roman"/>
          <w:color w:val="auto"/>
        </w:rPr>
        <w:t xml:space="preserve"> a</w:t>
      </w:r>
      <w:r w:rsidRPr="008433AD">
        <w:rPr>
          <w:rStyle w:val="fontstyle21"/>
          <w:rFonts w:ascii="Times New Roman" w:hAnsi="Times New Roman"/>
          <w:color w:val="auto"/>
        </w:rPr>
        <w:t>ktive olmuş Kupffer hücrelerinden salınan lökotrienler ve TNF-α</w:t>
      </w:r>
      <w:r w:rsidR="0049692A" w:rsidRPr="008433AD">
        <w:rPr>
          <w:rStyle w:val="fontstyle21"/>
          <w:rFonts w:ascii="Times New Roman" w:hAnsi="Times New Roman"/>
          <w:color w:val="auto"/>
        </w:rPr>
        <w:t xml:space="preserve">, </w:t>
      </w:r>
      <w:r w:rsidR="0049692A" w:rsidRPr="008433AD">
        <w:rPr>
          <w:shd w:val="clear" w:color="auto" w:fill="FFFFFF"/>
        </w:rPr>
        <w:t>IL-1β, IL-6, IL-12 ve IL-18</w:t>
      </w:r>
      <w:r w:rsidRPr="008433AD">
        <w:rPr>
          <w:rStyle w:val="fontstyle21"/>
          <w:rFonts w:ascii="Times New Roman" w:hAnsi="Times New Roman"/>
          <w:color w:val="auto"/>
        </w:rPr>
        <w:t xml:space="preserve"> gibi sitokinler, nötrofillerin KC </w:t>
      </w:r>
      <w:r w:rsidRPr="008433AD">
        <w:t xml:space="preserve">sinüzoitlerine </w:t>
      </w:r>
      <w:r w:rsidRPr="008433AD">
        <w:rPr>
          <w:rStyle w:val="fontstyle21"/>
          <w:rFonts w:ascii="Times New Roman" w:hAnsi="Times New Roman"/>
          <w:color w:val="auto"/>
        </w:rPr>
        <w:t xml:space="preserve">migrasyonuna neden olur. </w:t>
      </w:r>
      <w:r w:rsidR="0049692A" w:rsidRPr="008433AD">
        <w:rPr>
          <w:shd w:val="clear" w:color="auto" w:fill="FFFFFF"/>
        </w:rPr>
        <w:t xml:space="preserve">Buna göre Kupffer hücrelerinin azalması abdominal sepsiste hepatik enflamasyonu ve apoptozu azaltır </w:t>
      </w:r>
      <w:r w:rsidR="0049692A" w:rsidRPr="008433AD">
        <w:rPr>
          <w:shd w:val="clear" w:color="auto" w:fill="FFFFFF"/>
        </w:rPr>
        <w:fldChar w:fldCharType="begin" w:fldLock="1"/>
      </w:r>
      <w:r w:rsidR="0085653B">
        <w:rPr>
          <w:shd w:val="clear" w:color="auto" w:fill="FFFFFF"/>
        </w:rPr>
        <w:instrText>ADDIN CSL_CITATION {"citationItems":[{"id":"ITEM-1","itemData":{"DOI":"10.1097/MEG.0b013e32833847db","ISSN":"0954-691X","abstract":"Objective: During abdominal sepsis, the activation of hepatic Kupffer cells (KC) and its consequences are of central interest. This study evaluates the impact of selective KC depletion on hepatic microcirculation, cytokine release, and systemic alterations in the colon ascendens stent peritonitis (CASP), a model of polymicrobial abdominal sepsis. Methods: For KC depletion clodronate liposomes were injected 24'h before CASP surgery in female C57BL/6N mice. Three and 12'h after CASP, in-vivo fluorescence microscopy of the liver was performed. Analysis of hepatocellular apoptosis was conducted by immunohistochemistry. In addition, levels of tumor necrosis factor (TNF), IL-6, and IL-10 in the liver, lungs, spleen, and plasma were determined, and bacteriology and survival analysis were performed. Results: CASP led to significant sinusoidal perfusion failure, increased leukocyte recruitment, hepatocellular apoptosis and increased levels of TNF, IL-6, and IL-10 in the liver and plasma. KC depletion before CASP significantly reduced leukocyte recruitment to the liver and hepatocellular apoptosis. IL-10 secretion decreased dramatically in the liver and plasma of KC-depleted septic mice. In contrast, TNF levels were clearly elevated after clodronate treatment. In the lung and spleen, a compensatory upregulation of IL-10 could be detected after KC depletion. Clodronate treatment resulted in a significant reduction in survival. Conclusion: The results indicate that KC depletion is locally protective in polymicrobial abdominal sepsis, as it reduces hepatic inflammation and apoptosis. These effects could be observed in the presence of clearly elevated TNF levels. However, the lack of IL-10 in KC-depleted mice resulted in a detrimental systemic proinflammation. Copyright © 2010 Lippincott Williams &amp; Wilkins.","author":[{"dropping-particle":"","family":"Traeger","given":"Tobias","non-dropping-particle":"","parse-names":false,"suffix":""},{"dropping-particle":"","family":"Mikulcak","given":"Marlene","non-dropping-particle":"","parse-names":false,"suffix":""},{"dropping-particle":"","family":"Eipel","given":"Christian","non-dropping-particle":"","parse-names":false,"suffix":""},{"dropping-particle":"","family":"Abshagen","given":"Kerstin","non-dropping-particle":"","parse-names":false,"suffix":""},{"dropping-particle":"","family":"Diedrich","given":"Stephan","non-dropping-particle":"","parse-names":false,"suffix":""},{"dropping-particle":"","family":"Heidecke","given":"Claus-Dieter","non-dropping-particle":"","parse-names":false,"suffix":""},{"dropping-particle":"","family":"Maier","given":"Stefan","non-dropping-particle":"","parse-names":false,"suffix":""},{"dropping-particle":"","family":"Vollmar","given":"Brigitte","non-dropping-particle":"","parse-names":false,"suffix":""}],"container-title":"European Journal of Gastroenterology &amp; Hepatology","id":"ITEM-1","issue":"9","issued":{"date-parts":[["2010","9"]]},"page":"1039-1049","title":"Kupffer cell depletion reduces hepatic inflammation and apoptosis but decreases survival in abdominal sepsis","type":"article-journal","volume":"22"},"uris":["http://www.mendeley.com/documents/?uuid=ed043d00-c8f3-3f1b-8250-f18eb29c08a0"]}],"mendeley":{"formattedCitation":"(76)","plainTextFormattedCitation":"(76)","previouslyFormattedCitation":"(76)"},"properties":{"noteIndex":0},"schema":"https://github.com/citation-style-language/schema/raw/master/csl-citation.json"}</w:instrText>
      </w:r>
      <w:r w:rsidR="0049692A" w:rsidRPr="008433AD">
        <w:rPr>
          <w:shd w:val="clear" w:color="auto" w:fill="FFFFFF"/>
        </w:rPr>
        <w:fldChar w:fldCharType="separate"/>
      </w:r>
      <w:r w:rsidR="0085653B" w:rsidRPr="0085653B">
        <w:rPr>
          <w:noProof/>
          <w:shd w:val="clear" w:color="auto" w:fill="FFFFFF"/>
        </w:rPr>
        <w:t>(76)</w:t>
      </w:r>
      <w:r w:rsidR="0049692A" w:rsidRPr="008433AD">
        <w:rPr>
          <w:shd w:val="clear" w:color="auto" w:fill="FFFFFF"/>
        </w:rPr>
        <w:fldChar w:fldCharType="end"/>
      </w:r>
      <w:r w:rsidR="0049692A" w:rsidRPr="008433AD">
        <w:rPr>
          <w:shd w:val="clear" w:color="auto" w:fill="FFFFFF"/>
        </w:rPr>
        <w:t xml:space="preserve">. </w:t>
      </w:r>
      <w:r w:rsidRPr="008433AD">
        <w:t>Daha sonra nötrofillerle trombositler etkileşir ve mikro</w:t>
      </w:r>
      <w:r w:rsidR="008E6A64">
        <w:t>organizmala</w:t>
      </w:r>
      <w:r w:rsidRPr="008433AD">
        <w:t xml:space="preserve">rı yakalayıp ortamdan kaldırmak için hücre dışı diğer mekanizmaları uyarırlar </w:t>
      </w:r>
      <w:r w:rsidRPr="008433AD">
        <w:fldChar w:fldCharType="begin" w:fldLock="1"/>
      </w:r>
      <w:r w:rsidR="0085653B">
        <w:instrText>ADDIN CSL_CITATION {"citationItems":[{"id":"ITEM-1","itemData":{"DOI":"10.1038/ni.2631","ISSN":"15292908","abstract":"Through the use of intravital imaging of the liver, we demonstrate a collaborative role for platelets with Kupffer cells (KCs) in eradicating blood-borne bacterial infection. Under basal conditions, platelets, via the platelet-adhesion receptor GPIb, formed transient 'touch-and-go' interactions with von Willebrand factor (vWF) constitutively expressed on KCs. Bacteria such as Bacillus cereus and methicillin-resistant Staphylococcus aureus (MRSA) were rapidly caught by KCs and triggered platelets to switch from 'touch-and-go' adhesion to sustained GPIIb-mediated adhesion on the KC surface to encase the bacterium. Infected GPIbα-deficient mice had more endothelial and KC damage than did their wild-type counterparts, which led to more fluid leakage, substantial polycythemia and rapid mortality. Our study identifies a previously unknown surveillance mechanism by which platelets survey macrophages that rapidly converts to a critical host response to blood-borne bacteria. © 2013 Nature America, Inc. All rights reserved.","author":[{"dropping-particle":"","family":"Wong","given":"Connie H.Y.","non-dropping-particle":"","parse-names":false,"suffix":""},{"dropping-particle":"","family":"Jenne","given":"Craig N.","non-dropping-particle":"","parse-names":false,"suffix":""},{"dropping-particle":"","family":"Petri","given":"Björn","non-dropping-particle":"","parse-names":false,"suffix":""},{"dropping-particle":"","family":"Chrobok","given":"Navina L.","non-dropping-particle":"","parse-names":false,"suffix":""},{"dropping-particle":"","family":"Kubes","given":"Paul","non-dropping-particle":"","parse-names":false,"suffix":""}],"container-title":"Nature Immunology","id":"ITEM-1","issue":"8","issued":{"date-parts":[["2013","8","16"]]},"page":"785-792","publisher":"Nature Publishing Group","title":"Nucleation of platelets with blood-borne pathogens on Kupffer cells precedes other innate immunity and contributes to bacterial clearance","type":"article-journal","volume":"14"},"uris":["http://www.mendeley.com/documents/?uuid=b7214029-6edb-360e-92a1-af40950f8368"]}],"mendeley":{"formattedCitation":"(77)","plainTextFormattedCitation":"(77)","previouslyFormattedCitation":"(77)"},"properties":{"noteIndex":0},"schema":"https://github.com/citation-style-language/schema/raw/master/csl-citation.json"}</w:instrText>
      </w:r>
      <w:r w:rsidRPr="008433AD">
        <w:fldChar w:fldCharType="separate"/>
      </w:r>
      <w:r w:rsidR="0085653B" w:rsidRPr="0085653B">
        <w:rPr>
          <w:noProof/>
        </w:rPr>
        <w:t>(77)</w:t>
      </w:r>
      <w:r w:rsidRPr="008433AD">
        <w:fldChar w:fldCharType="end"/>
      </w:r>
      <w:r w:rsidRPr="008433AD">
        <w:t xml:space="preserve">. </w:t>
      </w:r>
      <w:r w:rsidRPr="008433AD">
        <w:rPr>
          <w:rStyle w:val="fontstyle21"/>
          <w:rFonts w:ascii="Times New Roman" w:hAnsi="Times New Roman"/>
          <w:color w:val="auto"/>
        </w:rPr>
        <w:t>Bu nötrofillerden salınan proteazlar</w:t>
      </w:r>
      <w:r w:rsidR="0049692A" w:rsidRPr="008433AD">
        <w:rPr>
          <w:rStyle w:val="fontstyle21"/>
          <w:rFonts w:ascii="Times New Roman" w:hAnsi="Times New Roman"/>
          <w:color w:val="auto"/>
        </w:rPr>
        <w:t xml:space="preserve">, </w:t>
      </w:r>
      <w:r w:rsidRPr="008433AD">
        <w:rPr>
          <w:rStyle w:val="fontstyle21"/>
          <w:rFonts w:ascii="Times New Roman" w:hAnsi="Times New Roman"/>
          <w:color w:val="auto"/>
        </w:rPr>
        <w:t>serbest oksijen radikalleri</w:t>
      </w:r>
      <w:r w:rsidR="0049692A" w:rsidRPr="008433AD">
        <w:rPr>
          <w:rStyle w:val="fontstyle21"/>
          <w:rFonts w:ascii="Times New Roman" w:hAnsi="Times New Roman"/>
          <w:color w:val="auto"/>
        </w:rPr>
        <w:t xml:space="preserve"> ve nitrik oksit</w:t>
      </w:r>
      <w:r w:rsidRPr="008433AD">
        <w:rPr>
          <w:rStyle w:val="fontstyle21"/>
          <w:rFonts w:ascii="Times New Roman" w:hAnsi="Times New Roman"/>
          <w:color w:val="auto"/>
        </w:rPr>
        <w:t xml:space="preserve"> hepatosit</w:t>
      </w:r>
      <w:r w:rsidRPr="008433AD">
        <w:t xml:space="preserve"> </w:t>
      </w:r>
      <w:r w:rsidRPr="008433AD">
        <w:rPr>
          <w:rStyle w:val="fontstyle21"/>
          <w:rFonts w:ascii="Times New Roman" w:hAnsi="Times New Roman"/>
          <w:color w:val="auto"/>
        </w:rPr>
        <w:t>hasarına neden olurlar</w:t>
      </w:r>
      <w:r w:rsidR="0049692A" w:rsidRPr="008433AD">
        <w:rPr>
          <w:rStyle w:val="fontstyle21"/>
          <w:rFonts w:ascii="Times New Roman" w:hAnsi="Times New Roman"/>
          <w:color w:val="auto"/>
        </w:rPr>
        <w:t xml:space="preserve"> </w:t>
      </w:r>
      <w:r w:rsidR="0049692A" w:rsidRPr="008433AD">
        <w:rPr>
          <w:rStyle w:val="fontstyle21"/>
          <w:rFonts w:ascii="Times New Roman" w:hAnsi="Times New Roman"/>
          <w:color w:val="auto"/>
        </w:rPr>
        <w:fldChar w:fldCharType="begin" w:fldLock="1"/>
      </w:r>
      <w:r w:rsidR="0085653B">
        <w:rPr>
          <w:rStyle w:val="fontstyle21"/>
          <w:rFonts w:ascii="Times New Roman" w:hAnsi="Times New Roman"/>
          <w:color w:val="auto"/>
        </w:rPr>
        <w:instrText>ADDIN CSL_CITATION {"citationItems":[{"id":"ITEM-1","itemData":{"DOI":"10.1007/s11010-008-9881-7","ISSN":"03008177","abstract":"Nitric oxide (NO) and Monocyte Chemoattractant Protein (MCP)-1 co-regulation has been found in endotoxin-activated macrophages. Kupffer cells (KC) are a main source of soluble-mediators production in liver abnormalities. We investigated in vitro similar co-regulation of NO and MCP-1 production in rat activated KC. Isolated rat KC were cultured in the presence of 1 μg/ml LPS and various concentrations of Wortmannin (0-300 nM), L-NAME (0-500 μM) or MCP-1 (0-100 ng/ml). Production of MCP-1 and NO were measured in supernatants, by ELISA and a modification of the Griess reaction, respectively. Growth arrested KC, stimulated with vehicle, produced a basal amount of NO and MCP-1. In the presence of LPS, cultured KC secreted significantly (P &lt; 0.01) increased amounts of MCP-1 and NO. Pre-treatment of KC with various concentrations of L-NAME significantly (P &lt; 0.05) reduced the LPS-induced secretion of NO in a concentration dependent manner, but the MCP-1 production remained unaffected. Pre-treatment with Wortmannin significantly (P &lt; 0.05) inhibited LPS-induced secretion of MCP-1 and NO in a concentration dependent manner. Linear regression analysis revealed a positive correlation between MCP-1 and NO in the LPS (r = 0.59171, P &lt; 0.0001) and Wortmannin (r = 0.9215, P = 0.009) treated groups, but not in the L-NAME (r = -0.08513, P = 0.873). Incubation of KC with various concentrations of MCP-1 did not increase the NO production. These results indicate that KC might be the main source of NO and MCP-1 production in liver disorders, probably through the induction of PI3-kinase(s) and without any co-regulation between these molecules, which might represent two independent immunoregulatory pathways in the role of KC in hepatic disorders. © Springer Science+Business Media, LLC. 2008.","author":[{"dropping-particle":"","family":"Kolios","given":"George","non-dropping-particle":"","parse-names":false,"suffix":""},{"dropping-particle":"","family":"Valatas","given":"Vassilis","non-dropping-particle":"","parse-names":false,"suffix":""},{"dropping-particle":"","family":"Manousou","given":"Pinelopi","non-dropping-particle":"","parse-names":false,"suffix":""},{"dropping-particle":"","family":"Xidakis","given":"Costas","non-dropping-particle":"","parse-names":false,"suffix":""},{"dropping-particle":"","family":"Notas","given":"George","non-dropping-particle":"","parse-names":false,"suffix":""},{"dropping-particle":"","family":"Kouroumalis","given":"Elias","non-dropping-particle":"","parse-names":false,"suffix":""}],"container-title":"Molecular and Cellular Biochemistry","id":"ITEM-1","issue":"1-2","issued":{"date-parts":[["2008","12","16"]]},"page":"91-98","publisher":"Springer","title":"Nitric oxide and MCP-1 regulation in LPS activated rat Kupffer cells","type":"article-journal","volume":"319"},"uris":["http://www.mendeley.com/documents/?uuid=dd01c9fd-cc01-3ddc-bb61-3f34ea8ab76c"]},{"id":"ITEM-2","itemData":{"DOI":"10.1002/hep.1840170623","ISSN":"02709139","abstract":"We investigated the pathogenesis of septic liver injury in rats caused by cecal ligation and puncture. In this model, numerous neutrophils accumulated in the liver in parallel with the development of liver dysfunction. The supernatants of hepatic macrophages isolated from these septic rats 24 hr after cecal ligation and puncture had enhanced chemotactic activities for human neutrophils. These results suggest that in sepsis, hepatic macrophages attract neutrophils to the liver. Human neutrophils preincubated in this macrophage supernatant had the following biological activities not seen in the sham</w:instrText>
      </w:r>
      <w:r w:rsidR="0085653B">
        <w:rPr>
          <w:rStyle w:val="fontstyle21"/>
          <w:rFonts w:ascii="Cambria Math" w:hAnsi="Cambria Math" w:cs="Cambria Math"/>
          <w:color w:val="auto"/>
        </w:rPr>
        <w:instrText>‐</w:instrText>
      </w:r>
      <w:r w:rsidR="0085653B">
        <w:rPr>
          <w:rStyle w:val="fontstyle21"/>
          <w:rFonts w:ascii="Times New Roman" w:hAnsi="Times New Roman"/>
          <w:color w:val="auto"/>
        </w:rPr>
        <w:instrText>operated controls. (a) They became more adherent to cultured endothelial cells through up</w:instrText>
      </w:r>
      <w:r w:rsidR="0085653B">
        <w:rPr>
          <w:rStyle w:val="fontstyle21"/>
          <w:rFonts w:ascii="Cambria Math" w:hAnsi="Cambria Math" w:cs="Cambria Math"/>
          <w:color w:val="auto"/>
        </w:rPr>
        <w:instrText>‐</w:instrText>
      </w:r>
      <w:r w:rsidR="0085653B">
        <w:rPr>
          <w:rStyle w:val="fontstyle21"/>
          <w:rFonts w:ascii="Times New Roman" w:hAnsi="Times New Roman"/>
          <w:color w:val="auto"/>
        </w:rPr>
        <w:instrText>regulation of adhesion molecules such as CD11b/CD18, (b) their chemiluminescence was markedly elevated. These functional changes of cecal ligation and puncture hepatic macrophages were the same as those in endotoxin</w:instrText>
      </w:r>
      <w:r w:rsidR="0085653B">
        <w:rPr>
          <w:rStyle w:val="fontstyle21"/>
          <w:rFonts w:ascii="Cambria Math" w:hAnsi="Cambria Math" w:cs="Cambria Math"/>
          <w:color w:val="auto"/>
        </w:rPr>
        <w:instrText>‐</w:instrText>
      </w:r>
      <w:r w:rsidR="0085653B">
        <w:rPr>
          <w:rStyle w:val="fontstyle21"/>
          <w:rFonts w:ascii="Times New Roman" w:hAnsi="Times New Roman"/>
          <w:color w:val="auto"/>
        </w:rPr>
        <w:instrText>pretreated hepatic macrophages after isolation from normal rats. Therefore we suspect that hepatic macrophages are activated by portal vein endotoxin in sepsis. These activated hepatic macrophages secreted chemical mediators of inflammation, including leukotriene B4 and tumor necrosis factor. In conclusion, hepatic macrophages seem to interact closely with neutrophils and play an important role in the pathogenesis of septic liver injury. (HEPATOLOGY 1993;17:1086–1094.) Copyright © 1993 American Association for the Study of Liver Diseases","author":[{"dropping-particle":"","family":"Doi","given":"Fukashi","non-dropping-particle":"","parse-names":false,"suffix":""},{"dropping-particle":"","family":"Goya","given":"Tomomochi","non-dropping-particle":"","parse-names":false,"suffix":""},{"dropping-particle":"","family":"Torisu","given":"Motomichi","non-dropping-particle":"","parse-names":false,"suffix":""}],"container-title":"Hepatology","id":"ITEM-2","issue":"6","issued":{"date-parts":[["1993","6","1"]]},"page":"1086-1094","publisher":"John Wiley &amp; Sons, Ltd","title":"Potential role of hepatic macrophages in neutrophil-mediated liver injury in rats with sepsis","type":"article-journal","volume":"17"},"uris":["http://www.mendeley.com/documents/?uuid=c0fb160f-f175-3679-8b7c-fbcff11ac8e3"]}],"mendeley":{"formattedCitation":"(78,79)","plainTextFormattedCitation":"(78,79)","previouslyFormattedCitation":"(78,79)"},"properties":{"noteIndex":0},"schema":"https://github.com/citation-style-language/schema/raw/master/csl-citation.json"}</w:instrText>
      </w:r>
      <w:r w:rsidR="0049692A" w:rsidRPr="008433AD">
        <w:rPr>
          <w:rStyle w:val="fontstyle21"/>
          <w:rFonts w:ascii="Times New Roman" w:hAnsi="Times New Roman"/>
          <w:color w:val="auto"/>
        </w:rPr>
        <w:fldChar w:fldCharType="separate"/>
      </w:r>
      <w:r w:rsidR="0085653B" w:rsidRPr="0085653B">
        <w:rPr>
          <w:rStyle w:val="fontstyle21"/>
          <w:rFonts w:ascii="Times New Roman" w:hAnsi="Times New Roman"/>
          <w:noProof/>
          <w:color w:val="auto"/>
        </w:rPr>
        <w:t>(78,79)</w:t>
      </w:r>
      <w:r w:rsidR="0049692A" w:rsidRPr="008433AD">
        <w:rPr>
          <w:rStyle w:val="fontstyle21"/>
          <w:rFonts w:ascii="Times New Roman" w:hAnsi="Times New Roman"/>
          <w:color w:val="auto"/>
        </w:rPr>
        <w:fldChar w:fldCharType="end"/>
      </w:r>
      <w:r w:rsidR="0049692A" w:rsidRPr="008433AD">
        <w:rPr>
          <w:rStyle w:val="fontstyle21"/>
          <w:rFonts w:ascii="Times New Roman" w:hAnsi="Times New Roman"/>
          <w:color w:val="auto"/>
        </w:rPr>
        <w:t>.</w:t>
      </w:r>
      <w:r w:rsidRPr="008433AD">
        <w:rPr>
          <w:rStyle w:val="fontstyle21"/>
          <w:rFonts w:ascii="Times New Roman" w:hAnsi="Times New Roman"/>
          <w:color w:val="auto"/>
        </w:rPr>
        <w:t xml:space="preserve"> </w:t>
      </w:r>
    </w:p>
    <w:p w14:paraId="31CB26DC" w14:textId="6CC3B381" w:rsidR="005173CF" w:rsidRPr="008433AD" w:rsidRDefault="00F23CF6" w:rsidP="008433AD">
      <w:r w:rsidRPr="008433AD">
        <w:t xml:space="preserve">Karaciğerdeki B </w:t>
      </w:r>
      <w:r w:rsidR="005173CF" w:rsidRPr="008433AD">
        <w:t xml:space="preserve">lenfosit </w:t>
      </w:r>
      <w:r w:rsidRPr="008433AD">
        <w:t>hücre</w:t>
      </w:r>
      <w:r w:rsidR="005173CF" w:rsidRPr="008433AD">
        <w:t xml:space="preserve">leri de fagositoz ve bakteri temizleme işlemine </w:t>
      </w:r>
      <w:r w:rsidRPr="008433AD">
        <w:t>katılırlar</w:t>
      </w:r>
      <w:r w:rsidR="005173CF" w:rsidRPr="008433AD">
        <w:t>.</w:t>
      </w:r>
      <w:r w:rsidRPr="008433AD">
        <w:t xml:space="preserve"> </w:t>
      </w:r>
      <w:r w:rsidR="005173CF" w:rsidRPr="008433AD">
        <w:t xml:space="preserve">Yapılan deneysel bir çalışmada </w:t>
      </w:r>
      <w:r w:rsidRPr="008433AD">
        <w:t>fare karaciğerindeki B</w:t>
      </w:r>
      <w:r w:rsidR="005173CF" w:rsidRPr="008433AD">
        <w:t xml:space="preserve"> lenfosit</w:t>
      </w:r>
      <w:r w:rsidRPr="008433AD">
        <w:t xml:space="preserve"> hücrelerinin </w:t>
      </w:r>
      <w:r w:rsidR="005173CF" w:rsidRPr="008433AD">
        <w:t xml:space="preserve">de </w:t>
      </w:r>
      <w:r w:rsidRPr="008433AD">
        <w:t>bakterileri fagosite ederek Kup</w:t>
      </w:r>
      <w:r w:rsidR="005173CF" w:rsidRPr="008433AD">
        <w:t>ffer hücreler</w:t>
      </w:r>
      <w:r w:rsidR="0049692A" w:rsidRPr="008433AD">
        <w:t>i</w:t>
      </w:r>
      <w:r w:rsidR="005173CF" w:rsidRPr="008433AD">
        <w:t xml:space="preserve"> gibi davrandığı gösterilmiştir.</w:t>
      </w:r>
      <w:r w:rsidRPr="008433AD">
        <w:t xml:space="preserve"> </w:t>
      </w:r>
      <w:r w:rsidR="005173CF" w:rsidRPr="008433AD">
        <w:t xml:space="preserve">Diğer </w:t>
      </w:r>
      <w:r w:rsidRPr="008433AD">
        <w:t xml:space="preserve">organlardaki B </w:t>
      </w:r>
      <w:r w:rsidR="005173CF" w:rsidRPr="008433AD">
        <w:t xml:space="preserve">lenfosit </w:t>
      </w:r>
      <w:r w:rsidRPr="008433AD">
        <w:t>hücreleri böyle bir işlev göstermez</w:t>
      </w:r>
      <w:r w:rsidR="00E41F77" w:rsidRPr="008433AD">
        <w:t xml:space="preserve"> </w:t>
      </w:r>
      <w:r w:rsidR="00E41F77" w:rsidRPr="008433AD">
        <w:fldChar w:fldCharType="begin" w:fldLock="1"/>
      </w:r>
      <w:r w:rsidR="0085653B">
        <w:instrText>ADDIN CSL_CITATION {"citationItems":[{"id":"ITEM-1","itemData":{"DOI":"10.1126/science.1215173","ISSN":"10959203","PMID":"22245738","abstract":"Recognition and clearance of a bacterial infection are fundamental properties of innate immunity. Here, we describe an effector B cell population that protects against microbial sepsis. Innate response activator (IRA) B cells are phenotypically and functionally distinct, develop and diverge from B1a B cells, depend on pattern-recognition receptors, and produce granulocyte- macrophage colony-stimulating factor. Specific deletion of IRA B cell activity impairs bacterial clearance, elicits a cytokine storm, and precipitates septic shock. These observations enrich our understanding of innate immunity, position IRA B cells as gatekeepers of bacterial infection, and identify new treatment avenues for infectious diseases.","author":[{"dropping-particle":"","family":"Rauch","given":"Philipp J.","non-dropping-particle":"","parse-names":false,"suffix":""},{"dropping-particle":"","family":"Chudnovskiy","given":"Aleksey","non-dropping-particle":"","parse-names":false,"suffix":""},{"dropping-particle":"","family":"Robbins","given":"Clinton S.","non-dropping-particle":"","parse-names":false,"suffix":""},{"dropping-particle":"","family":"Weber","given":"Georg F.","non-dropping-particle":"","parse-names":false,"suffix":""},{"dropping-particle":"","family":"Etzrodt","given":"Martin","non-dropping-particle":"","parse-names":false,"suffix":""},{"dropping-particle":"","family":"Hilgendorf","given":"Ingo","non-dropping-particle":"","parse-names":false,"suffix":""},{"dropping-particle":"","family":"Tiglao","given":"Elizabeth","non-dropping-particle":"","parse-names":false,"suffix":""},{"dropping-particle":"","family":"Figueiredo","given":"Jose Luiz","non-dropping-particle":"","parse-names":false,"suffix":""},{"dropping-particle":"","family":"Iwamoto","given":"Yoshiko","non-dropping-particle":"","parse-names":false,"suffix":""},{"dropping-particle":"","family":"Theurl","given":"Igor","non-dropping-particle":"","parse-names":false,"suffix":""},{"dropping-particle":"","family":"Gorbatov","given":"Rostic","non-dropping-particle":"","parse-names":false,"suffix":""},{"dropping-particle":"","family":"Waring","given":"Michael T.","non-dropping-particle":"","parse-names":false,"suffix":""},{"dropping-particle":"","family":"Chicoine","given":"Adam T.","non-dropping-particle":"","parse-names":false,"suffix":""},{"dropping-particle":"","family":"Mouded","given":"Majd","non-dropping-particle":"","parse-names":false,"suffix":""},{"dropping-particle":"","family":"Pittet","given":"Mikael J.","non-dropping-particle":"","parse-names":false,"suffix":""},{"dropping-particle":"","family":"Nahrendorf","given":"Matthias","non-dropping-particle":"","parse-names":false,"suffix":""},{"dropping-particle":"","family":"Weissleder","given":"Ralph","non-dropping-particle":"","parse-names":false,"suffix":""},{"dropping-particle":"","family":"Swirski","given":"Filip K.","non-dropping-particle":"","parse-names":false,"suffix":""}],"container-title":"Science","id":"ITEM-1","issue":"6068","issued":{"date-parts":[["2012","2","3"]]},"page":"597-601","publisher":"American Association for the Advancement of Science","title":"Innate response activator B cells protect against microbial sepsis","type":"article-journal","volume":"335"},"uris":["http://www.mendeley.com/documents/?uuid=d1e1b8aa-7b19-3da6-a796-8ecc5b07da58"]}],"mendeley":{"formattedCitation":"(80)","plainTextFormattedCitation":"(80)","previouslyFormattedCitation":"(80)"},"properties":{"noteIndex":0},"schema":"https://github.com/citation-style-language/schema/raw/master/csl-citation.json"}</w:instrText>
      </w:r>
      <w:r w:rsidR="00E41F77" w:rsidRPr="008433AD">
        <w:fldChar w:fldCharType="separate"/>
      </w:r>
      <w:r w:rsidR="0085653B" w:rsidRPr="0085653B">
        <w:rPr>
          <w:noProof/>
        </w:rPr>
        <w:t>(80)</w:t>
      </w:r>
      <w:r w:rsidR="00E41F77" w:rsidRPr="008433AD">
        <w:fldChar w:fldCharType="end"/>
      </w:r>
      <w:r w:rsidRPr="008433AD">
        <w:t>. Bu nedenle, karaciğerdeki birçok hücre, fagositoz ile bakterileri dolaşımdan temizleme yeteneğine sahiptir. Böylece</w:t>
      </w:r>
      <w:r w:rsidR="00CA7C99" w:rsidRPr="008433AD">
        <w:t xml:space="preserve"> </w:t>
      </w:r>
      <w:r w:rsidRPr="008433AD">
        <w:t xml:space="preserve">karaciğer, sepsis ile ilişkili sistemik organ hasarını önlemede rol oynar. </w:t>
      </w:r>
    </w:p>
    <w:p w14:paraId="31CB26DD" w14:textId="16575F45" w:rsidR="009F0CAA" w:rsidRPr="008433AD" w:rsidRDefault="00F23CF6" w:rsidP="008433AD">
      <w:r w:rsidRPr="008433AD">
        <w:lastRenderedPageBreak/>
        <w:t>Karaciğer disfonksiyonu</w:t>
      </w:r>
      <w:r w:rsidR="0049692A" w:rsidRPr="008433AD">
        <w:t>;</w:t>
      </w:r>
      <w:r w:rsidRPr="008433AD">
        <w:t xml:space="preserve"> azal</w:t>
      </w:r>
      <w:r w:rsidR="0049692A" w:rsidRPr="008433AD">
        <w:t>mış</w:t>
      </w:r>
      <w:r w:rsidRPr="008433AD">
        <w:t xml:space="preserve"> sentez ve</w:t>
      </w:r>
      <w:r w:rsidR="0049692A" w:rsidRPr="008433AD">
        <w:t xml:space="preserve"> </w:t>
      </w:r>
      <w:r w:rsidRPr="008433AD">
        <w:t>temizleme gibi</w:t>
      </w:r>
      <w:r w:rsidRPr="008433AD">
        <w:br/>
        <w:t xml:space="preserve">hepatosellüler fonksiyonlardaki değişikliklerden oluşur. </w:t>
      </w:r>
      <w:r w:rsidR="009F0CAA" w:rsidRPr="008433AD">
        <w:t xml:space="preserve">Sepsise bağlı karaciğer disfonksiyonu, enfektif ve toksik maddelerin sistemik dolaşıma katılarak sepsisin başlangıcına ve ilerlemesine katkıda bulunabilir. </w:t>
      </w:r>
      <w:r w:rsidR="005A0B21" w:rsidRPr="008433AD">
        <w:rPr>
          <w:rStyle w:val="fontstyle21"/>
          <w:rFonts w:ascii="Times New Roman" w:hAnsi="Times New Roman"/>
          <w:color w:val="auto"/>
        </w:rPr>
        <w:t xml:space="preserve">Bu disfonksiyon </w:t>
      </w:r>
      <w:r w:rsidR="00FE7987" w:rsidRPr="008433AD">
        <w:rPr>
          <w:rStyle w:val="fontstyle21"/>
          <w:rFonts w:ascii="Times New Roman" w:hAnsi="Times New Roman"/>
          <w:color w:val="auto"/>
        </w:rPr>
        <w:t>koag</w:t>
      </w:r>
      <w:r w:rsidR="00F52B2F" w:rsidRPr="008433AD">
        <w:rPr>
          <w:rStyle w:val="fontstyle21"/>
          <w:rFonts w:ascii="Times New Roman" w:hAnsi="Times New Roman"/>
          <w:color w:val="auto"/>
        </w:rPr>
        <w:t>ü</w:t>
      </w:r>
      <w:r w:rsidR="00FE7987" w:rsidRPr="008433AD">
        <w:rPr>
          <w:rStyle w:val="fontstyle21"/>
          <w:rFonts w:ascii="Times New Roman" w:hAnsi="Times New Roman"/>
          <w:color w:val="auto"/>
        </w:rPr>
        <w:t xml:space="preserve">lasyon bozukluğu yaparak </w:t>
      </w:r>
      <w:r w:rsidR="005A0B21" w:rsidRPr="008433AD">
        <w:rPr>
          <w:rStyle w:val="fontstyle21"/>
          <w:rFonts w:ascii="Times New Roman" w:hAnsi="Times New Roman"/>
          <w:color w:val="auto"/>
        </w:rPr>
        <w:t>DİK ve kanamalara yol açar.</w:t>
      </w:r>
    </w:p>
    <w:p w14:paraId="31CB26DF" w14:textId="3D60D7A1" w:rsidR="00E24002" w:rsidRPr="008433AD" w:rsidRDefault="005A0B21" w:rsidP="008433AD">
      <w:r w:rsidRPr="008433AD">
        <w:rPr>
          <w:rStyle w:val="fontstyle21"/>
          <w:rFonts w:ascii="Times New Roman" w:hAnsi="Times New Roman"/>
          <w:color w:val="auto"/>
        </w:rPr>
        <w:t xml:space="preserve"> </w:t>
      </w:r>
      <w:r w:rsidR="00F23CF6" w:rsidRPr="008433AD">
        <w:t xml:space="preserve">Karaciğer hasarı, </w:t>
      </w:r>
      <w:r w:rsidR="005173CF" w:rsidRPr="008433AD">
        <w:t xml:space="preserve">hepatositlerde geri dönüşümsüz zedelenme </w:t>
      </w:r>
      <w:r w:rsidR="00CA7C99" w:rsidRPr="008433AD">
        <w:t xml:space="preserve">olarak tanımlanır. </w:t>
      </w:r>
      <w:r w:rsidR="005173CF" w:rsidRPr="008433AD">
        <w:t xml:space="preserve"> </w:t>
      </w:r>
      <w:r w:rsidR="00F23CF6" w:rsidRPr="008433AD">
        <w:t>Karaciğer</w:t>
      </w:r>
      <w:r w:rsidR="00CA7C99" w:rsidRPr="008433AD">
        <w:t xml:space="preserve"> </w:t>
      </w:r>
      <w:r w:rsidR="00F23CF6" w:rsidRPr="008433AD">
        <w:t>yetmezliği</w:t>
      </w:r>
      <w:r w:rsidR="005173CF" w:rsidRPr="008433AD">
        <w:t xml:space="preserve"> ise,</w:t>
      </w:r>
      <w:r w:rsidR="00F23CF6" w:rsidRPr="008433AD">
        <w:t xml:space="preserve"> karaciğerde sürekli, ciddi hasar ve karaciğer hücrelerinin %80-90'ında</w:t>
      </w:r>
      <w:r w:rsidR="00CA7C99" w:rsidRPr="008433AD">
        <w:t xml:space="preserve"> </w:t>
      </w:r>
      <w:r w:rsidR="00F23CF6" w:rsidRPr="008433AD">
        <w:t>işlev kaybı olarak tanımlanır</w:t>
      </w:r>
      <w:r w:rsidR="00E41F77" w:rsidRPr="008433AD">
        <w:t xml:space="preserve"> </w:t>
      </w:r>
      <w:r w:rsidR="00E41F77" w:rsidRPr="008433AD">
        <w:fldChar w:fldCharType="begin" w:fldLock="1"/>
      </w:r>
      <w:r w:rsidR="0085653B">
        <w:instrText>ADDIN CSL_CITATION {"citationItems":[{"id":"ITEM-1","itemData":{"author":[{"dropping-particle":"","family":"Jarrar","given":"Doraid","non-dropping-particle":"","parse-names":false,"suffix":""},{"dropping-particle":"","family":"Wang","given":"Ping","non-dropping-particle":"","parse-names":false,"suffix":""},{"dropping-particle":"","family":"Chaudry","given":"Irshad H","non-dropping-particle":"","parse-names":false,"suffix":""}],"id":"ITEM-1","issued":{"date-parts":[["2001"]]},"publisher":"Zuckschwerdt","title":"Hepatocellular dysfunction–basic considerations","type":"article-journal"},"uris":["http://www.mendeley.com/documents/?uuid=21ba1543-8747-3e52-a354-2f835730f994"]}],"mendeley":{"formattedCitation":"(81)","plainTextFormattedCitation":"(81)","previouslyFormattedCitation":"(81)"},"properties":{"noteIndex":0},"schema":"https://github.com/citation-style-language/schema/raw/master/csl-citation.json"}</w:instrText>
      </w:r>
      <w:r w:rsidR="00E41F77" w:rsidRPr="008433AD">
        <w:fldChar w:fldCharType="separate"/>
      </w:r>
      <w:r w:rsidR="0085653B" w:rsidRPr="0085653B">
        <w:rPr>
          <w:noProof/>
        </w:rPr>
        <w:t>(81)</w:t>
      </w:r>
      <w:r w:rsidR="00E41F77" w:rsidRPr="008433AD">
        <w:fldChar w:fldCharType="end"/>
      </w:r>
      <w:r w:rsidR="00F23CF6" w:rsidRPr="008433AD">
        <w:t xml:space="preserve">. </w:t>
      </w:r>
      <w:r w:rsidRPr="008433AD">
        <w:t xml:space="preserve">Sepsise bağlı </w:t>
      </w:r>
      <w:r w:rsidR="009F0CAA" w:rsidRPr="008433AD">
        <w:t>karaciğer yetmezliğinde</w:t>
      </w:r>
      <w:r w:rsidRPr="008433AD">
        <w:t>ki hastada</w:t>
      </w:r>
      <w:r w:rsidR="00FE7987" w:rsidRPr="008433AD">
        <w:t xml:space="preserve">; </w:t>
      </w:r>
      <w:r w:rsidR="00F52B2F" w:rsidRPr="008433AD">
        <w:t>bilirübin</w:t>
      </w:r>
      <w:r w:rsidR="00FE7987" w:rsidRPr="008433AD">
        <w:t>, KCFT</w:t>
      </w:r>
      <w:r w:rsidR="009F0CAA" w:rsidRPr="008433AD">
        <w:t>, amonyak</w:t>
      </w:r>
      <w:r w:rsidR="00FE7987" w:rsidRPr="008433AD">
        <w:t xml:space="preserve"> ve </w:t>
      </w:r>
      <w:r w:rsidR="00FE7987" w:rsidRPr="008433AD">
        <w:rPr>
          <w:rStyle w:val="fontstyle21"/>
          <w:rFonts w:ascii="Times New Roman" w:hAnsi="Times New Roman"/>
          <w:color w:val="auto"/>
        </w:rPr>
        <w:t>laktat seviyelerinde</w:t>
      </w:r>
      <w:r w:rsidR="009F0CAA" w:rsidRPr="008433AD">
        <w:t xml:space="preserve"> artış</w:t>
      </w:r>
      <w:r w:rsidR="00FE7987" w:rsidRPr="008433AD">
        <w:t xml:space="preserve"> görülürken</w:t>
      </w:r>
      <w:r w:rsidRPr="008433AD">
        <w:rPr>
          <w:rStyle w:val="fontstyle21"/>
          <w:rFonts w:ascii="Times New Roman" w:hAnsi="Times New Roman"/>
          <w:color w:val="auto"/>
        </w:rPr>
        <w:t xml:space="preserve"> aminoasit </w:t>
      </w:r>
      <w:r w:rsidR="00FE7987" w:rsidRPr="008433AD">
        <w:rPr>
          <w:rStyle w:val="fontstyle21"/>
          <w:rFonts w:ascii="Times New Roman" w:hAnsi="Times New Roman"/>
          <w:color w:val="auto"/>
        </w:rPr>
        <w:t>klirensinde ve</w:t>
      </w:r>
      <w:r w:rsidRPr="008433AD">
        <w:rPr>
          <w:rStyle w:val="fontstyle21"/>
          <w:rFonts w:ascii="Times New Roman" w:hAnsi="Times New Roman"/>
          <w:color w:val="auto"/>
        </w:rPr>
        <w:t xml:space="preserve"> protein sentezinde düşüş görülür</w:t>
      </w:r>
      <w:r w:rsidR="00FE7987" w:rsidRPr="008433AD">
        <w:rPr>
          <w:rStyle w:val="fontstyle21"/>
          <w:rFonts w:ascii="Times New Roman" w:hAnsi="Times New Roman"/>
          <w:color w:val="auto"/>
        </w:rPr>
        <w:t>; böylece</w:t>
      </w:r>
      <w:r w:rsidRPr="008433AD">
        <w:t xml:space="preserve"> </w:t>
      </w:r>
      <w:r w:rsidR="009F0CAA" w:rsidRPr="008433AD">
        <w:t>ensef</w:t>
      </w:r>
      <w:r w:rsidR="00FE7987" w:rsidRPr="008433AD">
        <w:t xml:space="preserve">alopati oluşur. </w:t>
      </w:r>
      <w:r w:rsidR="00F52B2F" w:rsidRPr="008433AD">
        <w:t>Hepatositlerdeki bu</w:t>
      </w:r>
      <w:r w:rsidR="00ED0E59" w:rsidRPr="008433AD">
        <w:t xml:space="preserve"> olumsuz etki sonucunda, karaciğerde sentez aktivitesi, </w:t>
      </w:r>
      <w:r w:rsidR="00F52B2F" w:rsidRPr="008433AD">
        <w:t>glikoz</w:t>
      </w:r>
      <w:r w:rsidR="00ED0E59" w:rsidRPr="008433AD">
        <w:t xml:space="preserve"> metabolizması, safra oluşumu ve akışı etkilenip zayıflar. </w:t>
      </w:r>
    </w:p>
    <w:p w14:paraId="31CB26E1" w14:textId="0ACC5560" w:rsidR="00ED0E59" w:rsidRPr="008433AD" w:rsidRDefault="00F23CF6" w:rsidP="008433AD">
      <w:r w:rsidRPr="008433AD">
        <w:t>Sepsis ile ilişkili karaciğer hasarının patolojisi hayvan modelleriyle çalışılmıştır.</w:t>
      </w:r>
      <w:r w:rsidR="009C1FEE" w:rsidRPr="008433AD">
        <w:t xml:space="preserve"> </w:t>
      </w:r>
      <w:r w:rsidR="00E90B76">
        <w:t>Sıçanlarda Klebsiella P</w:t>
      </w:r>
      <w:r w:rsidRPr="008433AD">
        <w:t xml:space="preserve">neumonia ile indüklenen sepsiste, erken dönemde karaciğerde önemli histolojik değişiklikler olmaksızın </w:t>
      </w:r>
      <w:r w:rsidR="00F52B2F" w:rsidRPr="008433AD">
        <w:t>glikoz</w:t>
      </w:r>
      <w:r w:rsidRPr="008433AD">
        <w:t xml:space="preserve"> metabolizması, ilaç</w:t>
      </w:r>
      <w:r w:rsidR="005173CF" w:rsidRPr="008433AD">
        <w:t xml:space="preserve"> </w:t>
      </w:r>
      <w:r w:rsidRPr="008433AD">
        <w:t>detoksifikasyonu ve oksitleme gibi fonksiyonlarında baskılanma olduğu</w:t>
      </w:r>
      <w:r w:rsidR="005173CF" w:rsidRPr="008433AD">
        <w:t xml:space="preserve"> </w:t>
      </w:r>
      <w:r w:rsidRPr="008433AD">
        <w:t xml:space="preserve">raporlanmıştır. Metabolik süreçlerde olduğu gibi hepatik </w:t>
      </w:r>
      <w:r w:rsidR="00FD129D" w:rsidRPr="008433AD">
        <w:t xml:space="preserve">transcriptomedaki </w:t>
      </w:r>
      <w:r w:rsidRPr="008433AD">
        <w:t xml:space="preserve">değişikliklerin, sıçan sepsis modelinde, sepsis başlangıcından 6 saat sonra meydana geldiği gösterilmiştir. Sepsis başlangıcından </w:t>
      </w:r>
      <w:r w:rsidR="009F0CAA" w:rsidRPr="008433AD">
        <w:t>15</w:t>
      </w:r>
      <w:r w:rsidRPr="008433AD">
        <w:t xml:space="preserve"> saat sonra ise safra asitlerinin konjugasyonunda sorun geliştiği görülmüştür. Bu moleküler, biyokimyasal ve fizyolojik değişiklikleri takiben hepatosit apoptozisi, nekrozu ve nötrofil birikimi ile ilişkili olan kolestaz ve </w:t>
      </w:r>
      <w:r w:rsidR="00F52B2F" w:rsidRPr="008433AD">
        <w:t>hepatosellüler</w:t>
      </w:r>
      <w:r w:rsidRPr="008433AD">
        <w:t xml:space="preserve"> hasar gözlenmiştir</w:t>
      </w:r>
      <w:r w:rsidR="00E41F77" w:rsidRPr="008433AD">
        <w:t xml:space="preserve"> </w:t>
      </w:r>
      <w:r w:rsidR="00E41F77" w:rsidRPr="008433AD">
        <w:fldChar w:fldCharType="begin" w:fldLock="1"/>
      </w:r>
      <w:r w:rsidR="0085653B">
        <w:instrText>ADDIN CSL_CITATION {"citationItems":[{"id":"ITEM-1","itemData":{"DOI":"10.1007/s00595-006-3196-7","ISSN":"09411291","abstract":"Purpose. To evaluate the extent of liver injury after the onset of sepsis and abdominal compartment syndrome (ACS) in rats. Methods. We divided 60 rats into four groups of 15. Group 1 was the sham group. In group 2, sepsis was induced by cecal puncture and ligation; in group 3, ACS was created by placing a catheter in the abdominal cavity; and in group 4, both sepsis and ACS were induced simultaneously. Liver sections stained with hematoxylin-eosin were assessed pathologically, and liver injury was defined by the following five pathological patterns: spotty necrosis, capsular inflammation, portal inflammation, ballooning degeneration, and steatosis of the liver. We revised a new scoring system, called \"Hepatic Injury Severity Scoring\" (HISS), to evaluate the liver injury in sepsis, ACS, and sepsis plus ACS. Blood was collected for liver function tests. Results. The total scores of groups 1, 2, 3, and 4 were 18, 92, 86, and 123, respectively. There were significant differences in histopathologic grade between group 1 and groups 2, 3, and 4 (P &lt; 0.05). Aspartate aminotransferase, alanine aminotransferase, alkaline phosphatase, and total bilirubin levels were significantly higher in group 4 than in the other three groups. Conclusions. The findings of this study showed that liver function severely affected the onset of ACS and sepsis. The liver injury resulting from sepsis plus ACS is more severe than that resulting from either one independently. © Springer-Verlag 2006.","author":[{"dropping-particle":"","family":"Muftuoglu","given":"M. A.Tolga","non-dropping-particle":"","parse-names":false,"suffix":""},{"dropping-particle":"","family":"Aktekin","given":"Ali","non-dropping-particle":"","parse-names":false,"suffix":""},{"dropping-particle":"","family":"Ozdemir","given":"Nilgun C.","non-dropping-particle":"","parse-names":false,"suffix":""},{"dropping-particle":"","family":"Saglam","given":"Abdullah","non-dropping-particle":"","parse-names":false,"suffix":""}],"container-title":"Surgery Today","id":"ITEM-1","issue":"6","issued":{"date-parts":[["2006","6"]]},"page":"519-524","publisher":"Springer","title":"Liver injury in sepsis and abdominal compartment syndrome in rats","type":"article-journal","volume":"36"},"uris":["http://www.mendeley.com/documents/?uuid=b2dfecb0-60af-3cf3-93a2-90af67597c28"]}],"mendeley":{"formattedCitation":"(82)","plainTextFormattedCitation":"(82)","previouslyFormattedCitation":"(82)"},"properties":{"noteIndex":0},"schema":"https://github.com/citation-style-language/schema/raw/master/csl-citation.json"}</w:instrText>
      </w:r>
      <w:r w:rsidR="00E41F77" w:rsidRPr="008433AD">
        <w:fldChar w:fldCharType="separate"/>
      </w:r>
      <w:r w:rsidR="0085653B" w:rsidRPr="0085653B">
        <w:rPr>
          <w:noProof/>
        </w:rPr>
        <w:t>(82)</w:t>
      </w:r>
      <w:r w:rsidR="00E41F77" w:rsidRPr="008433AD">
        <w:fldChar w:fldCharType="end"/>
      </w:r>
      <w:r w:rsidRPr="008433AD">
        <w:t xml:space="preserve">. Şiddetli CLP sepsisinden farklı olarak orta ağırlıklı sepsiste hepatosit rejenerasyonu olabildiği görülmüştür </w:t>
      </w:r>
      <w:r w:rsidR="00B34CD1" w:rsidRPr="008433AD">
        <w:fldChar w:fldCharType="begin" w:fldLock="1"/>
      </w:r>
      <w:r w:rsidR="0085653B">
        <w:instrText>ADDIN CSL_CITATION {"citationItems":[{"id":"ITEM-1","itemData":{"DOI":"10.1016/j.jss.2005.07.020","ISSN":"00224804","abstract":"Background. The phosphodiesterase inhibitors (PDEIs) have been proposed to improve hepatic reperfusion injury and hepatosplanchnic circulation, but the effects of these agents on liver regeneration have not been investigated thoroughly. The aim of this study was to investigate the effect of amrinone, a PDEI, on liver regeneration in rats. Materials and methods. Sixty rats were divided into two groups, control and amrinone. Each group was then divided into three groups (n = 10). An infusion of amrinone to the study group and of 0.9% NaCl to the control group was performed. Seventy percent liver resection was performed to the rats during the first hour of infusion. The infusion was maintained for 17 h after resection. A total of 18 h infusion was performed. Rats were allowed to survive for 24, 48, and 72 h, and then they were sacrificed. Biochemical, morphological, hematological, and histopathologic measurements and assessments were performed. Results. There were statistically significant differences between the amrinone and control groups in alkaline phosphatase and relative liver weights at 24, 48, and 72 h (P &lt; 0.05). There also were statistically significant differences between the groups in AST, bilirubin, and albumine levels at 24 h, ALT and prothrombine time levels at 48 h, and aspartate aminotransferase and alanine aminotransferase levels at 72 h (P &lt; 0.05). Hepatic ATP levels, mitotic index, and proliferating cell nuclear antigen labeling index were significantly higher in amrinone group compared with control group at all three time intervals (P &lt; 0.05). Conclusions. Amrinone improves both morphological and functional liver regeneration after liver resection. © 2006 Elsevier Inc. All rights reserved.","author":[{"dropping-particle":"","family":"Akcan","given":"Alper","non-dropping-particle":"","parse-names":false,"suffix":""},{"dropping-particle":"","family":"Kucuk","given":"Can","non-dropping-particle":"","parse-names":false,"suffix":""},{"dropping-particle":"","family":"Ok","given":"Engin","non-dropping-particle":"","parse-names":false,"suffix":""},{"dropping-particle":"","family":"Canoz","given":"Ozlem","non-dropping-particle":"","parse-names":false,"suffix":""},{"dropping-particle":"","family":"Muhtaroglu","given":"Sebahattin","non-dropping-particle":"","parse-names":false,"suffix":""},{"dropping-particle":"","family":"Yilmaz","given":"Namik","non-dropping-particle":"","parse-names":false,"suffix":""},{"dropping-particle":"","family":"Yilmaz","given":"Zeki","non-dropping-particle":"","parse-names":false,"suffix":""}],"container-title":"Journal of Surgical Research","id":"ITEM-1","issue":"1","issued":{"date-parts":[["2006","1","1"]]},"page":"66-72","publisher":"Academic Press","title":"The effect of amrinone on liver regeneration in experimental hepatic resection model","type":"article-journal","volume":"130"},"uris":["http://www.mendeley.com/documents/?uuid=34dac616-de6a-3703-bc18-be9fa333abd4"]}],"mendeley":{"formattedCitation":"(83)","plainTextFormattedCitation":"(83)","previouslyFormattedCitation":"(83)"},"properties":{"noteIndex":0},"schema":"https://github.com/citation-style-language/schema/raw/master/csl-citation.json"}</w:instrText>
      </w:r>
      <w:r w:rsidR="00B34CD1" w:rsidRPr="008433AD">
        <w:fldChar w:fldCharType="separate"/>
      </w:r>
      <w:r w:rsidR="0085653B" w:rsidRPr="0085653B">
        <w:rPr>
          <w:noProof/>
        </w:rPr>
        <w:t>(83)</w:t>
      </w:r>
      <w:r w:rsidR="00B34CD1" w:rsidRPr="008433AD">
        <w:fldChar w:fldCharType="end"/>
      </w:r>
      <w:r w:rsidRPr="008433AD">
        <w:t xml:space="preserve">. Daha önce yapılan otopsi çalışmalarında sepsisten ölen hastaların çoğunda hepatit ve karaciğer steatozu saptanmıştır. Hepatik lezyonlar arasında portal </w:t>
      </w:r>
      <w:r w:rsidR="00CE4583" w:rsidRPr="008433AD">
        <w:t>enflamasy</w:t>
      </w:r>
      <w:r w:rsidRPr="008433AD">
        <w:t xml:space="preserve">on, sentrilobüler nekroz, lobüler </w:t>
      </w:r>
      <w:r w:rsidR="00CE4583" w:rsidRPr="008433AD">
        <w:t>enflamasy</w:t>
      </w:r>
      <w:r w:rsidRPr="008433AD">
        <w:t xml:space="preserve">on, </w:t>
      </w:r>
      <w:r w:rsidR="00F52B2F" w:rsidRPr="008433AD">
        <w:t>hepatosellüler</w:t>
      </w:r>
      <w:r w:rsidR="00B0144B">
        <w:t xml:space="preserve"> apoptoz, kolanjit</w:t>
      </w:r>
      <w:r w:rsidRPr="008433AD">
        <w:t xml:space="preserve">/kolanjiolit ve steatoz tespit edilmiş </w:t>
      </w:r>
      <w:r w:rsidR="00FD129D" w:rsidRPr="008433AD">
        <w:fldChar w:fldCharType="begin" w:fldLock="1"/>
      </w:r>
      <w:r w:rsidR="0085653B">
        <w:instrText>ADDIN CSL_CITATION {"citationItems":[{"id":"ITEM-1","itemData":{"DOI":"10.3748/wjg.14.1389","ISSN":"1007-9327","PMID":"18322953","abstract":"AIM To determine end-stage pathologic changes in the liver of septic patients dying in the intensive care unit. METHODS Needle liver biopsies obtained immediately after death from 15 consecutive patients with sepsis and no underlying liver disease were subjected to routine histological examination. Liver function tests and clinical monitoring measurements were also recorded. RESULTS Liver biochemistries were increased in the majority of patients before death. Histology of liver biopsy specimens showed portal inflammation in 73.3%, centrilobular necrosis in 80%, lobular inflammation in 66.7%, hepatocellular apoptosis in 66.6% and cholangitis/cholangiolitis in 20% of patients. Mixed hepatitic/cholestatic type of liver injury was observed in 6/15 (40%) patients and hepatitc in 9/15 (60%). Steatosis was observed in 11/15 (73.3%) patients affecting 5%-80% of liver parenchyma. Among the histological features, the presence of portal inflammation in liver biopsy was associated with increased hospitalization in the ICU prior death (P=0.026). CONCLUSION Features of hepatitis and steatosis are the main histological findings in the liver in the majority of patients dying from sepsis.","author":[{"dropping-particle":"","family":"Koskinas","given":"John","non-dropping-particle":"","parse-names":false,"suffix":""},{"dropping-particle":"","family":"Gomatos","given":"Ilias P.","non-dropping-particle":"","parse-names":false,"suffix":""},{"dropping-particle":"","family":"Tiniakos","given":"Dina G.","non-dropping-particle":"","parse-names":false,"suffix":""},{"dropping-particle":"","family":"Memos","given":"Nikolaos","non-dropping-particle":"","parse-names":false,"suffix":""},{"dropping-particle":"","family":"Boutsikou","given":"Maria","non-dropping-particle":"","parse-names":false,"suffix":""},{"dropping-particle":"","family":"Garatzioti","given":"Aspasia","non-dropping-particle":"","parse-names":false,"suffix":""},{"dropping-particle":"","family":"Archimandritis","given":"Athanasios","non-dropping-particle":"","parse-names":false,"suffix":""},{"dropping-particle":"","family":"Betrosian","given":"Alexander","non-dropping-particle":"","parse-names":false,"suffix":""}],"container-title":"World journal of gastroenterology","id":"ITEM-1","issue":"9","issued":{"date-parts":[["2008","3","7"]]},"page":"1389-1393","publisher":"Baishideng Publishing Group Inc","title":"Liver histology in ICU patients dying from sepsis: A clinico-pathological study","type":"article-journal","volume":"14"},"uris":["http://www.mendeley.com/documents/?uuid=164da033-2d84-4130-8b70-cae5a88ca013"]}],"mendeley":{"formattedCitation":"(84)","plainTextFormattedCitation":"(84)","previouslyFormattedCitation":"(84)"},"properties":{"noteIndex":0},"schema":"https://github.com/citation-style-language/schema/raw/master/csl-citation.json"}</w:instrText>
      </w:r>
      <w:r w:rsidR="00FD129D" w:rsidRPr="008433AD">
        <w:fldChar w:fldCharType="separate"/>
      </w:r>
      <w:r w:rsidR="0085653B" w:rsidRPr="0085653B">
        <w:rPr>
          <w:noProof/>
        </w:rPr>
        <w:t>(84)</w:t>
      </w:r>
      <w:r w:rsidR="00FD129D" w:rsidRPr="008433AD">
        <w:fldChar w:fldCharType="end"/>
      </w:r>
      <w:r w:rsidRPr="008433AD">
        <w:t xml:space="preserve">. Farelerde deneysel olarak uyarılmış, uzun süreli sepsiste hepatik fibrozisin gelişebildiği gösterilmiştir </w:t>
      </w:r>
      <w:r w:rsidR="00FD129D" w:rsidRPr="008433AD">
        <w:fldChar w:fldCharType="begin" w:fldLock="1"/>
      </w:r>
      <w:r w:rsidR="0085653B">
        <w:instrText>ADDIN CSL_CITATION {"citationItems":[{"id":"ITEM-1","itemData":{"DOI":"10.1097/SHK.0b013e31824a670b","ISSN":"1073-2322","abstract":"Chronic sequelae of sepsis represent a major, yet underappreciated clinical problem, contributing to long-term mortality and quality-of-life impairment. In chronic liver disease, inflammation perpetuates fibrogenesis, but development of fibrosis in the post-acute phase of systemic inflammation has not been studied. Therefore, a mouse model of post-acute sequelae of sepsis was established based on polymicrobial peritonitis under antibiotic protection. Survival decreased to approximately 40% within 7 days and remained constant until day 28 (post-acute phase). In survivors, clinical recovery was observed within 1 week, whereas white blood cell and platelet count, as well as markers of liver injury, remained elevated until day 28. Macroscopically, inflammation and abscess formation were detected in the peritoneal space and on/in the liver. Microscopically, acute-chronic inflammation with ductular proliferation, focal granuloma formation in the parenchyma, and substantial hepatic fibrosis were observed. Increased numbers of potentially pathogenetic macrophages and α-smooth muscle actin-positive cells, presumably activated hepatic stellate cells, were detected in the vicinity of fibrotic areas. Fibrosis was associated with the presence of elastin and an augmented production/deposition of collagen types I and III. Microarray analyses revealed early activation of canonical and noncanonical pathways of hepatic stellate cell transdifferentiation. Thus, chronic sequelae of experimental sepsis were characterized by abscess formation, persistent inflammation, and substantial liver injury and fibrosis, the latter associated with increased numbers of macrophages/α-smooth muscle actin-positive cells and deposition of collagen types I and III. This suggests persistent activation of stellate cells, with consecutive fibrosis-a hallmark of chronic liver disease-as a result of acute life-threatening infection. © 2012 by the Shock Society.","author":[{"dropping-particle":"","family":"Gonnert","given":"Falk A.","non-dropping-particle":"","parse-names":false,"suffix":""},{"dropping-particle":"","family":"Kunisch","given":"Elke","non-dropping-particle":"","parse-names":false,"suffix":""},{"dropping-particle":"","family":"Gajda","given":"Mieczyslaw","non-dropping-particle":"","parse-names":false,"suffix":""},{"dropping-particle":"","family":"Lambeck","given":"Sandro","non-dropping-particle":"","parse-names":false,"suffix":""},{"dropping-particle":"","family":"Weber","given":"Martina","non-dropping-particle":"","parse-names":false,"suffix":""},{"dropping-particle":"","family":"Claus","given":"Ralf A.","non-dropping-particle":"","parse-names":false,"suffix":""},{"dropping-particle":"","family":"Bauer","given":"Michael","non-dropping-particle":"","parse-names":false,"suffix":""},{"dropping-particle":"","family":"Kinne","given":"Raimund W.","non-dropping-particle":"","parse-names":false,"suffix":""}],"container-title":"Shock","id":"ITEM-1","issue":"4","issued":{"date-parts":[["2012","4"]]},"page":"399-407","title":"Hepatic Fibrosis in a Long-term Murine Model of Sepsis","type":"article-journal","volume":"37"},"uris":["http://www.mendeley.com/documents/?uuid=05d5a41d-5bb9-3107-a490-7b0805c97cd1"]}],"mendeley":{"formattedCitation":"(85)","plainTextFormattedCitation":"(85)","previouslyFormattedCitation":"(85)"},"properties":{"noteIndex":0},"schema":"https://github.com/citation-style-language/schema/raw/master/csl-citation.json"}</w:instrText>
      </w:r>
      <w:r w:rsidR="00FD129D" w:rsidRPr="008433AD">
        <w:fldChar w:fldCharType="separate"/>
      </w:r>
      <w:r w:rsidR="0085653B" w:rsidRPr="0085653B">
        <w:rPr>
          <w:noProof/>
        </w:rPr>
        <w:t>(85)</w:t>
      </w:r>
      <w:r w:rsidR="00FD129D" w:rsidRPr="008433AD">
        <w:fldChar w:fldCharType="end"/>
      </w:r>
      <w:r w:rsidRPr="008433AD">
        <w:t xml:space="preserve">. </w:t>
      </w:r>
      <w:r w:rsidR="00C87948" w:rsidRPr="008433AD">
        <w:t>Sepsisteki karaciğerde görülen pat</w:t>
      </w:r>
      <w:r w:rsidR="00BC4914">
        <w:t>olojik değişiklikler aşağıdaki Ş</w:t>
      </w:r>
      <w:r w:rsidR="00C87948" w:rsidRPr="008433AD">
        <w:t>ekil</w:t>
      </w:r>
      <w:r w:rsidR="00BC4914">
        <w:t xml:space="preserve"> 2.4 t</w:t>
      </w:r>
      <w:r w:rsidR="00C87948" w:rsidRPr="008433AD">
        <w:t>e gösterilmiştir.</w:t>
      </w:r>
    </w:p>
    <w:p w14:paraId="31CB26E2" w14:textId="77777777" w:rsidR="00C87948" w:rsidRDefault="00C87948">
      <w:pPr>
        <w:spacing w:after="160"/>
        <w:ind w:left="680" w:firstLine="0"/>
      </w:pPr>
    </w:p>
    <w:p w14:paraId="31CB26E3" w14:textId="77777777" w:rsidR="00C87948" w:rsidRDefault="00C87948" w:rsidP="00C87948">
      <w:r w:rsidRPr="00E24002">
        <w:rPr>
          <w:noProof/>
          <w:lang w:eastAsia="tr-TR"/>
        </w:rPr>
        <w:lastRenderedPageBreak/>
        <w:drawing>
          <wp:inline distT="0" distB="0" distL="0" distR="0" wp14:anchorId="31CB2DDF" wp14:editId="31CB2DE0">
            <wp:extent cx="3190875" cy="2103077"/>
            <wp:effectExtent l="0" t="0" r="0" b="0"/>
            <wp:docPr id="8" name="Resim 8" descr="G:\TEZ\TEZ TASLAK WORD\tez içindeki resimler\Pathological changes in the liver in patients with seps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EZ\TEZ TASLAK WORD\tez içindeki resimler\Pathological changes in the liver in patients with sepsis.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29689" cy="2128659"/>
                    </a:xfrm>
                    <a:prstGeom prst="rect">
                      <a:avLst/>
                    </a:prstGeom>
                    <a:noFill/>
                    <a:ln>
                      <a:noFill/>
                    </a:ln>
                  </pic:spPr>
                </pic:pic>
              </a:graphicData>
            </a:graphic>
          </wp:inline>
        </w:drawing>
      </w:r>
    </w:p>
    <w:p w14:paraId="31CB26E4" w14:textId="7F1DBC80" w:rsidR="00C87948" w:rsidRDefault="00C87948" w:rsidP="00C87948">
      <w:pPr>
        <w:pStyle w:val="ResimYazs"/>
        <w:rPr>
          <w:i w:val="0"/>
          <w:color w:val="auto"/>
          <w:sz w:val="24"/>
          <w:szCs w:val="24"/>
        </w:rPr>
      </w:pPr>
      <w:bookmarkStart w:id="522" w:name="_Toc49817970"/>
      <w:r w:rsidRPr="0049692A">
        <w:rPr>
          <w:i w:val="0"/>
          <w:color w:val="auto"/>
          <w:sz w:val="24"/>
          <w:szCs w:val="24"/>
        </w:rPr>
        <w:t xml:space="preserve">Şekil </w:t>
      </w:r>
      <w:r w:rsidR="00CB0587">
        <w:rPr>
          <w:i w:val="0"/>
          <w:color w:val="auto"/>
          <w:sz w:val="24"/>
          <w:szCs w:val="24"/>
        </w:rPr>
        <w:fldChar w:fldCharType="begin"/>
      </w:r>
      <w:r w:rsidR="00CB0587">
        <w:rPr>
          <w:i w:val="0"/>
          <w:color w:val="auto"/>
          <w:sz w:val="24"/>
          <w:szCs w:val="24"/>
        </w:rPr>
        <w:instrText xml:space="preserve"> STYLEREF 1 \s </w:instrText>
      </w:r>
      <w:r w:rsidR="00CB0587">
        <w:rPr>
          <w:i w:val="0"/>
          <w:color w:val="auto"/>
          <w:sz w:val="24"/>
          <w:szCs w:val="24"/>
        </w:rPr>
        <w:fldChar w:fldCharType="separate"/>
      </w:r>
      <w:r w:rsidR="00063441">
        <w:rPr>
          <w:i w:val="0"/>
          <w:noProof/>
          <w:color w:val="auto"/>
          <w:sz w:val="24"/>
          <w:szCs w:val="24"/>
        </w:rPr>
        <w:t>2</w:t>
      </w:r>
      <w:r w:rsidR="00CB0587">
        <w:rPr>
          <w:i w:val="0"/>
          <w:color w:val="auto"/>
          <w:sz w:val="24"/>
          <w:szCs w:val="24"/>
        </w:rPr>
        <w:fldChar w:fldCharType="end"/>
      </w:r>
      <w:r w:rsidR="00CB0587">
        <w:rPr>
          <w:i w:val="0"/>
          <w:color w:val="auto"/>
          <w:sz w:val="24"/>
          <w:szCs w:val="24"/>
        </w:rPr>
        <w:t>.</w:t>
      </w:r>
      <w:r w:rsidR="00CB0587">
        <w:rPr>
          <w:i w:val="0"/>
          <w:color w:val="auto"/>
          <w:sz w:val="24"/>
          <w:szCs w:val="24"/>
        </w:rPr>
        <w:fldChar w:fldCharType="begin"/>
      </w:r>
      <w:r w:rsidR="00CB0587">
        <w:rPr>
          <w:i w:val="0"/>
          <w:color w:val="auto"/>
          <w:sz w:val="24"/>
          <w:szCs w:val="24"/>
        </w:rPr>
        <w:instrText xml:space="preserve"> SEQ Şekil \* ARABIC \s 1 </w:instrText>
      </w:r>
      <w:r w:rsidR="00CB0587">
        <w:rPr>
          <w:i w:val="0"/>
          <w:color w:val="auto"/>
          <w:sz w:val="24"/>
          <w:szCs w:val="24"/>
        </w:rPr>
        <w:fldChar w:fldCharType="separate"/>
      </w:r>
      <w:r w:rsidR="00063441">
        <w:rPr>
          <w:i w:val="0"/>
          <w:noProof/>
          <w:color w:val="auto"/>
          <w:sz w:val="24"/>
          <w:szCs w:val="24"/>
        </w:rPr>
        <w:t>4</w:t>
      </w:r>
      <w:r w:rsidR="00CB0587">
        <w:rPr>
          <w:i w:val="0"/>
          <w:color w:val="auto"/>
          <w:sz w:val="24"/>
          <w:szCs w:val="24"/>
        </w:rPr>
        <w:fldChar w:fldCharType="end"/>
      </w:r>
      <w:r w:rsidRPr="0049692A">
        <w:rPr>
          <w:i w:val="0"/>
          <w:color w:val="auto"/>
          <w:sz w:val="24"/>
          <w:szCs w:val="24"/>
        </w:rPr>
        <w:t xml:space="preserve"> Sepsisteki </w:t>
      </w:r>
      <w:r w:rsidR="00166574" w:rsidRPr="0049692A">
        <w:rPr>
          <w:i w:val="0"/>
          <w:color w:val="auto"/>
          <w:sz w:val="24"/>
          <w:szCs w:val="24"/>
        </w:rPr>
        <w:t>Karaciğerde Patolojik Değişiklikler</w:t>
      </w:r>
      <w:r w:rsidR="00166574">
        <w:rPr>
          <w:i w:val="0"/>
          <w:color w:val="auto"/>
          <w:sz w:val="24"/>
          <w:szCs w:val="24"/>
        </w:rPr>
        <w:t xml:space="preserve"> </w:t>
      </w:r>
      <w:r w:rsidR="00EC747F">
        <w:rPr>
          <w:i w:val="0"/>
          <w:color w:val="auto"/>
          <w:sz w:val="24"/>
          <w:szCs w:val="24"/>
        </w:rPr>
        <w:fldChar w:fldCharType="begin" w:fldLock="1"/>
      </w:r>
      <w:r w:rsidR="0085653B">
        <w:rPr>
          <w:i w:val="0"/>
          <w:color w:val="auto"/>
          <w:sz w:val="24"/>
          <w:szCs w:val="24"/>
        </w:rPr>
        <w:instrText>ADDIN CSL_CITATION {"citationItems":[{"id":"ITEM-1","itemData":{"DOI":"10.3109/08830185.2014.889129","ISSN":"0883-0185","abstract":"Despite the progress made in the clinical management of sepsis, sepsis morbidity and mortality rates remain high. The inflammatory pathogenesis and organ injury leading to death from sepsis are not fully understood for vital organs, especially the liver. Only recently has the role of the liver in sepsis begun to be revealed. Pre-existing liver dysfunction is a risk factor for the progression of infection to sepsis. Liver dysfunction after sepsis is an independent risk factor for multiple organ dysfunction and sepsis-induced death. The liver works as a lymphoid organ in response to sepsis. Acting as a double-edged sword in sepsis, the liver-mediated immune response is responsible for clearing bacteria and toxins but also causes inflammation, immunosuppression, and organ damage. Attenuating liver injury and restoring liver function lowers morbidity and mortality rates in patients with sepsis. This review summarizes the central role of liver in the host immune response to sepsis and in clinical outcomes.","author":[{"dropping-particle":"","family":"Yan","given":"Jun","non-dropping-particle":"","parse-names":false,"suffix":""},{"dropping-particle":"","family":"Li","given":"Song Shulin","non-dropping-particle":"","parse-names":false,"suffix":""},{"dropping-particle":"","family":"Li","given":"Song Shulin","non-dropping-particle":"","parse-names":false,"suffix":""}],"container-title":"International Reviews of Immunology","id":"ITEM-1","issue":"6","issued":{"date-parts":[["2014","11","2"]]},"page":"498-510","publisher":"Informa Healthcare","title":"The Role of the Liver in Sepsis","type":"article-journal","volume":"33"},"uris":["http://www.mendeley.com/documents/?uuid=f23f5444-cc6d-4a9c-bb10-58eb305c6725"]}],"mendeley":{"formattedCitation":"(75)","plainTextFormattedCitation":"(75)","previouslyFormattedCitation":"(75)"},"properties":{"noteIndex":0},"schema":"https://github.com/citation-style-language/schema/raw/master/csl-citation.json"}</w:instrText>
      </w:r>
      <w:r w:rsidR="00EC747F">
        <w:rPr>
          <w:i w:val="0"/>
          <w:color w:val="auto"/>
          <w:sz w:val="24"/>
          <w:szCs w:val="24"/>
        </w:rPr>
        <w:fldChar w:fldCharType="separate"/>
      </w:r>
      <w:r w:rsidR="0085653B" w:rsidRPr="0085653B">
        <w:rPr>
          <w:i w:val="0"/>
          <w:noProof/>
          <w:color w:val="auto"/>
          <w:sz w:val="24"/>
          <w:szCs w:val="24"/>
        </w:rPr>
        <w:t>(75)</w:t>
      </w:r>
      <w:bookmarkEnd w:id="522"/>
      <w:r w:rsidR="00EC747F">
        <w:rPr>
          <w:i w:val="0"/>
          <w:color w:val="auto"/>
          <w:sz w:val="24"/>
          <w:szCs w:val="24"/>
        </w:rPr>
        <w:fldChar w:fldCharType="end"/>
      </w:r>
    </w:p>
    <w:p w14:paraId="31CB26E5" w14:textId="77777777" w:rsidR="00C87948" w:rsidRPr="00676612" w:rsidRDefault="00C87948" w:rsidP="00676612"/>
    <w:p w14:paraId="31CB26E6" w14:textId="5ED34145" w:rsidR="00F23CF6" w:rsidRPr="008433AD" w:rsidRDefault="00F23CF6" w:rsidP="008433AD">
      <w:r w:rsidRPr="008433AD">
        <w:t xml:space="preserve">İntravenöz basil enjeksiyonu </w:t>
      </w:r>
      <w:r w:rsidR="00C87948" w:rsidRPr="008433AD">
        <w:t>sonrasında</w:t>
      </w:r>
      <w:r w:rsidRPr="008433AD">
        <w:t xml:space="preserve"> ilk 10 dakikada toplam basilinin %60'ından fazlasının karaciğer tarafından kan dolaşımından temizlenebildiği ve enjeksiyondan 6 saat sonra basillerin %80'inden fazlasının karaciğerde tutulduğu gösterilmiştir </w:t>
      </w:r>
      <w:r w:rsidR="00ED0E59" w:rsidRPr="008433AD">
        <w:fldChar w:fldCharType="begin" w:fldLock="1"/>
      </w:r>
      <w:r w:rsidR="0085653B">
        <w:instrText>ADDIN CSL_CITATION {"citationItems":[{"id":"ITEM-1","itemData":{"DOI":"10.1097/SHK.0b013e31824a670b","ISSN":"1073-2322","abstract":"Chronic sequelae of sepsis represent a major, yet underappreciated clinical problem, contributing to long-term mortality and quality-of-life impairment. In chronic liver disease, inflammation perpetuates fibrogenesis, but development of fibrosis in the post-acute phase of systemic inflammation has not been studied. Therefore, a mouse model of post-acute sequelae of sepsis was established based on polymicrobial peritonitis under antibiotic protection. Survival decreased to approximately 40% within 7 days and remained constant until day 28 (post-acute phase). In survivors, clinical recovery was observed within 1 week, whereas white blood cell and platelet count, as well as markers of liver injury, remained elevated until day 28. Macroscopically, inflammation and abscess formation were detected in the peritoneal space and on/in the liver. Microscopically, acute-chronic inflammation with ductular proliferation, focal granuloma formation in the parenchyma, and substantial hepatic fibrosis were observed. Increased numbers of potentially pathogenetic macrophages and α-smooth muscle actin-positive cells, presumably activated hepatic stellate cells, were detected in the vicinity of fibrotic areas. Fibrosis was associated with the presence of elastin and an augmented production/deposition of collagen types I and III. Microarray analyses revealed early activation of canonical and noncanonical pathways of hepatic stellate cell transdifferentiation. Thus, chronic sequelae of experimental sepsis were characterized by abscess formation, persistent inflammation, and substantial liver injury and fibrosis, the latter associated with increased numbers of macrophages/α-smooth muscle actin-positive cells and deposition of collagen types I and III. This suggests persistent activation of stellate cells, with consecutive fibrosis-a hallmark of chronic liver disease-as a result of acute life-threatening infection. © 2012 by the Shock Society.","author":[{"dropping-particle":"","family":"Gonnert","given":"Falk A.","non-dropping-particle":"","parse-names":false,"suffix":""},{"dropping-particle":"","family":"Kunisch","given":"Elke","non-dropping-particle":"","parse-names":false,"suffix":""},{"dropping-particle":"","family":"Gajda","given":"Mieczyslaw","non-dropping-particle":"","parse-names":false,"suffix":""},{"dropping-particle":"","family":"Lambeck","given":"Sandro","non-dropping-particle":"","parse-names":false,"suffix":""},{"dropping-particle":"","family":"Weber","given":"Martina","non-dropping-particle":"","parse-names":false,"suffix":""},{"dropping-particle":"","family":"Claus","given":"Ralf A.","non-dropping-particle":"","parse-names":false,"suffix":""},{"dropping-particle":"","family":"Bauer","given":"Michael","non-dropping-particle":"","parse-names":false,"suffix":""},{"dropping-particle":"","family":"Kinne","given":"Raimund W.","non-dropping-particle":"","parse-names":false,"suffix":""}],"container-title":"Shock","id":"ITEM-1","issue":"4","issued":{"date-parts":[["2012","4"]]},"page":"399-407","title":"Hepatic Fibrosis in a Long-term Murine Model of Sepsis","type":"article-journal","volume":"37"},"uris":["http://www.mendeley.com/documents/?uuid=05d5a41d-5bb9-3107-a490-7b0805c97cd1"]}],"mendeley":{"formattedCitation":"(85)","plainTextFormattedCitation":"(85)","previouslyFormattedCitation":"(85)"},"properties":{"noteIndex":0},"schema":"https://github.com/citation-style-language/schema/raw/master/csl-citation.json"}</w:instrText>
      </w:r>
      <w:r w:rsidR="00ED0E59" w:rsidRPr="008433AD">
        <w:fldChar w:fldCharType="separate"/>
      </w:r>
      <w:r w:rsidR="0085653B" w:rsidRPr="0085653B">
        <w:rPr>
          <w:noProof/>
        </w:rPr>
        <w:t>(85)</w:t>
      </w:r>
      <w:r w:rsidR="00ED0E59" w:rsidRPr="008433AD">
        <w:fldChar w:fldCharType="end"/>
      </w:r>
      <w:r w:rsidRPr="008433AD">
        <w:t xml:space="preserve">. Bakteriyel enfeksiyonda </w:t>
      </w:r>
      <w:r w:rsidR="00CE4583" w:rsidRPr="008433AD">
        <w:t>enflamasy</w:t>
      </w:r>
      <w:r w:rsidRPr="008433AD">
        <w:t xml:space="preserve">onun anahtar indükleyicisi olan </w:t>
      </w:r>
      <w:r w:rsidR="00F52B2F" w:rsidRPr="008433AD">
        <w:t>lipopolisakkarid</w:t>
      </w:r>
      <w:r w:rsidRPr="008433AD">
        <w:t xml:space="preserve"> (LPS), esas olarak karaciğer tarafından temizlenir </w:t>
      </w:r>
      <w:r w:rsidR="00ED0E59" w:rsidRPr="008433AD">
        <w:fldChar w:fldCharType="begin" w:fldLock="1"/>
      </w:r>
      <w:r w:rsidR="0085653B">
        <w:instrText>ADDIN CSL_CITATION {"citationItems":[{"id":"ITEM-1","itemData":{"DOI":"10.4049/jimmunol.1300496","ISSN":"0022-1767","abstract":"The morbidity associated with bacterial sepsis is the result of host immune responses to pathogens, which are dependent on pathogen recognition by pattern recognition receptors, such as TLR4. TLR4 is expressed on a range of cell types, yet the mechanisms by which cell-specific functions of TLR4 lead to an integrated sepsis response are poorly understood. To address this, we generated mice in which TLR4 was specifically deleted from myeloid cells (LysMTLR4KO) or hepatocytes (HCTLR4KO) and then determined survival, bacterial counts, host inflammatory responses, and organ injury in a model of cecal ligation and puncture (CLP), with or without antibiotics. LysM-TLR4 was required for phagocytosis and efficient bacterial clearance in the absence of antibiotics. Survival, the magnitude of the systemic and local inflammatory responses, and liver damage were associated with bacterial levels. HCTLR4 was required for efficient LPS clearance from the circulation, and deletion of HCTLR4 was associated with enhanced macrophage phagocytosis, lower bacterial levels, and improved survival in CLP without antibiotics. Antibiotic administration during CLP revealed an important role for hepatocyte LPS clearance in limiting sepsis-induced inflammation and organ injury. Our work defines cell type-selective roles for TLR4 in coordinating complex immune responses to bacterial sepsis and suggests that future strategies for modulating microbial molecule recognition should account for varying roles of pattern recognition receptors in multiple cell populations.","author":[{"dropping-particle":"","family":"Deng","given":"Meihong","non-dropping-particle":"","parse-names":false,"suffix":""},{"dropping-particle":"","family":"Scott","given":"Melanie J.","non-dropping-particle":"","parse-names":false,"suffix":""},{"dropping-particle":"","family":"Loughran","given":"Patricia","non-dropping-particle":"","parse-names":false,"suffix":""},{"dropping-particle":"","family":"Gibson","given":"Gregory","non-dropping-particle":"","parse-names":false,"suffix":""},{"dropping-particle":"","family":"Sodhi","given":"Chhinder","non-dropping-particle":"","parse-names":false,"suffix":""},{"dropping-particle":"","family":"Watkins","given":"Simon","non-dropping-particle":"","parse-names":false,"suffix":""},{"dropping-particle":"","family":"Hackam","given":"David","non-dropping-particle":"","parse-names":false,"suffix":""},{"dropping-particle":"","family":"Billiar","given":"Timothy R.","non-dropping-particle":"","parse-names":false,"suffix":""}],"container-title":"The Journal of Immunology","id":"ITEM-1","issue":"10","issued":{"date-parts":[["2013","5","15"]]},"page":"5152-5160","publisher":"The American Association of Immunologists","title":"Lipopolysaccharide Clearance, Bacterial Clearance, and Systemic Inflammatory Responses Are Regulated by Cell Type–Specific Functions of TLR4 during Sepsis","type":"article-journal","volume":"190"},"uris":["http://www.mendeley.com/documents/?uuid=81cb3715-6209-3a7b-82de-470ccbb35f78"]}],"mendeley":{"formattedCitation":"(86)","plainTextFormattedCitation":"(86)","previouslyFormattedCitation":"(86)"},"properties":{"noteIndex":0},"schema":"https://github.com/citation-style-language/schema/raw/master/csl-citation.json"}</w:instrText>
      </w:r>
      <w:r w:rsidR="00ED0E59" w:rsidRPr="008433AD">
        <w:fldChar w:fldCharType="separate"/>
      </w:r>
      <w:r w:rsidR="0085653B" w:rsidRPr="0085653B">
        <w:rPr>
          <w:noProof/>
        </w:rPr>
        <w:t>(86)</w:t>
      </w:r>
      <w:r w:rsidR="00ED0E59" w:rsidRPr="008433AD">
        <w:fldChar w:fldCharType="end"/>
      </w:r>
      <w:r w:rsidRPr="008433AD">
        <w:t>. Karaciğer işlevlerinde bozukluk gelişmesi vücudun enfeksiyona karşı defansını daha da azaltarak sepsisin ilerlemesine yol açabilir.</w:t>
      </w:r>
    </w:p>
    <w:p w14:paraId="31CB26E7" w14:textId="221FEDD3" w:rsidR="007A79E1" w:rsidRDefault="00F20754" w:rsidP="008433AD">
      <w:pPr>
        <w:rPr>
          <w:rStyle w:val="fontstyle21"/>
          <w:rFonts w:ascii="Times New Roman" w:hAnsi="Times New Roman"/>
          <w:color w:val="auto"/>
        </w:rPr>
      </w:pPr>
      <w:r w:rsidRPr="008433AD">
        <w:rPr>
          <w:rStyle w:val="fontstyle21"/>
          <w:rFonts w:ascii="Times New Roman" w:hAnsi="Times New Roman"/>
          <w:color w:val="auto"/>
        </w:rPr>
        <w:t xml:space="preserve">Özetle; sepsiste oluşan KC disfonksiyonu çoklu organ yetmezliğine neden olabilir veya onu daha da kötüleştirebilir </w:t>
      </w:r>
      <w:r w:rsidRPr="008433AD">
        <w:rPr>
          <w:rStyle w:val="fontstyle21"/>
          <w:rFonts w:ascii="Times New Roman" w:hAnsi="Times New Roman"/>
          <w:color w:val="auto"/>
        </w:rPr>
        <w:fldChar w:fldCharType="begin" w:fldLock="1"/>
      </w:r>
      <w:r w:rsidR="0085653B">
        <w:rPr>
          <w:rStyle w:val="fontstyle21"/>
          <w:rFonts w:ascii="Times New Roman" w:hAnsi="Times New Roman"/>
          <w:color w:val="auto"/>
        </w:rPr>
        <w:instrText>ADDIN CSL_CITATION {"citationItems":[{"id":"ITEM-1","itemData":{"DOI":"10.1001/archsurg.1983.01390020084014","ISSN":"15383644","abstract":"One hundred and six patients found at operation to have intra-abdominal sepsis were prospectively followed up to determine the incidence of organ malfunction and death. These outcomes were correlated with age, preexisting disease, underlying cause of sepsis, shock, nutritional status, and alcoholism. Organ malfunction occurred in 31 patients (29%), 19 (61%) of whom died. Two (3%) of 75 patients without organ malfunction died. Discriminant analysis revealed a significantly increased risk of death in patients with shock at any time, age greater than 65 years, alcoholism, bowel infarction, or malnutrition. A discriminant equation based only on preoperative variables correctly assigned the outcome of death or survival in 97 (92%) of the patients based on probabilities derived from this analysis. At present, this information is primarily of interest for researchers comparing outcomes in groups of patients, but with additional refinements it may become clinically useful for individual patients. © 1983, American Medical Association. All rights reserved.","author":[{"dropping-particle":"","family":"Pine","given":"Richard W.","non-dropping-particle":"","parse-names":false,"suffix":""},{"dropping-particle":"","family":"Wertz","given":"Margaret J.","non-dropping-particle":"","parse-names":false,"suffix":""},{"dropping-particle":"","family":"Lennard","given":"E. Stan","non-dropping-particle":"","parse-names":false,"suffix":""},{"dropping-particle":"","family":"Dellinger","given":"E. Patchen","non-dropping-particle":"","parse-names":false,"suffix":""},{"dropping-particle":"","family":"Carrico","given":"C. James","non-dropping-particle":"","parse-names":false,"suffix":""},{"dropping-particle":"","family":"Minshew","given":"Barbara H.","non-dropping-particle":"","parse-names":false,"suffix":""}],"container-title":"Archives of Surgery","id":"ITEM-1","issue":"2","issued":{"date-parts":[["1983","2","1"]]},"page":"242-249","publisher":"American Medical Association","title":"Determinants of Organ Malfunction or Death in Patients With Intra-abdominal Sepsis: A Discriminant Analysis","type":"article-journal","volume":"118"},"uris":["http://www.mendeley.com/documents/?uuid=a6865753-66ec-34b4-8c86-a267f66c5d1f"]}],"mendeley":{"formattedCitation":"(87)","plainTextFormattedCitation":"(87)","previouslyFormattedCitation":"(87)"},"properties":{"noteIndex":0},"schema":"https://github.com/citation-style-language/schema/raw/master/csl-citation.json"}</w:instrText>
      </w:r>
      <w:r w:rsidRPr="008433AD">
        <w:rPr>
          <w:rStyle w:val="fontstyle21"/>
          <w:rFonts w:ascii="Times New Roman" w:hAnsi="Times New Roman"/>
          <w:color w:val="auto"/>
        </w:rPr>
        <w:fldChar w:fldCharType="separate"/>
      </w:r>
      <w:r w:rsidR="0085653B" w:rsidRPr="0085653B">
        <w:rPr>
          <w:rStyle w:val="fontstyle21"/>
          <w:rFonts w:ascii="Times New Roman" w:hAnsi="Times New Roman"/>
          <w:noProof/>
          <w:color w:val="auto"/>
        </w:rPr>
        <w:t>(87)</w:t>
      </w:r>
      <w:r w:rsidRPr="008433AD">
        <w:rPr>
          <w:rStyle w:val="fontstyle21"/>
          <w:rFonts w:ascii="Times New Roman" w:hAnsi="Times New Roman"/>
          <w:color w:val="auto"/>
        </w:rPr>
        <w:fldChar w:fldCharType="end"/>
      </w:r>
      <w:r w:rsidRPr="008433AD">
        <w:rPr>
          <w:rStyle w:val="fontstyle21"/>
          <w:rFonts w:ascii="Times New Roman" w:hAnsi="Times New Roman"/>
          <w:color w:val="auto"/>
        </w:rPr>
        <w:t>. Sepsise bağlı KC yetmezliğinin nedeninin;</w:t>
      </w:r>
      <w:r w:rsidRPr="008433AD">
        <w:br/>
      </w:r>
      <w:r w:rsidRPr="008433AD">
        <w:rPr>
          <w:rStyle w:val="fontstyle21"/>
          <w:rFonts w:ascii="Times New Roman" w:hAnsi="Times New Roman"/>
          <w:color w:val="auto"/>
        </w:rPr>
        <w:t>organ perfüzyonunda bozulma, endotoksinin direkt hasarı, oluşan parankimal</w:t>
      </w:r>
      <w:r w:rsidRPr="008433AD">
        <w:br/>
      </w:r>
      <w:r w:rsidR="00CE4583" w:rsidRPr="008433AD">
        <w:rPr>
          <w:rStyle w:val="fontstyle21"/>
          <w:rFonts w:ascii="Times New Roman" w:hAnsi="Times New Roman"/>
          <w:color w:val="auto"/>
        </w:rPr>
        <w:t>enflamasy</w:t>
      </w:r>
      <w:r w:rsidRPr="008433AD">
        <w:rPr>
          <w:rStyle w:val="fontstyle21"/>
          <w:rFonts w:ascii="Times New Roman" w:hAnsi="Times New Roman"/>
          <w:color w:val="auto"/>
        </w:rPr>
        <w:t>on ve salınan sitokinlere bağlı olduğu bilinmektedir.</w:t>
      </w:r>
    </w:p>
    <w:p w14:paraId="31CB26E8" w14:textId="77777777" w:rsidR="004C77CD" w:rsidRDefault="004C77CD">
      <w:pPr>
        <w:spacing w:after="160"/>
        <w:ind w:left="680" w:firstLine="0"/>
        <w:rPr>
          <w:rStyle w:val="fontstyle21"/>
          <w:rFonts w:ascii="Times New Roman" w:hAnsi="Times New Roman"/>
          <w:color w:val="auto"/>
        </w:rPr>
      </w:pPr>
    </w:p>
    <w:p w14:paraId="31CB26E9" w14:textId="69A11424" w:rsidR="007438CD" w:rsidRDefault="007438CD" w:rsidP="007438CD">
      <w:pPr>
        <w:pStyle w:val="Balk2"/>
        <w:numPr>
          <w:ilvl w:val="0"/>
          <w:numId w:val="12"/>
        </w:numPr>
        <w:ind w:left="1701" w:firstLine="0"/>
      </w:pPr>
      <w:r>
        <w:t xml:space="preserve"> </w:t>
      </w:r>
      <w:bookmarkStart w:id="523" w:name="_Toc45265939"/>
      <w:bookmarkStart w:id="524" w:name="_Toc55727835"/>
      <w:r>
        <w:t xml:space="preserve">Karaciğer </w:t>
      </w:r>
      <w:r w:rsidR="00166D5E">
        <w:t>Naklinde B</w:t>
      </w:r>
      <w:r>
        <w:t>iyopsi</w:t>
      </w:r>
      <w:bookmarkEnd w:id="523"/>
      <w:bookmarkEnd w:id="524"/>
    </w:p>
    <w:p w14:paraId="31CB26EA" w14:textId="6DE4D724" w:rsidR="00BF15B1" w:rsidRPr="00BF15B1" w:rsidRDefault="00BF15B1" w:rsidP="00E47064">
      <w:r w:rsidRPr="00BF15B1">
        <w:t xml:space="preserve">Ortotopik </w:t>
      </w:r>
      <w:r>
        <w:t>KC</w:t>
      </w:r>
      <w:r w:rsidRPr="00BF15B1">
        <w:t xml:space="preserve"> transplantasyonu sonrası karaciğer histo</w:t>
      </w:r>
      <w:r>
        <w:t>pato</w:t>
      </w:r>
      <w:r w:rsidRPr="00BF15B1">
        <w:t xml:space="preserve">lojisinin değerlendirilmesi, bu hasta popülasyonunda yönetimin önemli bir </w:t>
      </w:r>
      <w:r>
        <w:t>yer tutmaktadır</w:t>
      </w:r>
      <w:r w:rsidRPr="00BF15B1">
        <w:t>.</w:t>
      </w:r>
    </w:p>
    <w:p w14:paraId="31CB26EB" w14:textId="77777777" w:rsidR="00BF15B1" w:rsidRPr="00BF15B1" w:rsidRDefault="00BF15B1" w:rsidP="00E47064">
      <w:r w:rsidRPr="00BF15B1">
        <w:t xml:space="preserve">Allogreft reddi, </w:t>
      </w:r>
      <w:r>
        <w:t>iskemi-</w:t>
      </w:r>
      <w:r w:rsidRPr="00BF15B1">
        <w:t xml:space="preserve">reperfüzyon hasarı, ilaca bağlı karaciğer hasarı, viral enfeksiyon veya safra kanalı hasarını araştırmak için nakilden sonra karaciğer testi anormalliklerinde spesifik bir tanı koymak genellikle önemlidir. </w:t>
      </w:r>
      <w:r>
        <w:t xml:space="preserve"> </w:t>
      </w:r>
      <w:r w:rsidRPr="00BF15B1">
        <w:t xml:space="preserve">Karaciğer biyopsisi, orijinal hastalığın tekrarlama olasılığını araştırmak da </w:t>
      </w:r>
      <w:r w:rsidR="005A0FF4" w:rsidRPr="00BF15B1">
        <w:t>dâhil</w:t>
      </w:r>
      <w:r w:rsidRPr="00BF15B1">
        <w:t xml:space="preserve"> olmak üzere geç allogreft disfonksiyonunun </w:t>
      </w:r>
      <w:r>
        <w:t>değerlendirilmesinde</w:t>
      </w:r>
      <w:r w:rsidRPr="00BF15B1">
        <w:t xml:space="preserve"> yararlıdır.</w:t>
      </w:r>
      <w:r>
        <w:t xml:space="preserve"> </w:t>
      </w:r>
    </w:p>
    <w:p w14:paraId="33A87A70" w14:textId="56975B71" w:rsidR="005336E5" w:rsidRDefault="00BF15B1" w:rsidP="003A4709">
      <w:r w:rsidRPr="00BF15B1">
        <w:t xml:space="preserve">Bazı karaciğer nakil programları, normal karaciğer testi olan hastalarda bile, bu yaklaşımı destekleyecek kanıtlar bulunmamakla birlikte, nakilden sonra protokol bazında </w:t>
      </w:r>
      <w:r>
        <w:t xml:space="preserve">(örn. yılda bir) </w:t>
      </w:r>
      <w:r w:rsidRPr="00BF15B1">
        <w:t>karaciğer biyopsisi yapmaktadır</w:t>
      </w:r>
      <w:r w:rsidR="00E47064">
        <w:t xml:space="preserve"> </w:t>
      </w:r>
      <w:r w:rsidR="00E47064">
        <w:fldChar w:fldCharType="begin" w:fldLock="1"/>
      </w:r>
      <w:r w:rsidR="0085653B">
        <w:instrText>ADDIN CSL_CITATION {"citationItems":[{"id":"ITEM-1","itemData":{"DOI":"10.1002/hep.22742","ISSN":"02709139","PMID":"19243014","author":[{"dropping-particle":"","family":"Rockey","given":"Don C.","non-dropping-particle":"","parse-names":false,"suffix":""},{"dropping-particle":"","family":"Caldwell","given":"Stephen H.","non-dropping-particle":"","parse-names":false,"suffix":""},{"dropping-particle":"","family":"Goodman","given":"Zachary D.","non-dropping-particle":"","parse-names":false,"suffix":""},{"dropping-particle":"","family":"Nelson","given":"Rendon C.","non-dropping-particle":"","parse-names":false,"suffix":""},{"dropping-particle":"","family":"Smith","given":"Alastair D.","non-dropping-particle":"","parse-names":false,"suffix":""}],"container-title":"Hepatology","id":"ITEM-1","issue":"3","issued":{"date-parts":[["2009","3","1"]]},"page":"1017-1044","publisher":"John Wiley &amp; Sons, Ltd","title":"Liver biopsy","type":"article-journal","volume":"49"},"uris":["http://www.mendeley.com/documents/?uuid=c1900744-fba3-39de-bc85-93287eabeb9d"]}],"mendeley":{"formattedCitation":"(88)","plainTextFormattedCitation":"(88)","previouslyFormattedCitation":"(88)"},"properties":{"noteIndex":0},"schema":"https://github.com/citation-style-language/schema/raw/master/csl-citation.json"}</w:instrText>
      </w:r>
      <w:r w:rsidR="00E47064">
        <w:fldChar w:fldCharType="separate"/>
      </w:r>
      <w:r w:rsidR="0085653B" w:rsidRPr="0085653B">
        <w:rPr>
          <w:noProof/>
        </w:rPr>
        <w:t>(88)</w:t>
      </w:r>
      <w:r w:rsidR="00E47064">
        <w:fldChar w:fldCharType="end"/>
      </w:r>
      <w:r w:rsidRPr="00BF15B1">
        <w:t>.</w:t>
      </w:r>
      <w:r w:rsidR="005336E5">
        <w:br w:type="page"/>
      </w:r>
    </w:p>
    <w:p w14:paraId="31CB26ED" w14:textId="77777777" w:rsidR="00AF00FB" w:rsidRDefault="00460E48" w:rsidP="004F194B">
      <w:pPr>
        <w:pStyle w:val="Balk1"/>
        <w:numPr>
          <w:ilvl w:val="0"/>
          <w:numId w:val="13"/>
        </w:numPr>
        <w:jc w:val="left"/>
      </w:pPr>
      <w:bookmarkStart w:id="525" w:name="_Toc45265940"/>
      <w:bookmarkStart w:id="526" w:name="_Toc55727836"/>
      <w:bookmarkStart w:id="527" w:name="_Hlk43886757"/>
      <w:r>
        <w:lastRenderedPageBreak/>
        <w:t>GEREÇ VE YÖNTEM</w:t>
      </w:r>
      <w:bookmarkEnd w:id="516"/>
      <w:bookmarkEnd w:id="525"/>
      <w:bookmarkEnd w:id="526"/>
    </w:p>
    <w:p w14:paraId="31CB26EE" w14:textId="77777777" w:rsidR="00460E48" w:rsidRDefault="00460E48" w:rsidP="00460E48"/>
    <w:p w14:paraId="3BC8BE98" w14:textId="77777777" w:rsidR="008E6A64" w:rsidRDefault="008E6A64" w:rsidP="008E6A64">
      <w:pPr>
        <w:rPr>
          <w:color w:val="000000"/>
          <w:szCs w:val="24"/>
        </w:rPr>
      </w:pPr>
      <w:r w:rsidRPr="00B671C9">
        <w:rPr>
          <w:color w:val="000000"/>
          <w:szCs w:val="24"/>
        </w:rPr>
        <w:t xml:space="preserve">Çalışma, İnönü Üniversitesi Tıp Fakültesi </w:t>
      </w:r>
      <w:r>
        <w:rPr>
          <w:color w:val="000000"/>
          <w:szCs w:val="24"/>
        </w:rPr>
        <w:t>2019/38 protokol kodlu E</w:t>
      </w:r>
      <w:r w:rsidRPr="00B671C9">
        <w:rPr>
          <w:color w:val="000000"/>
          <w:szCs w:val="24"/>
        </w:rPr>
        <w:t xml:space="preserve">tik </w:t>
      </w:r>
      <w:r>
        <w:rPr>
          <w:color w:val="000000"/>
          <w:szCs w:val="24"/>
        </w:rPr>
        <w:t>K</w:t>
      </w:r>
      <w:r w:rsidRPr="00B671C9">
        <w:rPr>
          <w:color w:val="000000"/>
          <w:szCs w:val="24"/>
        </w:rPr>
        <w:t xml:space="preserve">urulu </w:t>
      </w:r>
      <w:r>
        <w:rPr>
          <w:color w:val="000000"/>
          <w:szCs w:val="24"/>
        </w:rPr>
        <w:t>O</w:t>
      </w:r>
      <w:r w:rsidRPr="00B671C9">
        <w:rPr>
          <w:color w:val="000000"/>
          <w:szCs w:val="24"/>
        </w:rPr>
        <w:t>nayı</w:t>
      </w:r>
      <w:r>
        <w:rPr>
          <w:color w:val="000000"/>
          <w:szCs w:val="24"/>
        </w:rPr>
        <w:t xml:space="preserve"> ve </w:t>
      </w:r>
      <w:r w:rsidRPr="008D1743">
        <w:rPr>
          <w:color w:val="000000"/>
          <w:szCs w:val="24"/>
        </w:rPr>
        <w:t>İnönü Üniversitesi Bilimsel Araştırma Projeleri Birim</w:t>
      </w:r>
      <w:r>
        <w:rPr>
          <w:color w:val="000000"/>
          <w:szCs w:val="24"/>
        </w:rPr>
        <w:t>i TTU-2019-1810 kodlu</w:t>
      </w:r>
      <w:r>
        <w:rPr>
          <w:color w:val="000000"/>
          <w:szCs w:val="24"/>
          <w:shd w:val="clear" w:color="auto" w:fill="F8F8F8"/>
        </w:rPr>
        <w:t xml:space="preserve"> </w:t>
      </w:r>
      <w:r w:rsidRPr="008D1743">
        <w:rPr>
          <w:color w:val="000000"/>
          <w:szCs w:val="24"/>
        </w:rPr>
        <w:t>proje</w:t>
      </w:r>
      <w:r>
        <w:rPr>
          <w:color w:val="000000"/>
          <w:szCs w:val="24"/>
        </w:rPr>
        <w:t xml:space="preserve"> desteği</w:t>
      </w:r>
      <w:r w:rsidRPr="00B671C9">
        <w:rPr>
          <w:color w:val="000000"/>
          <w:szCs w:val="24"/>
        </w:rPr>
        <w:t xml:space="preserve"> doğrultusunda gerçekleştirildi.</w:t>
      </w:r>
    </w:p>
    <w:p w14:paraId="74F614F6" w14:textId="62BDF5B2" w:rsidR="007A20F1" w:rsidRDefault="008E6A64" w:rsidP="007A20F1">
      <w:pPr>
        <w:rPr>
          <w:color w:val="000000"/>
          <w:szCs w:val="24"/>
        </w:rPr>
      </w:pPr>
      <w:r>
        <w:t xml:space="preserve">İnönü Üniversitesi </w:t>
      </w:r>
      <w:r w:rsidR="007A20F1" w:rsidRPr="00590C14">
        <w:t>Karaciğer Nakil Enstitüsü</w:t>
      </w:r>
      <w:r>
        <w:t>nde</w:t>
      </w:r>
      <w:r w:rsidR="007A20F1" w:rsidRPr="00590C14">
        <w:t>, Mart 2019 ve Nisan 2020 tarihleri arasında karaciğer nakli yapılan</w:t>
      </w:r>
      <w:r w:rsidR="007A20F1">
        <w:rPr>
          <w:color w:val="000000"/>
        </w:rPr>
        <w:t xml:space="preserve"> </w:t>
      </w:r>
      <w:r w:rsidR="00D85026">
        <w:rPr>
          <w:color w:val="000000"/>
        </w:rPr>
        <w:t xml:space="preserve">ardışık </w:t>
      </w:r>
      <w:r w:rsidR="00590C14">
        <w:rPr>
          <w:color w:val="000000"/>
        </w:rPr>
        <w:t>313 hasta arasında transplantasyon</w:t>
      </w:r>
      <w:r w:rsidR="007A20F1">
        <w:rPr>
          <w:color w:val="000000"/>
        </w:rPr>
        <w:t xml:space="preserve"> sonrasında </w:t>
      </w:r>
      <w:r w:rsidR="007A20F1" w:rsidRPr="00B671C9">
        <w:t xml:space="preserve">abdominal </w:t>
      </w:r>
      <w:r w:rsidR="007A20F1">
        <w:t xml:space="preserve">kaynaklı </w:t>
      </w:r>
      <w:r w:rsidR="007A20F1" w:rsidRPr="00B671C9">
        <w:t>sepsis gelişen</w:t>
      </w:r>
      <w:r>
        <w:t xml:space="preserve"> ve relaparotomi yapılan</w:t>
      </w:r>
      <w:r w:rsidR="007A20F1" w:rsidRPr="00B671C9">
        <w:t xml:space="preserve"> </w:t>
      </w:r>
      <w:r w:rsidR="007A20F1">
        <w:t>1</w:t>
      </w:r>
      <w:r w:rsidR="007A20F1" w:rsidRPr="00D44EF5">
        <w:t>-6</w:t>
      </w:r>
      <w:r w:rsidR="007A20F1">
        <w:t>0</w:t>
      </w:r>
      <w:r w:rsidR="007A20F1" w:rsidRPr="00D44EF5">
        <w:t xml:space="preserve"> yaş arası</w:t>
      </w:r>
      <w:r w:rsidR="007A20F1">
        <w:t>nda</w:t>
      </w:r>
      <w:r w:rsidR="007A20F1" w:rsidRPr="00D44EF5">
        <w:t>, 2</w:t>
      </w:r>
      <w:r w:rsidR="007A20F1">
        <w:t>4</w:t>
      </w:r>
      <w:r w:rsidR="007A20F1" w:rsidRPr="00D44EF5">
        <w:t xml:space="preserve"> hasta çalışmaya </w:t>
      </w:r>
      <w:r w:rsidR="007A20F1">
        <w:t>dâhil</w:t>
      </w:r>
      <w:r w:rsidR="007A20F1" w:rsidRPr="00B671C9">
        <w:t xml:space="preserve"> edildi</w:t>
      </w:r>
      <w:r w:rsidR="007A20F1" w:rsidRPr="00D44EF5">
        <w:t>.</w:t>
      </w:r>
      <w:r w:rsidR="007A20F1">
        <w:t xml:space="preserve"> </w:t>
      </w:r>
      <w:r w:rsidR="007A20F1" w:rsidRPr="00872BA0">
        <w:t xml:space="preserve">Çalışma, prospektif </w:t>
      </w:r>
      <w:r w:rsidR="007A20F1" w:rsidRPr="00590C14">
        <w:t>kohort</w:t>
      </w:r>
      <w:r w:rsidR="007A20F1" w:rsidRPr="00872BA0">
        <w:t xml:space="preserve"> olarak düzenlendi. </w:t>
      </w:r>
      <w:r w:rsidR="007A20F1" w:rsidRPr="00B766AE">
        <w:rPr>
          <w:color w:val="000000"/>
          <w:szCs w:val="24"/>
        </w:rPr>
        <w:t>Bu</w:t>
      </w:r>
      <w:r w:rsidR="007A20F1">
        <w:rPr>
          <w:color w:val="000000"/>
          <w:szCs w:val="24"/>
        </w:rPr>
        <w:t xml:space="preserve"> </w:t>
      </w:r>
      <w:r w:rsidR="007A20F1" w:rsidRPr="00B766AE">
        <w:rPr>
          <w:color w:val="000000"/>
          <w:szCs w:val="24"/>
        </w:rPr>
        <w:t>hastalar</w:t>
      </w:r>
      <w:r w:rsidR="007A20F1">
        <w:rPr>
          <w:color w:val="000000"/>
          <w:szCs w:val="24"/>
        </w:rPr>
        <w:t>,</w:t>
      </w:r>
      <w:r w:rsidR="007A20F1" w:rsidRPr="00B766AE">
        <w:rPr>
          <w:color w:val="000000"/>
          <w:szCs w:val="24"/>
        </w:rPr>
        <w:t xml:space="preserve"> hastanemiz bünyesindeki enfeksiyon hastalıkları</w:t>
      </w:r>
      <w:r w:rsidR="00D85026">
        <w:rPr>
          <w:color w:val="000000"/>
          <w:szCs w:val="24"/>
        </w:rPr>
        <w:t xml:space="preserve"> bölümü</w:t>
      </w:r>
      <w:r w:rsidR="007A20F1" w:rsidRPr="00B766AE">
        <w:rPr>
          <w:color w:val="000000"/>
          <w:szCs w:val="24"/>
        </w:rPr>
        <w:t xml:space="preserve"> ile</w:t>
      </w:r>
      <w:r w:rsidR="007A20F1">
        <w:rPr>
          <w:color w:val="000000"/>
          <w:szCs w:val="24"/>
        </w:rPr>
        <w:t xml:space="preserve"> birlikte multidisipliner </w:t>
      </w:r>
      <w:r w:rsidR="007A20F1" w:rsidRPr="00B766AE">
        <w:rPr>
          <w:color w:val="000000"/>
          <w:szCs w:val="24"/>
        </w:rPr>
        <w:t>yakla</w:t>
      </w:r>
      <w:r w:rsidR="007A20F1">
        <w:rPr>
          <w:color w:val="000000"/>
          <w:szCs w:val="24"/>
        </w:rPr>
        <w:t>ş</w:t>
      </w:r>
      <w:r w:rsidR="007A20F1" w:rsidRPr="00B766AE">
        <w:rPr>
          <w:color w:val="000000"/>
          <w:szCs w:val="24"/>
        </w:rPr>
        <w:t>ımla değerlendiril</w:t>
      </w:r>
      <w:r w:rsidR="007A20F1">
        <w:rPr>
          <w:color w:val="000000"/>
          <w:szCs w:val="24"/>
        </w:rPr>
        <w:t>miştir.</w:t>
      </w:r>
    </w:p>
    <w:p w14:paraId="59AD603A" w14:textId="4F42258C" w:rsidR="007A20F1" w:rsidRDefault="007A20F1" w:rsidP="007A20F1">
      <w:r w:rsidRPr="00872BA0">
        <w:t xml:space="preserve">Bu çalışmada, </w:t>
      </w:r>
      <w:r w:rsidR="00253EC0">
        <w:t>k</w:t>
      </w:r>
      <w:r w:rsidRPr="00872BA0">
        <w:t>araciğer nakli sonrasında abdominal kaynaklı sepsis gelişen hastalarda; herhangi bir sebeple relapar</w:t>
      </w:r>
      <w:r>
        <w:t>o</w:t>
      </w:r>
      <w:r w:rsidRPr="00872BA0">
        <w:t xml:space="preserve">tomi yapılması halinde transplante karaciğerden biyopsi alınarak elektron ve ışık mikroskopisi ile histopatolojik değerlendirmesi yapıldı. Aynı zamanda hastaların laboratuvar takiplerinde “CRP, prokalsitonin, interlökinler, sitokinler, WBC, platelet, İNR, karaciğer fonksiyon testleri, bilirübin düzeyleri ölçülüp </w:t>
      </w:r>
      <w:r>
        <w:t>transplante edilen</w:t>
      </w:r>
      <w:r w:rsidRPr="00872BA0">
        <w:t xml:space="preserve"> karaciğerin bu septik duruma cevabının değerlendirilmesi yapıldı.</w:t>
      </w:r>
    </w:p>
    <w:p w14:paraId="22A191DC" w14:textId="5E56E59C" w:rsidR="007A20F1" w:rsidRDefault="007A20F1" w:rsidP="007A20F1">
      <w:pPr>
        <w:rPr>
          <w:szCs w:val="24"/>
        </w:rPr>
      </w:pPr>
      <w:r w:rsidRPr="00D44EF5">
        <w:t>Hasta</w:t>
      </w:r>
      <w:r>
        <w:t xml:space="preserve"> değerlendirilmesinde SOFA ve qSOFA </w:t>
      </w:r>
      <w:r w:rsidRPr="00D44EF5">
        <w:t>skor değerleri kullanıldı. Çalışmaya alınan hastaların skorları,</w:t>
      </w:r>
      <w:r>
        <w:t xml:space="preserve"> </w:t>
      </w:r>
      <w:r w:rsidRPr="00D44EF5">
        <w:t xml:space="preserve">sepsis tanısı </w:t>
      </w:r>
      <w:r>
        <w:t xml:space="preserve">konulduğu ilk gün hesaplandı. </w:t>
      </w:r>
      <w:r w:rsidRPr="00B671C9">
        <w:rPr>
          <w:color w:val="000000"/>
          <w:szCs w:val="24"/>
        </w:rPr>
        <w:t>Bu kriterleri karşılayan, 1'i kadaverik, 23'ü canlı vericili, toplam 24</w:t>
      </w:r>
      <w:r>
        <w:rPr>
          <w:color w:val="000000"/>
          <w:szCs w:val="24"/>
        </w:rPr>
        <w:t xml:space="preserve"> hastaya </w:t>
      </w:r>
      <w:r w:rsidR="00E1103B">
        <w:rPr>
          <w:color w:val="000000"/>
          <w:szCs w:val="24"/>
        </w:rPr>
        <w:t xml:space="preserve">çalışmaya </w:t>
      </w:r>
      <w:r w:rsidR="00DA26D7" w:rsidRPr="00590C14">
        <w:t>dâhil</w:t>
      </w:r>
      <w:r w:rsidR="00E1103B" w:rsidRPr="00590C14">
        <w:t xml:space="preserve"> edildi</w:t>
      </w:r>
      <w:r w:rsidRPr="00590C14">
        <w:t>.</w:t>
      </w:r>
      <w:r w:rsidRPr="00590C14">
        <w:rPr>
          <w:szCs w:val="24"/>
        </w:rPr>
        <w:t xml:space="preserve"> </w:t>
      </w:r>
    </w:p>
    <w:p w14:paraId="773D0EA5" w14:textId="77777777" w:rsidR="00152ED6" w:rsidRDefault="00152ED6" w:rsidP="007A20F1">
      <w:pPr>
        <w:rPr>
          <w:color w:val="000000"/>
          <w:szCs w:val="24"/>
        </w:rPr>
      </w:pPr>
    </w:p>
    <w:p w14:paraId="3249ADF6" w14:textId="5746B471" w:rsidR="00253EC0" w:rsidRDefault="00590C14" w:rsidP="00590C14">
      <w:pPr>
        <w:pStyle w:val="Balk2"/>
        <w:numPr>
          <w:ilvl w:val="0"/>
          <w:numId w:val="0"/>
        </w:numPr>
        <w:ind w:left="576"/>
      </w:pPr>
      <w:bookmarkStart w:id="528" w:name="_Toc45265944"/>
      <w:bookmarkStart w:id="529" w:name="_Toc55727837"/>
      <w:r w:rsidRPr="00D44EF5">
        <w:t xml:space="preserve">Materyallerin Toplanması ve </w:t>
      </w:r>
      <w:r>
        <w:t>Değerlendirilmesi</w:t>
      </w:r>
      <w:bookmarkEnd w:id="528"/>
      <w:bookmarkEnd w:id="529"/>
    </w:p>
    <w:p w14:paraId="1F349D7B" w14:textId="67978315" w:rsidR="00EC747F" w:rsidRDefault="00EC747F" w:rsidP="003A4709">
      <w:r>
        <w:t>Çalışma süresince hastalara ait demografik veriler, laboratuvar verileri, spesifik test sonuçları ve histopatolojik incelemesi yapılacak doku örnekleri toplanıp kaydedildi.</w:t>
      </w:r>
    </w:p>
    <w:p w14:paraId="7C67C799" w14:textId="77777777" w:rsidR="00152ED6" w:rsidRPr="002C7639" w:rsidRDefault="00152ED6" w:rsidP="003A4709"/>
    <w:p w14:paraId="3AC5D978" w14:textId="249616CB" w:rsidR="007A20F1" w:rsidRDefault="00166D5E" w:rsidP="007A20F1">
      <w:pPr>
        <w:pStyle w:val="Balk3"/>
        <w:numPr>
          <w:ilvl w:val="0"/>
          <w:numId w:val="0"/>
        </w:numPr>
        <w:ind w:left="720"/>
      </w:pPr>
      <w:bookmarkStart w:id="530" w:name="_Toc55727838"/>
      <w:r>
        <w:t>Demografik V</w:t>
      </w:r>
      <w:r w:rsidR="007A20F1">
        <w:t>eriler</w:t>
      </w:r>
      <w:bookmarkEnd w:id="530"/>
    </w:p>
    <w:p w14:paraId="29CA5770" w14:textId="46414FE5" w:rsidR="00253EC0" w:rsidRDefault="00253EC0" w:rsidP="00253EC0">
      <w:r>
        <w:t xml:space="preserve">Çalışmaya dâhil edilen bütün </w:t>
      </w:r>
      <w:r w:rsidRPr="00420C12">
        <w:t xml:space="preserve">hastaların yaş, cinsiyet, nakil </w:t>
      </w:r>
      <w:r>
        <w:t>endikasyonları</w:t>
      </w:r>
      <w:r w:rsidRPr="00420C12">
        <w:t xml:space="preserve">, </w:t>
      </w:r>
      <w:r>
        <w:t>canlı-kadaverik nakil</w:t>
      </w:r>
      <w:r w:rsidRPr="00420C12">
        <w:t xml:space="preserve"> </w:t>
      </w:r>
      <w:r w:rsidR="00D85026">
        <w:t>olması</w:t>
      </w:r>
      <w:r w:rsidRPr="00420C12">
        <w:t xml:space="preserve">, </w:t>
      </w:r>
      <w:r>
        <w:t xml:space="preserve">kullanılan greft türü, sepsis nedenleri, tekrar ameliyata alınma nedenleri, takip süreleri prospektif olarak kaydedildi. </w:t>
      </w:r>
    </w:p>
    <w:p w14:paraId="1F9DC6F9" w14:textId="77777777" w:rsidR="00152ED6" w:rsidRDefault="00152ED6" w:rsidP="00253EC0"/>
    <w:p w14:paraId="3C089A73" w14:textId="781EA176" w:rsidR="007A20F1" w:rsidRDefault="007A20F1" w:rsidP="007A20F1">
      <w:pPr>
        <w:pStyle w:val="Balk3"/>
        <w:numPr>
          <w:ilvl w:val="0"/>
          <w:numId w:val="0"/>
        </w:numPr>
        <w:ind w:left="720"/>
      </w:pPr>
      <w:bookmarkStart w:id="531" w:name="_Toc55727839"/>
      <w:r>
        <w:t xml:space="preserve">Laboratuvar </w:t>
      </w:r>
      <w:r w:rsidR="00166D5E">
        <w:t>V</w:t>
      </w:r>
      <w:r>
        <w:t>erileri</w:t>
      </w:r>
      <w:bookmarkEnd w:id="531"/>
    </w:p>
    <w:p w14:paraId="536D8C1D" w14:textId="11411654" w:rsidR="00253EC0" w:rsidRDefault="00253EC0" w:rsidP="00253EC0">
      <w:r>
        <w:t xml:space="preserve">Çalışmaya dâhil edilen bütün </w:t>
      </w:r>
      <w:r w:rsidRPr="00420C12">
        <w:t xml:space="preserve">hastaların </w:t>
      </w:r>
      <w:r>
        <w:t xml:space="preserve">ayrıca </w:t>
      </w:r>
      <w:r w:rsidR="00E90B76">
        <w:t>inflamatuar</w:t>
      </w:r>
      <w:r>
        <w:t xml:space="preserve"> sitokin </w:t>
      </w:r>
      <w:r w:rsidRPr="00420C12">
        <w:t xml:space="preserve">değerleri, CRP, prokalsitonin, WBC, </w:t>
      </w:r>
      <w:r>
        <w:t xml:space="preserve">INR, PTZ, </w:t>
      </w:r>
      <w:r w:rsidR="00EE69CB">
        <w:t>a</w:t>
      </w:r>
      <w:r w:rsidR="00EE69CB" w:rsidRPr="00FA28BF">
        <w:t>PT</w:t>
      </w:r>
      <w:r w:rsidR="00EE69CB">
        <w:t>T</w:t>
      </w:r>
      <w:r>
        <w:t xml:space="preserve">, fibrinojen, lenfosit, nötrofil, hemoglobin, hematokrit, </w:t>
      </w:r>
      <w:r w:rsidRPr="00420C12">
        <w:t>platelet, karaciğer fonksiyon</w:t>
      </w:r>
      <w:r>
        <w:t xml:space="preserve"> </w:t>
      </w:r>
      <w:r w:rsidRPr="00420C12">
        <w:t>testleri, bilirübin değerleri</w:t>
      </w:r>
      <w:r>
        <w:t xml:space="preserve">, albümin, LDH, </w:t>
      </w:r>
      <w:r>
        <w:lastRenderedPageBreak/>
        <w:t xml:space="preserve">amonyak, laktat, kan gazı değerleri gibi laboratuvar tetkikleri prospektif olarak kaydedildi. MARS </w:t>
      </w:r>
      <w:r w:rsidRPr="008607E6">
        <w:t>(molekül ab</w:t>
      </w:r>
      <w:r>
        <w:t>s</w:t>
      </w:r>
      <w:r w:rsidRPr="008607E6">
        <w:t>orbe edici resirkülasyon sistemi)</w:t>
      </w:r>
      <w:r>
        <w:rPr>
          <w:rFonts w:ascii="Arial" w:hAnsi="Arial" w:cs="Arial"/>
          <w:color w:val="4D5156"/>
          <w:sz w:val="21"/>
          <w:szCs w:val="21"/>
          <w:shd w:val="clear" w:color="auto" w:fill="FFFFFF"/>
        </w:rPr>
        <w:t xml:space="preserve"> </w:t>
      </w:r>
      <w:r>
        <w:t xml:space="preserve">ve plazmaferez </w:t>
      </w:r>
      <w:r w:rsidR="0031392F">
        <w:t>uygulamaları da</w:t>
      </w:r>
      <w:r>
        <w:t xml:space="preserve"> </w:t>
      </w:r>
      <w:r w:rsidRPr="00420C12">
        <w:t>kay</w:t>
      </w:r>
      <w:r>
        <w:t>dedildi.</w:t>
      </w:r>
    </w:p>
    <w:p w14:paraId="127D15D0" w14:textId="726C04F5" w:rsidR="009F556C" w:rsidRPr="00590C14" w:rsidRDefault="009F556C" w:rsidP="009F556C">
      <w:r w:rsidRPr="00590C14">
        <w:rPr>
          <w:bCs/>
        </w:rPr>
        <w:t>C-Reaktif Protein</w:t>
      </w:r>
      <w:r w:rsidRPr="00590C14">
        <w:t xml:space="preserve">, serumda Siemens CardioPhase kiti kullanılarak Siemens Dadebehring cihazında immnünonefolometrik yöntem ile ölçüldü. Referans aralığı 0-0,35 </w:t>
      </w:r>
      <w:r w:rsidR="00742672">
        <w:t>mg/dl</w:t>
      </w:r>
      <w:r w:rsidRPr="00590C14">
        <w:t xml:space="preserve"> kabul edilmiştir. </w:t>
      </w:r>
      <w:r w:rsidRPr="00590C14">
        <w:rPr>
          <w:bCs/>
        </w:rPr>
        <w:t>Prokalsitonin</w:t>
      </w:r>
      <w:r w:rsidRPr="00590C14">
        <w:t xml:space="preserve">, serumda Roche kiti kullanılarak Roche Cobas E422 cihazında immünolüminometrik yöntemi ile ölçüldü. Referans aralığı 0-0,5 ng/ml kabul edilmiştir. </w:t>
      </w:r>
      <w:r w:rsidRPr="00590C14">
        <w:rPr>
          <w:bCs/>
        </w:rPr>
        <w:t xml:space="preserve">Laktat, </w:t>
      </w:r>
      <w:r w:rsidRPr="00590C14">
        <w:t>kan gazı cihazında ölçülerek mmol/L cinsinden kaydedildi.</w:t>
      </w:r>
    </w:p>
    <w:p w14:paraId="6E6F4EB2" w14:textId="54CB273C" w:rsidR="00253EC0" w:rsidRDefault="00253EC0" w:rsidP="00253EC0">
      <w:r w:rsidRPr="00D44EF5">
        <w:t>Çalışmaya alınan hastalardan sepsis veya ağır sepsis tanısının</w:t>
      </w:r>
      <w:r>
        <w:t xml:space="preserve"> </w:t>
      </w:r>
      <w:r w:rsidRPr="00D44EF5">
        <w:t xml:space="preserve">konulduğu ilk gün antibakteriyel tedaviye başlamadan </w:t>
      </w:r>
      <w:r>
        <w:t>önce ve ameliyata alındıktan sonra</w:t>
      </w:r>
      <w:r w:rsidRPr="00D44EF5">
        <w:t xml:space="preserve"> enfeksiyon odaklarına yönelik olarak </w:t>
      </w:r>
      <w:r w:rsidR="009F556C">
        <w:t>santral-</w:t>
      </w:r>
      <w:r w:rsidR="009F556C" w:rsidRPr="00D44EF5">
        <w:t>perifer</w:t>
      </w:r>
      <w:r w:rsidR="00590C14">
        <w:t>ik</w:t>
      </w:r>
      <w:r w:rsidR="009F556C" w:rsidRPr="00D44EF5">
        <w:t xml:space="preserve"> kan kültürleri</w:t>
      </w:r>
      <w:r w:rsidRPr="00D44EF5">
        <w:t>, balgam, yara</w:t>
      </w:r>
      <w:r>
        <w:t xml:space="preserve"> </w:t>
      </w:r>
      <w:r w:rsidRPr="00D44EF5">
        <w:t xml:space="preserve">yeri, apse ve </w:t>
      </w:r>
      <w:r w:rsidR="009F556C" w:rsidRPr="00D44EF5">
        <w:t xml:space="preserve">idrar </w:t>
      </w:r>
      <w:r w:rsidR="009F556C">
        <w:t>kültürleri alındı ve üreme sonuçları</w:t>
      </w:r>
      <w:r w:rsidRPr="00D44EF5">
        <w:t xml:space="preserve"> kaydedildi.</w:t>
      </w:r>
      <w:r>
        <w:t xml:space="preserve"> </w:t>
      </w:r>
    </w:p>
    <w:p w14:paraId="4A16F487" w14:textId="77777777" w:rsidR="00152ED6" w:rsidRDefault="00152ED6" w:rsidP="00253EC0"/>
    <w:p w14:paraId="71DD1B5B" w14:textId="59B951F9" w:rsidR="007A20F1" w:rsidRDefault="007A20F1" w:rsidP="007A20F1">
      <w:pPr>
        <w:pStyle w:val="Balk3"/>
        <w:numPr>
          <w:ilvl w:val="0"/>
          <w:numId w:val="0"/>
        </w:numPr>
        <w:ind w:left="720"/>
      </w:pPr>
      <w:bookmarkStart w:id="532" w:name="_Toc55727840"/>
      <w:r>
        <w:t xml:space="preserve">Spesifik </w:t>
      </w:r>
      <w:r w:rsidR="00166D5E">
        <w:t>T</w:t>
      </w:r>
      <w:r>
        <w:t>estler</w:t>
      </w:r>
      <w:bookmarkEnd w:id="532"/>
    </w:p>
    <w:p w14:paraId="422EFED7" w14:textId="34282AC9" w:rsidR="009F556C" w:rsidRDefault="009F556C" w:rsidP="009F556C">
      <w:r>
        <w:t xml:space="preserve">Eş zamanlı olarak periferik kandan alınan örnekler </w:t>
      </w:r>
      <w:r>
        <w:rPr>
          <w:color w:val="000000"/>
          <w:szCs w:val="24"/>
        </w:rPr>
        <w:t xml:space="preserve">sarı kapaklı biyokimya tüpüne alınarak </w:t>
      </w:r>
      <w:r w:rsidRPr="00B766AE">
        <w:rPr>
          <w:color w:val="000000"/>
          <w:szCs w:val="24"/>
        </w:rPr>
        <w:t xml:space="preserve">bir saat içinde </w:t>
      </w:r>
      <w:r>
        <w:rPr>
          <w:color w:val="000000"/>
          <w:szCs w:val="24"/>
        </w:rPr>
        <w:t>laboratuvara gönderildi.</w:t>
      </w:r>
      <w:r w:rsidRPr="00B766AE">
        <w:rPr>
          <w:color w:val="000000"/>
          <w:szCs w:val="24"/>
        </w:rPr>
        <w:t xml:space="preserve"> </w:t>
      </w:r>
      <w:r>
        <w:rPr>
          <w:color w:val="000000"/>
          <w:szCs w:val="24"/>
        </w:rPr>
        <w:t xml:space="preserve">Tüp </w:t>
      </w:r>
      <w:r w:rsidR="0031392F">
        <w:rPr>
          <w:color w:val="000000"/>
          <w:szCs w:val="24"/>
        </w:rPr>
        <w:t>içindeki</w:t>
      </w:r>
      <w:r>
        <w:rPr>
          <w:color w:val="000000"/>
          <w:szCs w:val="24"/>
        </w:rPr>
        <w:t xml:space="preserve"> kan örnekleri </w:t>
      </w:r>
      <w:r w:rsidRPr="002744A0">
        <w:rPr>
          <w:color w:val="000000"/>
          <w:szCs w:val="24"/>
        </w:rPr>
        <w:t xml:space="preserve">3500 rpm’de 15 dakika santrifüj </w:t>
      </w:r>
      <w:r w:rsidRPr="00B766AE">
        <w:rPr>
          <w:color w:val="000000"/>
          <w:szCs w:val="24"/>
        </w:rPr>
        <w:t>edilerek serum ve plazma olarak ayrıldı</w:t>
      </w:r>
      <w:r>
        <w:rPr>
          <w:color w:val="000000"/>
          <w:szCs w:val="24"/>
        </w:rPr>
        <w:t>.</w:t>
      </w:r>
      <w:r>
        <w:t xml:space="preserve"> Santrifüj edilen serum örnekleri </w:t>
      </w:r>
      <w:r w:rsidRPr="00D44EF5">
        <w:t>çalışma zamanına kadar -80°C</w:t>
      </w:r>
      <w:r>
        <w:t xml:space="preserve"> </w:t>
      </w:r>
      <w:r w:rsidRPr="00D44EF5">
        <w:t>derin dondurucuda muhafaza edildi.</w:t>
      </w:r>
    </w:p>
    <w:p w14:paraId="5983CAB6" w14:textId="51D31EB7" w:rsidR="009F556C" w:rsidRDefault="009F556C" w:rsidP="009F556C">
      <w:r>
        <w:t>P</w:t>
      </w:r>
      <w:r w:rsidRPr="00D44EF5">
        <w:t>eriferik kandan ayrılan serum</w:t>
      </w:r>
      <w:r>
        <w:t xml:space="preserve"> </w:t>
      </w:r>
      <w:r w:rsidRPr="00D44EF5">
        <w:t>örnekleri</w:t>
      </w:r>
      <w:r>
        <w:t>ndeki</w:t>
      </w:r>
      <w:r w:rsidRPr="002744A0">
        <w:rPr>
          <w:rStyle w:val="fontstyle01"/>
        </w:rPr>
        <w:t xml:space="preserve"> </w:t>
      </w:r>
      <w:r>
        <w:rPr>
          <w:rStyle w:val="fontstyle01"/>
        </w:rPr>
        <w:t>s</w:t>
      </w:r>
      <w:r>
        <w:t xml:space="preserve">itokinler, </w:t>
      </w:r>
      <w:r w:rsidRPr="00590C14">
        <w:rPr>
          <w:color w:val="000000"/>
          <w:szCs w:val="24"/>
        </w:rPr>
        <w:t>ELISA yöntemiyle ölçüldü</w:t>
      </w:r>
      <w:r w:rsidRPr="00590C14">
        <w:t>.</w:t>
      </w:r>
      <w:r w:rsidRPr="00D44EF5">
        <w:t xml:space="preserve"> </w:t>
      </w:r>
    </w:p>
    <w:p w14:paraId="4DB7C1EF" w14:textId="3B2B5D41" w:rsidR="009F556C" w:rsidRPr="00590C14" w:rsidRDefault="009F556C" w:rsidP="00590C14">
      <w:r w:rsidRPr="00D44EF5">
        <w:t xml:space="preserve">Ticari amaçla satılan </w:t>
      </w:r>
      <w:r w:rsidR="00E1103B">
        <w:t>I</w:t>
      </w:r>
      <w:r>
        <w:t xml:space="preserve">L-4, </w:t>
      </w:r>
      <w:r w:rsidR="00E1103B">
        <w:t>I</w:t>
      </w:r>
      <w:r>
        <w:t xml:space="preserve">L-10, </w:t>
      </w:r>
      <w:r w:rsidR="00E1103B">
        <w:t>I</w:t>
      </w:r>
      <w:r>
        <w:t>L-17, TREM1, sHLA-G, TNF-</w:t>
      </w:r>
      <w:r w:rsidRPr="007D7911">
        <w:t>α</w:t>
      </w:r>
      <w:r>
        <w:t xml:space="preserve">, </w:t>
      </w:r>
      <w:r w:rsidRPr="00A443F0">
        <w:t>TGF-β</w:t>
      </w:r>
      <w:r>
        <w:t>,  IFN</w:t>
      </w:r>
      <w:r>
        <w:rPr>
          <w:rFonts w:ascii="Arial" w:hAnsi="Arial" w:cs="Arial"/>
          <w:color w:val="333333"/>
          <w:shd w:val="clear" w:color="auto" w:fill="FFFFFF"/>
        </w:rPr>
        <w:t>-</w:t>
      </w:r>
      <w:r w:rsidRPr="007974E9">
        <w:t>γ</w:t>
      </w:r>
      <w:r>
        <w:t xml:space="preserve"> test kitleri alınarak </w:t>
      </w:r>
      <w:r w:rsidRPr="00D44EF5">
        <w:t xml:space="preserve">ELISA </w:t>
      </w:r>
      <w:r>
        <w:t xml:space="preserve">cihazında </w:t>
      </w:r>
      <w:r w:rsidRPr="00590C14">
        <w:t>(</w:t>
      </w:r>
      <w:r w:rsidR="00E1103B" w:rsidRPr="00590C14">
        <w:t>FineTest, Wuhan, Çin Halk Cumhuriyeti</w:t>
      </w:r>
      <w:r w:rsidRPr="00590C14">
        <w:t>)</w:t>
      </w:r>
      <w:r>
        <w:t xml:space="preserve"> üreticinin önerileri </w:t>
      </w:r>
      <w:r w:rsidRPr="00D44EF5">
        <w:t xml:space="preserve">takip edilerek </w:t>
      </w:r>
      <w:r>
        <w:t>p</w:t>
      </w:r>
      <w:r w:rsidRPr="00D44EF5">
        <w:t>eriferik kandan ayrılan serum</w:t>
      </w:r>
      <w:r>
        <w:t xml:space="preserve"> </w:t>
      </w:r>
      <w:r w:rsidRPr="00D44EF5">
        <w:t>örnekleri</w:t>
      </w:r>
      <w:r>
        <w:t>ndeki</w:t>
      </w:r>
      <w:r w:rsidRPr="002744A0">
        <w:rPr>
          <w:rStyle w:val="fontstyle01"/>
        </w:rPr>
        <w:t xml:space="preserve"> </w:t>
      </w:r>
      <w:r>
        <w:rPr>
          <w:rStyle w:val="fontstyle01"/>
        </w:rPr>
        <w:t>s</w:t>
      </w:r>
      <w:r>
        <w:t>itokinlerin ölçümleri</w:t>
      </w:r>
      <w:r w:rsidRPr="00D44EF5">
        <w:t xml:space="preserve"> yapıldı.</w:t>
      </w:r>
      <w:r w:rsidR="00E1103B">
        <w:t xml:space="preserve"> </w:t>
      </w:r>
      <w:r w:rsidR="00E1103B" w:rsidRPr="00FF6AB6">
        <w:t xml:space="preserve">Tüm ölçümler üreticinin sağladığı protokole uyularak yapıldı. </w:t>
      </w:r>
      <w:r w:rsidR="00C56189" w:rsidRPr="00FF6AB6">
        <w:t>Kısaca standartlar n</w:t>
      </w:r>
      <w:r w:rsidR="00D85026">
        <w:t>egatif kontrol ve 1-1/32 dilüsyona</w:t>
      </w:r>
      <w:r w:rsidR="00C56189" w:rsidRPr="00FF6AB6">
        <w:t xml:space="preserve"> kadar değişen pozitif kontrollerden oluşmaktaydı. Tüm hasta örnekleri ½ dilüsyon ile uygulandı. </w:t>
      </w:r>
      <w:r w:rsidRPr="00FF6AB6">
        <w:t xml:space="preserve"> </w:t>
      </w:r>
      <w:r w:rsidR="00C56189" w:rsidRPr="00FF6AB6">
        <w:t>Örneklerin, pozitif</w:t>
      </w:r>
      <w:r w:rsidR="00C41D29">
        <w:t xml:space="preserve"> </w:t>
      </w:r>
      <w:r w:rsidR="00C56189" w:rsidRPr="00FF6AB6">
        <w:t>ve negatif kontroller mikroplate’e konduktan sonra 37</w:t>
      </w:r>
      <w:r w:rsidR="00C56189" w:rsidRPr="00FF6AB6">
        <w:sym w:font="Symbol" w:char="F0B0"/>
      </w:r>
      <w:r w:rsidR="00C56189" w:rsidRPr="00FF6AB6">
        <w:t>C’de</w:t>
      </w:r>
      <w:r w:rsidR="00C41D29">
        <w:t>,</w:t>
      </w:r>
      <w:r w:rsidR="00C56189" w:rsidRPr="00FF6AB6">
        <w:t xml:space="preserve"> 90 dakika inkübe</w:t>
      </w:r>
      <w:r w:rsidR="00C41D29">
        <w:t xml:space="preserve"> edildi. Yıkama ve aspirasyon si</w:t>
      </w:r>
      <w:r w:rsidR="00C56189" w:rsidRPr="00FF6AB6">
        <w:t>klusu sonrası biyotinli sekonder antikorlar ortama 100µl konsantrasyonda kon</w:t>
      </w:r>
      <w:r w:rsidR="00C41D29">
        <w:t>ul</w:t>
      </w:r>
      <w:r w:rsidR="00C56189" w:rsidRPr="00FF6AB6">
        <w:t>du ve</w:t>
      </w:r>
      <w:r w:rsidR="00C41D29">
        <w:t xml:space="preserve"> </w:t>
      </w:r>
      <w:r w:rsidR="00C56189" w:rsidRPr="00FF6AB6">
        <w:t>37</w:t>
      </w:r>
      <w:r w:rsidR="00C56189" w:rsidRPr="00FF6AB6">
        <w:sym w:font="Symbol" w:char="F0B0"/>
      </w:r>
      <w:r w:rsidR="00C56189" w:rsidRPr="00FF6AB6">
        <w:t xml:space="preserve">C’de 60 dakika inkübe edildi. Yıkama ve aspirasyon siklusu sonrasında </w:t>
      </w:r>
      <w:r w:rsidR="00FF6AB6" w:rsidRPr="00FF6AB6">
        <w:t>horse raddish peroxidase ve streptavidin kompleksi 100µl hacimle mi</w:t>
      </w:r>
      <w:r w:rsidR="00E00F85">
        <w:t>k</w:t>
      </w:r>
      <w:r w:rsidR="00FF6AB6" w:rsidRPr="00FF6AB6">
        <w:t>roplate’e kon</w:t>
      </w:r>
      <w:r w:rsidR="00C41D29">
        <w:t>ul</w:t>
      </w:r>
      <w:r w:rsidR="00FF6AB6" w:rsidRPr="00FF6AB6">
        <w:t>du ve 37</w:t>
      </w:r>
      <w:r w:rsidR="00FF6AB6" w:rsidRPr="00FF6AB6">
        <w:sym w:font="Symbol" w:char="F0B0"/>
      </w:r>
      <w:r w:rsidR="00FF6AB6" w:rsidRPr="00FF6AB6">
        <w:t>C’de 30 dakika inkübasyon sonrasında mikrop</w:t>
      </w:r>
      <w:r w:rsidR="00E00F85">
        <w:t>late’ler yıkanarak ortama TMB su</w:t>
      </w:r>
      <w:r w:rsidR="00FF6AB6" w:rsidRPr="00FF6AB6">
        <w:t>bstrat kon</w:t>
      </w:r>
      <w:r w:rsidR="00C41D29">
        <w:t>ul</w:t>
      </w:r>
      <w:r w:rsidR="00FF6AB6" w:rsidRPr="00FF6AB6">
        <w:t>du ve 37</w:t>
      </w:r>
      <w:r w:rsidR="00FF6AB6" w:rsidRPr="00FF6AB6">
        <w:sym w:font="Symbol" w:char="F0B0"/>
      </w:r>
      <w:r w:rsidR="00FF6AB6" w:rsidRPr="00FF6AB6">
        <w:t>C’de 20 dakika inkübe edildikten sonra stop solution ile reaksiyon dur</w:t>
      </w:r>
      <w:r w:rsidR="00C41D29">
        <w:t>d</w:t>
      </w:r>
      <w:r w:rsidR="00FF6AB6" w:rsidRPr="00FF6AB6">
        <w:t>u</w:t>
      </w:r>
      <w:r w:rsidR="00C41D29">
        <w:t>r</w:t>
      </w:r>
      <w:r w:rsidR="00FF6AB6" w:rsidRPr="00FF6AB6">
        <w:t>uldu ve 450</w:t>
      </w:r>
      <w:r w:rsidR="00C41D29">
        <w:t xml:space="preserve"> </w:t>
      </w:r>
      <w:r w:rsidR="00FF6AB6" w:rsidRPr="00FF6AB6">
        <w:t xml:space="preserve">nm’de standart absorbansların okumaları </w:t>
      </w:r>
      <w:r w:rsidR="00FF6AB6" w:rsidRPr="00FF6AB6">
        <w:lastRenderedPageBreak/>
        <w:t>gerçekleşitirldi.</w:t>
      </w:r>
      <w:r w:rsidR="00C41D29">
        <w:t xml:space="preserve"> </w:t>
      </w:r>
      <w:r w:rsidR="00FF6AB6" w:rsidRPr="00FF6AB6">
        <w:t xml:space="preserve">Standartların oluşturduğu lineer eğriye göre örneklerin </w:t>
      </w:r>
      <w:r w:rsidR="00E00F85" w:rsidRPr="00FF6AB6">
        <w:t>konsantrasyonları</w:t>
      </w:r>
      <w:r w:rsidR="00FF6AB6" w:rsidRPr="00FF6AB6">
        <w:t xml:space="preserve"> belirlendi ve dilüsyon faktörü ile çarpılarak örnekteki gerçek konsantrasyona ulaşıldı.</w:t>
      </w:r>
      <w:r w:rsidR="00FF6AB6">
        <w:t xml:space="preserve">   </w:t>
      </w:r>
    </w:p>
    <w:p w14:paraId="1D97D54D" w14:textId="0D041504" w:rsidR="009F556C" w:rsidRDefault="009F556C" w:rsidP="00590C14">
      <w:r w:rsidRPr="00EF6BDF">
        <w:t xml:space="preserve">IL-6, elektrokemiluminesans yöntem </w:t>
      </w:r>
      <w:r w:rsidR="00C41D29" w:rsidRPr="00EF6BDF">
        <w:t>ile Roche</w:t>
      </w:r>
      <w:r w:rsidRPr="00EF6BDF">
        <w:t xml:space="preserve"> kiti kullanılarak Roche marka E601 model </w:t>
      </w:r>
      <w:r w:rsidR="00FF6AB6" w:rsidRPr="00590C14">
        <w:t>otoanalizörde yine ELISA yöntemi kullanılarak çalışılmıştır</w:t>
      </w:r>
      <w:r w:rsidR="00590C14">
        <w:t xml:space="preserve"> </w:t>
      </w:r>
      <w:r w:rsidRPr="00EF6BDF">
        <w:t>(Roche Diagnositc, Osaca, J</w:t>
      </w:r>
      <w:r w:rsidR="00C41D29">
        <w:t>apan</w:t>
      </w:r>
      <w:r w:rsidRPr="00EF6BDF">
        <w:t>). Referans aralığı 0-7 pg/mL kabul edilmiştir.</w:t>
      </w:r>
      <w:r>
        <w:t xml:space="preserve"> </w:t>
      </w:r>
    </w:p>
    <w:p w14:paraId="04B86FDB" w14:textId="77777777" w:rsidR="00152ED6" w:rsidRDefault="00152ED6" w:rsidP="00590C14"/>
    <w:p w14:paraId="31CB2704" w14:textId="12AC9B8A" w:rsidR="00905C7B" w:rsidRDefault="00AF0F57" w:rsidP="002731F7">
      <w:pPr>
        <w:pStyle w:val="Balk3"/>
        <w:numPr>
          <w:ilvl w:val="0"/>
          <w:numId w:val="0"/>
        </w:numPr>
        <w:ind w:left="720"/>
      </w:pPr>
      <w:bookmarkStart w:id="533" w:name="_Toc55727841"/>
      <w:bookmarkStart w:id="534" w:name="_Toc38715741"/>
      <w:r>
        <w:t>Histopatoloji</w:t>
      </w:r>
      <w:bookmarkEnd w:id="533"/>
    </w:p>
    <w:p w14:paraId="31CB2706" w14:textId="6D557FC5" w:rsidR="00F7216E" w:rsidRPr="000E1337" w:rsidRDefault="00C41D29" w:rsidP="00FA28BF">
      <w:r>
        <w:t>R</w:t>
      </w:r>
      <w:r w:rsidR="00F7216E" w:rsidRPr="00590C14">
        <w:t>e</w:t>
      </w:r>
      <w:r w:rsidR="008A1F60">
        <w:t>laparot</w:t>
      </w:r>
      <w:r w:rsidR="00F7216E" w:rsidRPr="00590C14">
        <w:t xml:space="preserve">omi yapılan hastaların transplante greftinden alınan kama biyopsileri Tıbbi Patoloji Anabilim Dalı Laboratuvarı’na gönderildi. Klinik bulgular ve demografik bilgiler </w:t>
      </w:r>
      <w:r w:rsidR="00FF6AB6" w:rsidRPr="00590C14">
        <w:t>ışığında o</w:t>
      </w:r>
      <w:r w:rsidR="00F7216E" w:rsidRPr="00590C14">
        <w:t>lgulara ait tüm preparatlar yeniden gözd</w:t>
      </w:r>
      <w:r w:rsidR="00FA28BF">
        <w:t xml:space="preserve">en geçirilerek değerlendirildi. </w:t>
      </w:r>
      <w:r w:rsidR="00FF6AB6" w:rsidRPr="000E1337">
        <w:t>Hematoksilen &amp; eozin boyama ve im</w:t>
      </w:r>
      <w:r w:rsidR="00F7216E" w:rsidRPr="000E1337">
        <w:t xml:space="preserve">munhistokimyasal (İHK) inceleme </w:t>
      </w:r>
      <w:r w:rsidR="00FF6AB6" w:rsidRPr="000E1337">
        <w:t>gerçekleştirildi</w:t>
      </w:r>
      <w:r w:rsidR="00F7216E" w:rsidRPr="000E1337">
        <w:t xml:space="preserve">. </w:t>
      </w:r>
    </w:p>
    <w:p w14:paraId="11D19D45" w14:textId="697BD41F" w:rsidR="00FF6AB6" w:rsidRPr="00FF6AB6" w:rsidRDefault="00F7216E" w:rsidP="00FA28BF">
      <w:pPr>
        <w:rPr>
          <w:bCs/>
          <w:lang w:eastAsia="tr-TR"/>
        </w:rPr>
      </w:pPr>
      <w:r w:rsidRPr="00FF6AB6">
        <w:rPr>
          <w:bCs/>
          <w:lang w:eastAsia="tr-TR"/>
        </w:rPr>
        <w:t xml:space="preserve">Olgulara </w:t>
      </w:r>
      <w:r w:rsidR="00E45E85" w:rsidRPr="00FF6AB6">
        <w:rPr>
          <w:bCs/>
          <w:lang w:eastAsia="tr-TR"/>
        </w:rPr>
        <w:t>ait Hematoksilen</w:t>
      </w:r>
      <w:r w:rsidRPr="00FF6AB6">
        <w:rPr>
          <w:bCs/>
          <w:lang w:eastAsia="tr-TR"/>
        </w:rPr>
        <w:t>&amp;Eosin (H&amp;E) boyalı preperatlar</w:t>
      </w:r>
      <w:r w:rsidR="000E1337">
        <w:rPr>
          <w:bCs/>
          <w:lang w:eastAsia="tr-TR"/>
        </w:rPr>
        <w:t>da nekroz, kolestaz, düktüler proliferasyon veya tıkaç, TCMR pozitifliği, C4d immün skoru gibi p</w:t>
      </w:r>
      <w:r w:rsidR="00FF6AB6" w:rsidRPr="00FF6AB6">
        <w:rPr>
          <w:bCs/>
          <w:lang w:eastAsia="tr-TR"/>
        </w:rPr>
        <w:t>aram</w:t>
      </w:r>
      <w:r w:rsidR="000E1337">
        <w:rPr>
          <w:bCs/>
          <w:lang w:eastAsia="tr-TR"/>
        </w:rPr>
        <w:t>e</w:t>
      </w:r>
      <w:r w:rsidR="00FF6AB6" w:rsidRPr="00FF6AB6">
        <w:rPr>
          <w:bCs/>
          <w:lang w:eastAsia="tr-TR"/>
        </w:rPr>
        <w:t>treler</w:t>
      </w:r>
      <w:r w:rsidR="000E1337">
        <w:rPr>
          <w:bCs/>
          <w:lang w:eastAsia="tr-TR"/>
        </w:rPr>
        <w:t>e bakılı</w:t>
      </w:r>
      <w:r w:rsidR="00C41D29">
        <w:rPr>
          <w:bCs/>
          <w:lang w:eastAsia="tr-TR"/>
        </w:rPr>
        <w:t>p</w:t>
      </w:r>
      <w:r w:rsidR="000E1337">
        <w:rPr>
          <w:bCs/>
          <w:lang w:eastAsia="tr-TR"/>
        </w:rPr>
        <w:t>; “</w:t>
      </w:r>
      <w:r w:rsidR="00FF6AB6" w:rsidRPr="00FF6AB6">
        <w:rPr>
          <w:bCs/>
          <w:lang w:eastAsia="tr-TR"/>
        </w:rPr>
        <w:t>var</w:t>
      </w:r>
      <w:r w:rsidR="000E1337">
        <w:rPr>
          <w:bCs/>
          <w:lang w:eastAsia="tr-TR"/>
        </w:rPr>
        <w:t>”</w:t>
      </w:r>
      <w:r w:rsidR="00FF6AB6" w:rsidRPr="00FF6AB6">
        <w:rPr>
          <w:bCs/>
          <w:lang w:eastAsia="tr-TR"/>
        </w:rPr>
        <w:t xml:space="preserve"> veya </w:t>
      </w:r>
      <w:r w:rsidR="000E1337">
        <w:rPr>
          <w:bCs/>
          <w:lang w:eastAsia="tr-TR"/>
        </w:rPr>
        <w:t>“</w:t>
      </w:r>
      <w:r w:rsidR="00FF6AB6" w:rsidRPr="00FF6AB6">
        <w:rPr>
          <w:bCs/>
          <w:lang w:eastAsia="tr-TR"/>
        </w:rPr>
        <w:t>yok</w:t>
      </w:r>
      <w:r w:rsidR="000E1337">
        <w:rPr>
          <w:bCs/>
          <w:lang w:eastAsia="tr-TR"/>
        </w:rPr>
        <w:t>”</w:t>
      </w:r>
      <w:r w:rsidR="00FF6AB6" w:rsidRPr="00FF6AB6">
        <w:rPr>
          <w:bCs/>
          <w:lang w:eastAsia="tr-TR"/>
        </w:rPr>
        <w:t xml:space="preserve"> olarak kaydedildi. </w:t>
      </w:r>
      <w:r w:rsidR="00590C14">
        <w:rPr>
          <w:bCs/>
          <w:lang w:eastAsia="tr-TR"/>
        </w:rPr>
        <w:t xml:space="preserve"> Kısaca Hematoksilen&amp;Eozin boy</w:t>
      </w:r>
      <w:r w:rsidR="00AF0F57">
        <w:rPr>
          <w:bCs/>
          <w:lang w:eastAsia="tr-TR"/>
        </w:rPr>
        <w:t>ama için örnekler Xylol’de deparafinize edildikten so</w:t>
      </w:r>
      <w:r w:rsidR="000E1337">
        <w:rPr>
          <w:bCs/>
          <w:lang w:eastAsia="tr-TR"/>
        </w:rPr>
        <w:t>nra %50’den</w:t>
      </w:r>
      <w:r w:rsidR="00B0144B">
        <w:rPr>
          <w:bCs/>
          <w:lang w:eastAsia="tr-TR"/>
        </w:rPr>
        <w:t>,</w:t>
      </w:r>
      <w:r w:rsidR="000E1337">
        <w:rPr>
          <w:bCs/>
          <w:lang w:eastAsia="tr-TR"/>
        </w:rPr>
        <w:t xml:space="preserve"> %100 alkole dereceli</w:t>
      </w:r>
      <w:r w:rsidR="00AF0F57">
        <w:rPr>
          <w:bCs/>
          <w:lang w:eastAsia="tr-TR"/>
        </w:rPr>
        <w:t xml:space="preserve"> olarak maruz bırakılarak rehidasyon işlemi gerçekleşitirildi. Daha sonra örnekler 8 dakika hematoksilen </w:t>
      </w:r>
      <w:r w:rsidR="000E1337">
        <w:rPr>
          <w:bCs/>
          <w:lang w:eastAsia="tr-TR"/>
        </w:rPr>
        <w:t>boyada bekletildi ve 2’şer daki</w:t>
      </w:r>
      <w:r w:rsidR="00AF0F57">
        <w:rPr>
          <w:bCs/>
          <w:lang w:eastAsia="tr-TR"/>
        </w:rPr>
        <w:t>ka süreler ile distile suda yıkandı. Daha sonra Eozin boyada 8 dakika inkübe edildi ve yine 2</w:t>
      </w:r>
      <w:r w:rsidR="000E1337">
        <w:rPr>
          <w:bCs/>
          <w:lang w:eastAsia="tr-TR"/>
        </w:rPr>
        <w:t xml:space="preserve"> </w:t>
      </w:r>
      <w:r w:rsidR="00AF0F57">
        <w:rPr>
          <w:bCs/>
          <w:lang w:eastAsia="tr-TR"/>
        </w:rPr>
        <w:t>defa 2</w:t>
      </w:r>
      <w:r w:rsidR="000E1337">
        <w:rPr>
          <w:bCs/>
          <w:lang w:eastAsia="tr-TR"/>
        </w:rPr>
        <w:t xml:space="preserve"> </w:t>
      </w:r>
      <w:r w:rsidR="00AF0F57">
        <w:rPr>
          <w:bCs/>
          <w:lang w:eastAsia="tr-TR"/>
        </w:rPr>
        <w:t xml:space="preserve">dakika süre ile distile suda yıkandıktan sonra lamel ile kaplanarak kurumaya bırakıldı. </w:t>
      </w:r>
    </w:p>
    <w:p w14:paraId="31CB2708" w14:textId="6422B20D" w:rsidR="00F7216E" w:rsidRPr="00FF6AB6" w:rsidRDefault="00F7216E" w:rsidP="00FF6AB6">
      <w:pPr>
        <w:rPr>
          <w:lang w:eastAsia="tr-TR"/>
        </w:rPr>
      </w:pPr>
      <w:r>
        <w:rPr>
          <w:lang w:eastAsia="tr-TR"/>
        </w:rPr>
        <w:t xml:space="preserve"> CK7, C4d </w:t>
      </w:r>
      <w:r w:rsidRPr="00BB1649">
        <w:rPr>
          <w:lang w:eastAsia="tr-TR"/>
        </w:rPr>
        <w:t>ekspresyonlar</w:t>
      </w:r>
      <w:r w:rsidRPr="00BB1649">
        <w:rPr>
          <w:rFonts w:hint="eastAsia"/>
          <w:lang w:eastAsia="tr-TR"/>
        </w:rPr>
        <w:t>ı</w:t>
      </w:r>
      <w:r w:rsidRPr="00BB1649">
        <w:rPr>
          <w:lang w:eastAsia="tr-TR"/>
        </w:rPr>
        <w:t xml:space="preserve"> immunhistokimyasal olarak de</w:t>
      </w:r>
      <w:r w:rsidRPr="00BB1649">
        <w:rPr>
          <w:rFonts w:hint="eastAsia"/>
          <w:lang w:eastAsia="tr-TR"/>
        </w:rPr>
        <w:t>ğ</w:t>
      </w:r>
      <w:r w:rsidRPr="00BB1649">
        <w:rPr>
          <w:lang w:eastAsia="tr-TR"/>
        </w:rPr>
        <w:t>erlendiril</w:t>
      </w:r>
      <w:r w:rsidR="00C41D29">
        <w:rPr>
          <w:lang w:eastAsia="tr-TR"/>
        </w:rPr>
        <w:t>di</w:t>
      </w:r>
      <w:r>
        <w:rPr>
          <w:lang w:eastAsia="tr-TR"/>
        </w:rPr>
        <w:t>.</w:t>
      </w:r>
      <w:r w:rsidR="00FF6AB6">
        <w:rPr>
          <w:lang w:eastAsia="tr-TR"/>
        </w:rPr>
        <w:t xml:space="preserve"> </w:t>
      </w:r>
      <w:r w:rsidRPr="00BE210E">
        <w:rPr>
          <w:rFonts w:eastAsia="Times New Roman"/>
          <w:color w:val="222222"/>
          <w:lang w:eastAsia="tr-TR"/>
        </w:rPr>
        <w:t>İHK boyaması</w:t>
      </w:r>
      <w:r w:rsidRPr="0004758C">
        <w:rPr>
          <w:rFonts w:eastAsia="Times New Roman"/>
          <w:color w:val="222222"/>
          <w:lang w:eastAsia="tr-TR"/>
        </w:rPr>
        <w:t xml:space="preserve"> </w:t>
      </w:r>
      <w:r>
        <w:rPr>
          <w:rFonts w:eastAsia="Times New Roman"/>
          <w:color w:val="222222"/>
          <w:lang w:eastAsia="tr-TR"/>
        </w:rPr>
        <w:t>CK7</w:t>
      </w:r>
      <w:r w:rsidRPr="00BE210E">
        <w:rPr>
          <w:rFonts w:eastAsia="Times New Roman"/>
          <w:color w:val="222222"/>
          <w:lang w:eastAsia="tr-TR"/>
        </w:rPr>
        <w:t xml:space="preserve"> antikoru (</w:t>
      </w:r>
      <w:r>
        <w:rPr>
          <w:rFonts w:eastAsia="Times New Roman"/>
          <w:color w:val="222222"/>
          <w:lang w:eastAsia="tr-TR"/>
        </w:rPr>
        <w:t>Dako Clone OV-TL 12/30 REF:GA619) ve C4d</w:t>
      </w:r>
      <w:r w:rsidRPr="00BE210E">
        <w:rPr>
          <w:rFonts w:eastAsia="Times New Roman"/>
          <w:color w:val="222222"/>
          <w:lang w:eastAsia="tr-TR"/>
        </w:rPr>
        <w:t xml:space="preserve"> </w:t>
      </w:r>
      <w:r w:rsidR="00FF6AB6" w:rsidRPr="00590C14">
        <w:t>primer</w:t>
      </w:r>
      <w:r w:rsidR="00FF6AB6" w:rsidRPr="00FF6AB6">
        <w:rPr>
          <w:rFonts w:eastAsia="Times New Roman"/>
          <w:color w:val="FF0000"/>
          <w:lang w:eastAsia="tr-TR"/>
        </w:rPr>
        <w:t xml:space="preserve"> </w:t>
      </w:r>
      <w:r w:rsidRPr="00BE210E">
        <w:rPr>
          <w:rFonts w:eastAsia="Times New Roman"/>
          <w:color w:val="222222"/>
          <w:lang w:eastAsia="tr-TR"/>
        </w:rPr>
        <w:t>antikoru (</w:t>
      </w:r>
      <w:r>
        <w:rPr>
          <w:rFonts w:eastAsia="Times New Roman"/>
          <w:color w:val="222222"/>
          <w:lang w:eastAsia="tr-TR"/>
        </w:rPr>
        <w:t xml:space="preserve">Medaysis </w:t>
      </w:r>
      <w:r w:rsidRPr="00BE210E">
        <w:rPr>
          <w:rFonts w:eastAsia="Times New Roman"/>
          <w:color w:val="222222"/>
          <w:lang w:eastAsia="tr-TR"/>
        </w:rPr>
        <w:t>Katolog no:</w:t>
      </w:r>
      <w:r>
        <w:rPr>
          <w:rFonts w:eastAsia="Times New Roman"/>
          <w:color w:val="222222"/>
          <w:lang w:eastAsia="tr-TR"/>
        </w:rPr>
        <w:t xml:space="preserve"> MC0631RTU7</w:t>
      </w:r>
      <w:r w:rsidRPr="00BE210E">
        <w:rPr>
          <w:rFonts w:eastAsia="Times New Roman"/>
          <w:color w:val="222222"/>
          <w:lang w:eastAsia="tr-TR"/>
        </w:rPr>
        <w:t xml:space="preserve">) ile yapıldı. </w:t>
      </w:r>
      <w:r>
        <w:rPr>
          <w:rFonts w:eastAsia="Times New Roman"/>
          <w:color w:val="222222"/>
          <w:lang w:eastAsia="tr-TR"/>
        </w:rPr>
        <w:t>CK7</w:t>
      </w:r>
      <w:r w:rsidRPr="00BE210E">
        <w:rPr>
          <w:rFonts w:eastAsia="Times New Roman"/>
          <w:color w:val="222222"/>
          <w:lang w:eastAsia="tr-TR"/>
        </w:rPr>
        <w:t xml:space="preserve"> </w:t>
      </w:r>
      <w:r w:rsidR="00E45E85" w:rsidRPr="00BE210E">
        <w:rPr>
          <w:rFonts w:eastAsia="Times New Roman"/>
          <w:color w:val="222222"/>
          <w:lang w:eastAsia="tr-TR"/>
        </w:rPr>
        <w:t xml:space="preserve">antikoru </w:t>
      </w:r>
      <w:r w:rsidR="00E45E85">
        <w:rPr>
          <w:rFonts w:eastAsia="Times New Roman"/>
          <w:color w:val="222222"/>
          <w:lang w:eastAsia="tr-TR"/>
        </w:rPr>
        <w:t>için</w:t>
      </w:r>
      <w:r>
        <w:rPr>
          <w:rFonts w:eastAsia="Times New Roman"/>
          <w:color w:val="222222"/>
          <w:lang w:eastAsia="tr-TR"/>
        </w:rPr>
        <w:t xml:space="preserve"> p</w:t>
      </w:r>
      <w:r w:rsidRPr="00BE210E">
        <w:rPr>
          <w:rFonts w:eastAsia="Times New Roman"/>
          <w:color w:val="222222"/>
          <w:lang w:eastAsia="tr-TR"/>
        </w:rPr>
        <w:t>ozitif kontrol</w:t>
      </w:r>
      <w:r>
        <w:rPr>
          <w:rFonts w:eastAsia="Times New Roman"/>
          <w:color w:val="222222"/>
          <w:lang w:eastAsia="tr-TR"/>
        </w:rPr>
        <w:t xml:space="preserve"> olarak</w:t>
      </w:r>
      <w:r w:rsidRPr="00BE210E">
        <w:rPr>
          <w:rFonts w:eastAsia="Times New Roman"/>
          <w:color w:val="222222"/>
          <w:lang w:eastAsia="tr-TR"/>
        </w:rPr>
        <w:t xml:space="preserve"> </w:t>
      </w:r>
      <w:r w:rsidRPr="0004758C">
        <w:rPr>
          <w:rFonts w:eastAsia="Times New Roman"/>
          <w:color w:val="222222"/>
          <w:lang w:eastAsia="tr-TR"/>
        </w:rPr>
        <w:t xml:space="preserve">tonsil dokusu </w:t>
      </w:r>
      <w:r w:rsidRPr="00BE210E">
        <w:rPr>
          <w:rFonts w:eastAsia="Times New Roman"/>
          <w:color w:val="222222"/>
          <w:lang w:eastAsia="tr-TR"/>
        </w:rPr>
        <w:t>kullanıldı.</w:t>
      </w:r>
      <w:r w:rsidRPr="0004758C">
        <w:rPr>
          <w:rFonts w:eastAsia="Times New Roman"/>
          <w:color w:val="222222"/>
          <w:lang w:eastAsia="tr-TR"/>
        </w:rPr>
        <w:t xml:space="preserve"> </w:t>
      </w:r>
      <w:r>
        <w:rPr>
          <w:rFonts w:eastAsia="Times New Roman"/>
          <w:color w:val="222222"/>
          <w:lang w:eastAsia="tr-TR"/>
        </w:rPr>
        <w:t>C4d</w:t>
      </w:r>
      <w:r w:rsidRPr="00BE210E">
        <w:rPr>
          <w:rFonts w:eastAsia="Times New Roman"/>
          <w:color w:val="222222"/>
          <w:lang w:eastAsia="tr-TR"/>
        </w:rPr>
        <w:t xml:space="preserve"> antikoru </w:t>
      </w:r>
      <w:r>
        <w:rPr>
          <w:rFonts w:eastAsia="Times New Roman"/>
          <w:color w:val="222222"/>
          <w:lang w:eastAsia="tr-TR"/>
        </w:rPr>
        <w:t>için p</w:t>
      </w:r>
      <w:r w:rsidRPr="00BE210E">
        <w:rPr>
          <w:rFonts w:eastAsia="Times New Roman"/>
          <w:color w:val="222222"/>
          <w:lang w:eastAsia="tr-TR"/>
        </w:rPr>
        <w:t xml:space="preserve">ozitif kontrol </w:t>
      </w:r>
      <w:r>
        <w:rPr>
          <w:rFonts w:eastAsia="Times New Roman"/>
          <w:color w:val="222222"/>
          <w:lang w:eastAsia="tr-TR"/>
        </w:rPr>
        <w:t xml:space="preserve">olarak akut rejeke transplant böbrek </w:t>
      </w:r>
      <w:r w:rsidRPr="00BE210E">
        <w:rPr>
          <w:rFonts w:eastAsia="Times New Roman"/>
          <w:color w:val="222222"/>
          <w:lang w:eastAsia="tr-TR"/>
        </w:rPr>
        <w:t>dokusu kullanıldı.</w:t>
      </w:r>
      <w:r>
        <w:rPr>
          <w:rFonts w:eastAsia="Times New Roman"/>
          <w:color w:val="222222"/>
          <w:lang w:eastAsia="tr-TR"/>
        </w:rPr>
        <w:t xml:space="preserve"> </w:t>
      </w:r>
      <w:r w:rsidRPr="00BE210E">
        <w:rPr>
          <w:rFonts w:eastAsia="Times New Roman"/>
          <w:color w:val="222222"/>
          <w:lang w:eastAsia="tr-TR"/>
        </w:rPr>
        <w:t>Boyama işlem</w:t>
      </w:r>
      <w:r w:rsidRPr="0004758C">
        <w:rPr>
          <w:rFonts w:eastAsia="Times New Roman"/>
          <w:color w:val="222222"/>
          <w:lang w:eastAsia="tr-TR"/>
        </w:rPr>
        <w:t>leri</w:t>
      </w:r>
      <w:r w:rsidRPr="00BE210E">
        <w:rPr>
          <w:rFonts w:eastAsia="Times New Roman"/>
          <w:color w:val="222222"/>
          <w:lang w:eastAsia="tr-TR"/>
        </w:rPr>
        <w:t xml:space="preserve"> tam otomatik </w:t>
      </w:r>
      <w:r>
        <w:rPr>
          <w:rFonts w:eastAsia="Times New Roman"/>
          <w:color w:val="222222"/>
          <w:lang w:eastAsia="tr-TR"/>
        </w:rPr>
        <w:t xml:space="preserve">DAKO Omnis marka </w:t>
      </w:r>
      <w:r w:rsidRPr="00BE210E">
        <w:rPr>
          <w:rFonts w:eastAsia="Times New Roman"/>
          <w:color w:val="222222"/>
          <w:lang w:eastAsia="tr-TR"/>
        </w:rPr>
        <w:t xml:space="preserve">İHK boyama cihazında yapıldı. </w:t>
      </w:r>
    </w:p>
    <w:p w14:paraId="31CB2709" w14:textId="77777777" w:rsidR="00F7216E" w:rsidRDefault="00F7216E" w:rsidP="000768FA">
      <w:pPr>
        <w:rPr>
          <w:rFonts w:eastAsia="Times New Roman"/>
          <w:color w:val="222222"/>
          <w:lang w:eastAsia="tr-TR"/>
        </w:rPr>
      </w:pPr>
      <w:r w:rsidRPr="00BE210E">
        <w:rPr>
          <w:rFonts w:eastAsia="Times New Roman"/>
          <w:color w:val="222222"/>
          <w:lang w:eastAsia="tr-TR"/>
        </w:rPr>
        <w:t>İHK boyama işlemine başlamadan önce</w:t>
      </w:r>
      <w:r>
        <w:rPr>
          <w:rFonts w:eastAsia="Times New Roman"/>
          <w:color w:val="222222"/>
          <w:lang w:eastAsia="tr-TR"/>
        </w:rPr>
        <w:t xml:space="preserve"> 4 mikron kalınlığındaki </w:t>
      </w:r>
      <w:r w:rsidRPr="00BE210E">
        <w:rPr>
          <w:rFonts w:eastAsia="Times New Roman"/>
          <w:color w:val="222222"/>
          <w:lang w:eastAsia="tr-TR"/>
        </w:rPr>
        <w:t>doku kesitleri 70</w:t>
      </w:r>
      <w:r>
        <w:rPr>
          <w:rFonts w:ascii="Cambria Math" w:eastAsia="Times New Roman" w:hAnsi="Cambria Math" w:cs="Cambria Math"/>
          <w:color w:val="222222"/>
          <w:lang w:eastAsia="tr-TR"/>
        </w:rPr>
        <w:t>⁰</w:t>
      </w:r>
      <w:r>
        <w:rPr>
          <w:rFonts w:eastAsia="Times New Roman"/>
          <w:color w:val="222222"/>
          <w:lang w:eastAsia="tr-TR"/>
        </w:rPr>
        <w:t xml:space="preserve">C sıcak etüvde 1 saat tutuldu. </w:t>
      </w:r>
      <w:r w:rsidRPr="00BE210E">
        <w:rPr>
          <w:rFonts w:eastAsia="Times New Roman"/>
          <w:color w:val="222222"/>
          <w:lang w:eastAsia="tr-TR"/>
        </w:rPr>
        <w:t xml:space="preserve">İHK boyama basamakları </w:t>
      </w:r>
      <w:r>
        <w:rPr>
          <w:rFonts w:eastAsia="Times New Roman"/>
          <w:color w:val="222222"/>
          <w:lang w:eastAsia="tr-TR"/>
        </w:rPr>
        <w:t>DAKO Omnis</w:t>
      </w:r>
      <w:r w:rsidRPr="0004758C">
        <w:rPr>
          <w:rFonts w:eastAsia="Times New Roman"/>
          <w:color w:val="222222"/>
          <w:lang w:eastAsia="tr-TR"/>
        </w:rPr>
        <w:t xml:space="preserve"> otomatik boyama cihazında </w:t>
      </w:r>
      <w:r>
        <w:rPr>
          <w:rFonts w:eastAsia="Times New Roman"/>
          <w:color w:val="222222"/>
          <w:lang w:eastAsia="tr-TR"/>
        </w:rPr>
        <w:t>CK7 ve C4d</w:t>
      </w:r>
      <w:r w:rsidRPr="00BE210E">
        <w:rPr>
          <w:rFonts w:eastAsia="Times New Roman"/>
          <w:color w:val="222222"/>
          <w:lang w:eastAsia="tr-TR"/>
        </w:rPr>
        <w:t xml:space="preserve"> primer antikor</w:t>
      </w:r>
      <w:r w:rsidRPr="0004758C">
        <w:rPr>
          <w:rFonts w:eastAsia="Times New Roman"/>
          <w:color w:val="222222"/>
          <w:lang w:eastAsia="tr-TR"/>
        </w:rPr>
        <w:t>ları</w:t>
      </w:r>
      <w:r w:rsidRPr="00BE210E">
        <w:rPr>
          <w:rFonts w:eastAsia="Times New Roman"/>
          <w:color w:val="222222"/>
          <w:lang w:eastAsia="tr-TR"/>
        </w:rPr>
        <w:t xml:space="preserve"> için oluşturulan protokol</w:t>
      </w:r>
      <w:r w:rsidRPr="0004758C">
        <w:rPr>
          <w:rFonts w:eastAsia="Times New Roman"/>
          <w:color w:val="222222"/>
          <w:lang w:eastAsia="tr-TR"/>
        </w:rPr>
        <w:t>lere</w:t>
      </w:r>
      <w:r w:rsidRPr="00BE210E">
        <w:rPr>
          <w:rFonts w:eastAsia="Times New Roman"/>
          <w:color w:val="222222"/>
          <w:lang w:eastAsia="tr-TR"/>
        </w:rPr>
        <w:t xml:space="preserve"> göre uygulandı.</w:t>
      </w:r>
      <w:r>
        <w:rPr>
          <w:rFonts w:eastAsia="Times New Roman"/>
          <w:color w:val="222222"/>
          <w:lang w:eastAsia="tr-TR"/>
        </w:rPr>
        <w:t xml:space="preserve"> </w:t>
      </w:r>
      <w:r w:rsidRPr="00BE210E">
        <w:rPr>
          <w:rFonts w:eastAsia="Times New Roman"/>
          <w:color w:val="222222"/>
          <w:lang w:eastAsia="tr-TR"/>
        </w:rPr>
        <w:t>Deparafinizasyon işlemi cihaz protokolünde yer aldığı şekliyle</w:t>
      </w:r>
      <w:r>
        <w:rPr>
          <w:rFonts w:eastAsia="Times New Roman"/>
          <w:color w:val="222222"/>
          <w:lang w:eastAsia="tr-TR"/>
        </w:rPr>
        <w:t xml:space="preserve"> 97</w:t>
      </w:r>
      <w:r>
        <w:rPr>
          <w:rFonts w:ascii="Cambria Math" w:eastAsia="Times New Roman" w:hAnsi="Cambria Math" w:cs="Cambria Math"/>
          <w:color w:val="222222"/>
          <w:lang w:eastAsia="tr-TR"/>
        </w:rPr>
        <w:t>⁰</w:t>
      </w:r>
      <w:r>
        <w:rPr>
          <w:rFonts w:eastAsia="Times New Roman"/>
          <w:color w:val="222222"/>
          <w:lang w:eastAsia="tr-TR"/>
        </w:rPr>
        <w:t>C da Etta reaktifi kullanılarak 30 dakika inkübe edilerek yapıldı. Distile su ile soğutuldu. Wash Buffer 10 döngü ile 2 dk sürede 2 kez yıkandı</w:t>
      </w:r>
      <w:r w:rsidRPr="00BE210E">
        <w:rPr>
          <w:rFonts w:eastAsia="Times New Roman"/>
          <w:color w:val="222222"/>
          <w:lang w:eastAsia="tr-TR"/>
        </w:rPr>
        <w:t xml:space="preserve">. </w:t>
      </w:r>
    </w:p>
    <w:p w14:paraId="31CB270A" w14:textId="77777777" w:rsidR="00F7216E" w:rsidRPr="0004758C" w:rsidRDefault="00F7216E" w:rsidP="000768FA">
      <w:pPr>
        <w:rPr>
          <w:rFonts w:eastAsia="Times New Roman"/>
          <w:color w:val="222222"/>
          <w:lang w:eastAsia="tr-TR"/>
        </w:rPr>
      </w:pPr>
      <w:r w:rsidRPr="00BE210E">
        <w:rPr>
          <w:rFonts w:eastAsia="Times New Roman"/>
          <w:color w:val="222222"/>
          <w:lang w:eastAsia="tr-TR"/>
        </w:rPr>
        <w:t xml:space="preserve">Kesitler </w:t>
      </w:r>
      <w:r>
        <w:rPr>
          <w:rFonts w:eastAsia="Times New Roman"/>
          <w:color w:val="222222"/>
          <w:lang w:eastAsia="tr-TR"/>
        </w:rPr>
        <w:t xml:space="preserve">CK7 </w:t>
      </w:r>
      <w:r w:rsidRPr="00BE210E">
        <w:rPr>
          <w:rFonts w:eastAsia="Times New Roman"/>
          <w:color w:val="222222"/>
          <w:lang w:eastAsia="tr-TR"/>
        </w:rPr>
        <w:t>primer antikor</w:t>
      </w:r>
      <w:r>
        <w:rPr>
          <w:rFonts w:eastAsia="Times New Roman"/>
          <w:color w:val="222222"/>
          <w:lang w:eastAsia="tr-TR"/>
        </w:rPr>
        <w:t>u</w:t>
      </w:r>
      <w:r w:rsidRPr="00BE210E">
        <w:rPr>
          <w:rFonts w:eastAsia="Times New Roman"/>
          <w:color w:val="222222"/>
          <w:lang w:eastAsia="tr-TR"/>
        </w:rPr>
        <w:t xml:space="preserve"> ile </w:t>
      </w:r>
      <w:r>
        <w:rPr>
          <w:rFonts w:eastAsia="Times New Roman"/>
          <w:color w:val="222222"/>
          <w:lang w:eastAsia="tr-TR"/>
        </w:rPr>
        <w:t xml:space="preserve">13 dk, </w:t>
      </w:r>
      <w:r w:rsidR="00E45E85" w:rsidRPr="006662D7">
        <w:rPr>
          <w:rFonts w:eastAsia="Times New Roman"/>
          <w:color w:val="222222"/>
          <w:lang w:eastAsia="tr-TR"/>
        </w:rPr>
        <w:t>C4d primer</w:t>
      </w:r>
      <w:r w:rsidRPr="006662D7">
        <w:rPr>
          <w:rFonts w:eastAsia="Times New Roman"/>
          <w:color w:val="222222"/>
          <w:lang w:eastAsia="tr-TR"/>
        </w:rPr>
        <w:t xml:space="preserve"> antikoru </w:t>
      </w:r>
      <w:r>
        <w:rPr>
          <w:rFonts w:eastAsia="Times New Roman"/>
          <w:color w:val="222222"/>
          <w:lang w:eastAsia="tr-TR"/>
        </w:rPr>
        <w:t xml:space="preserve">ile 15 dk </w:t>
      </w:r>
      <w:r w:rsidRPr="00BE210E">
        <w:rPr>
          <w:rFonts w:eastAsia="Times New Roman"/>
          <w:color w:val="222222"/>
          <w:lang w:eastAsia="tr-TR"/>
        </w:rPr>
        <w:t xml:space="preserve">inkübe edildi. </w:t>
      </w:r>
      <w:r w:rsidRPr="0010154F">
        <w:rPr>
          <w:rFonts w:eastAsia="Times New Roman"/>
          <w:color w:val="222222"/>
          <w:lang w:eastAsia="tr-TR"/>
        </w:rPr>
        <w:t>Wash Buffer 10 döngü</w:t>
      </w:r>
      <w:r>
        <w:rPr>
          <w:rFonts w:eastAsia="Times New Roman"/>
          <w:color w:val="222222"/>
          <w:lang w:eastAsia="tr-TR"/>
        </w:rPr>
        <w:t xml:space="preserve"> ile</w:t>
      </w:r>
      <w:r w:rsidRPr="0010154F">
        <w:rPr>
          <w:rFonts w:eastAsia="Times New Roman"/>
          <w:color w:val="222222"/>
          <w:lang w:eastAsia="tr-TR"/>
        </w:rPr>
        <w:t xml:space="preserve"> 2 dk yıkandı</w:t>
      </w:r>
      <w:r w:rsidRPr="00BE210E">
        <w:rPr>
          <w:rFonts w:eastAsia="Times New Roman"/>
          <w:color w:val="222222"/>
          <w:lang w:eastAsia="tr-TR"/>
        </w:rPr>
        <w:t>.</w:t>
      </w:r>
      <w:r>
        <w:rPr>
          <w:rFonts w:eastAsia="Times New Roman"/>
          <w:color w:val="222222"/>
          <w:lang w:eastAsia="tr-TR"/>
        </w:rPr>
        <w:t xml:space="preserve"> Peroksidaz ile 3dk inkübasyon, </w:t>
      </w:r>
      <w:r w:rsidRPr="00BE210E">
        <w:rPr>
          <w:rFonts w:eastAsia="Times New Roman"/>
          <w:color w:val="222222"/>
          <w:lang w:eastAsia="tr-TR"/>
        </w:rPr>
        <w:t xml:space="preserve"> </w:t>
      </w:r>
      <w:r w:rsidRPr="0010154F">
        <w:rPr>
          <w:rFonts w:eastAsia="Times New Roman"/>
          <w:color w:val="222222"/>
          <w:lang w:eastAsia="tr-TR"/>
        </w:rPr>
        <w:t>Wash Buffer 10 döngü</w:t>
      </w:r>
      <w:r>
        <w:rPr>
          <w:rFonts w:eastAsia="Times New Roman"/>
          <w:color w:val="222222"/>
          <w:lang w:eastAsia="tr-TR"/>
        </w:rPr>
        <w:t xml:space="preserve"> ile</w:t>
      </w:r>
      <w:r w:rsidRPr="0010154F">
        <w:rPr>
          <w:rFonts w:eastAsia="Times New Roman"/>
          <w:color w:val="222222"/>
          <w:lang w:eastAsia="tr-TR"/>
        </w:rPr>
        <w:t xml:space="preserve"> 2 dk </w:t>
      </w:r>
      <w:r>
        <w:rPr>
          <w:rFonts w:eastAsia="Times New Roman"/>
          <w:color w:val="222222"/>
          <w:lang w:eastAsia="tr-TR"/>
        </w:rPr>
        <w:t xml:space="preserve">yıkama, HRP 20 dk inkübasyon, </w:t>
      </w:r>
      <w:r w:rsidRPr="0010154F">
        <w:rPr>
          <w:rFonts w:eastAsia="Times New Roman"/>
          <w:color w:val="222222"/>
          <w:lang w:eastAsia="tr-TR"/>
        </w:rPr>
        <w:t xml:space="preserve">Wash Buffer 10 döngü </w:t>
      </w:r>
      <w:r>
        <w:rPr>
          <w:rFonts w:eastAsia="Times New Roman"/>
          <w:color w:val="222222"/>
          <w:lang w:eastAsia="tr-TR"/>
        </w:rPr>
        <w:t xml:space="preserve">ile </w:t>
      </w:r>
      <w:r w:rsidRPr="0010154F">
        <w:rPr>
          <w:rFonts w:eastAsia="Times New Roman"/>
          <w:color w:val="222222"/>
          <w:lang w:eastAsia="tr-TR"/>
        </w:rPr>
        <w:t>2 dk</w:t>
      </w:r>
      <w:r>
        <w:rPr>
          <w:rFonts w:eastAsia="Times New Roman"/>
          <w:color w:val="222222"/>
          <w:lang w:eastAsia="tr-TR"/>
        </w:rPr>
        <w:t xml:space="preserve"> </w:t>
      </w:r>
      <w:r>
        <w:rPr>
          <w:rFonts w:eastAsia="Times New Roman"/>
          <w:color w:val="222222"/>
          <w:lang w:eastAsia="tr-TR"/>
        </w:rPr>
        <w:lastRenderedPageBreak/>
        <w:t>süreyle 3 kez yıkama,</w:t>
      </w:r>
      <w:r w:rsidRPr="0010154F">
        <w:rPr>
          <w:rFonts w:eastAsia="Times New Roman"/>
          <w:color w:val="222222"/>
          <w:lang w:eastAsia="tr-TR"/>
        </w:rPr>
        <w:t xml:space="preserve"> </w:t>
      </w:r>
      <w:r>
        <w:rPr>
          <w:rFonts w:eastAsia="Times New Roman"/>
          <w:color w:val="222222"/>
          <w:lang w:eastAsia="tr-TR"/>
        </w:rPr>
        <w:t xml:space="preserve">Distile su ile 31sn yıkama, </w:t>
      </w:r>
      <w:r w:rsidRPr="0010154F">
        <w:rPr>
          <w:rFonts w:eastAsia="Times New Roman"/>
          <w:color w:val="222222"/>
          <w:lang w:eastAsia="tr-TR"/>
        </w:rPr>
        <w:t xml:space="preserve">Wash Buffer 10 döngü </w:t>
      </w:r>
      <w:r>
        <w:rPr>
          <w:rFonts w:eastAsia="Times New Roman"/>
          <w:color w:val="222222"/>
          <w:lang w:eastAsia="tr-TR"/>
        </w:rPr>
        <w:t xml:space="preserve">ile </w:t>
      </w:r>
      <w:r w:rsidRPr="0010154F">
        <w:rPr>
          <w:rFonts w:eastAsia="Times New Roman"/>
          <w:color w:val="222222"/>
          <w:lang w:eastAsia="tr-TR"/>
        </w:rPr>
        <w:t xml:space="preserve">2 dk </w:t>
      </w:r>
      <w:r>
        <w:rPr>
          <w:rFonts w:eastAsia="Times New Roman"/>
          <w:color w:val="222222"/>
          <w:lang w:eastAsia="tr-TR"/>
        </w:rPr>
        <w:t xml:space="preserve">yıkama, substrat ile 5dk inkübasyon, </w:t>
      </w:r>
      <w:r w:rsidRPr="0010154F">
        <w:rPr>
          <w:rFonts w:eastAsia="Times New Roman"/>
          <w:color w:val="222222"/>
          <w:lang w:eastAsia="tr-TR"/>
        </w:rPr>
        <w:t xml:space="preserve">Wash Buffer 10 döngü 2 dk </w:t>
      </w:r>
      <w:r>
        <w:rPr>
          <w:rFonts w:eastAsia="Times New Roman"/>
          <w:color w:val="222222"/>
          <w:lang w:eastAsia="tr-TR"/>
        </w:rPr>
        <w:t xml:space="preserve">yıkama, distile su ile 31 sn yıkama, </w:t>
      </w:r>
      <w:r w:rsidRPr="0010154F">
        <w:rPr>
          <w:rFonts w:eastAsia="Times New Roman"/>
          <w:color w:val="222222"/>
          <w:lang w:eastAsia="tr-TR"/>
        </w:rPr>
        <w:t xml:space="preserve">Wash Buffer 10 döngü </w:t>
      </w:r>
      <w:r>
        <w:rPr>
          <w:rFonts w:eastAsia="Times New Roman"/>
          <w:color w:val="222222"/>
          <w:lang w:eastAsia="tr-TR"/>
        </w:rPr>
        <w:t xml:space="preserve">ile </w:t>
      </w:r>
      <w:r w:rsidRPr="0010154F">
        <w:rPr>
          <w:rFonts w:eastAsia="Times New Roman"/>
          <w:color w:val="222222"/>
          <w:lang w:eastAsia="tr-TR"/>
        </w:rPr>
        <w:t xml:space="preserve">2 dk </w:t>
      </w:r>
      <w:r>
        <w:rPr>
          <w:rFonts w:eastAsia="Times New Roman"/>
          <w:color w:val="222222"/>
          <w:lang w:eastAsia="tr-TR"/>
        </w:rPr>
        <w:t xml:space="preserve">yıkamadan sonra karşıt boyama için Dako marka Hemotoksilende 8 dk bekletme sonrası distile su ile 2 dk yıkama, </w:t>
      </w:r>
      <w:r w:rsidRPr="0010154F">
        <w:rPr>
          <w:rFonts w:eastAsia="Times New Roman"/>
          <w:color w:val="222222"/>
          <w:lang w:eastAsia="tr-TR"/>
        </w:rPr>
        <w:t xml:space="preserve">Wash Buffer 10 döngü </w:t>
      </w:r>
      <w:r>
        <w:rPr>
          <w:rFonts w:eastAsia="Times New Roman"/>
          <w:color w:val="222222"/>
          <w:lang w:eastAsia="tr-TR"/>
        </w:rPr>
        <w:t xml:space="preserve">ile </w:t>
      </w:r>
      <w:r w:rsidRPr="0010154F">
        <w:rPr>
          <w:rFonts w:eastAsia="Times New Roman"/>
          <w:color w:val="222222"/>
          <w:lang w:eastAsia="tr-TR"/>
        </w:rPr>
        <w:t xml:space="preserve">2 dk </w:t>
      </w:r>
      <w:r>
        <w:rPr>
          <w:rFonts w:eastAsia="Times New Roman"/>
          <w:color w:val="222222"/>
          <w:lang w:eastAsia="tr-TR"/>
        </w:rPr>
        <w:t xml:space="preserve">yıkama yapıldıktan sonra alkole daldırılıp </w:t>
      </w:r>
      <w:r w:rsidRPr="00BE210E">
        <w:rPr>
          <w:rFonts w:eastAsia="Times New Roman"/>
          <w:color w:val="222222"/>
          <w:lang w:eastAsia="tr-TR"/>
        </w:rPr>
        <w:t>lamel ile kapama işlemi Leica CV 5030 otomatik lam kapama cihazı ile yapıldı.</w:t>
      </w:r>
    </w:p>
    <w:p w14:paraId="31CB270B" w14:textId="77777777" w:rsidR="00F7216E" w:rsidRDefault="00F7216E" w:rsidP="000768FA">
      <w:pPr>
        <w:rPr>
          <w:rFonts w:eastAsia="Times New Roman"/>
          <w:color w:val="222222"/>
          <w:lang w:eastAsia="tr-TR"/>
        </w:rPr>
      </w:pPr>
      <w:r w:rsidRPr="00361C1F">
        <w:rPr>
          <w:rFonts w:eastAsia="Times New Roman"/>
          <w:bCs/>
          <w:color w:val="222222"/>
          <w:lang w:eastAsia="tr-TR"/>
        </w:rPr>
        <w:t>İmmunhistokimyasal boyamanın değerlendirilmesi</w:t>
      </w:r>
      <w:r w:rsidRPr="00F7216E">
        <w:rPr>
          <w:rFonts w:eastAsia="Times New Roman"/>
          <w:b/>
          <w:bCs/>
          <w:color w:val="222222"/>
          <w:lang w:eastAsia="tr-TR"/>
        </w:rPr>
        <w:t>;</w:t>
      </w:r>
      <w:r>
        <w:rPr>
          <w:rFonts w:eastAsia="Times New Roman"/>
          <w:b/>
          <w:bCs/>
          <w:color w:val="222222"/>
          <w:lang w:eastAsia="tr-TR"/>
        </w:rPr>
        <w:t xml:space="preserve"> </w:t>
      </w:r>
      <w:r w:rsidRPr="0004758C">
        <w:rPr>
          <w:rFonts w:eastAsia="Times New Roman"/>
          <w:color w:val="222222"/>
          <w:lang w:eastAsia="tr-TR"/>
        </w:rPr>
        <w:t xml:space="preserve">Olympus </w:t>
      </w:r>
      <w:r>
        <w:rPr>
          <w:rFonts w:eastAsia="Times New Roman"/>
          <w:color w:val="222222"/>
          <w:lang w:eastAsia="tr-TR"/>
        </w:rPr>
        <w:t>BX50</w:t>
      </w:r>
      <w:r w:rsidRPr="0004758C">
        <w:rPr>
          <w:rFonts w:eastAsia="Times New Roman"/>
          <w:color w:val="222222"/>
          <w:lang w:eastAsia="tr-TR"/>
        </w:rPr>
        <w:t xml:space="preserve"> ışık mikroskobunda, 400x (40x objektif lens, 10x okuler lens, 0,</w:t>
      </w:r>
      <w:r>
        <w:rPr>
          <w:rFonts w:eastAsia="Times New Roman"/>
          <w:color w:val="222222"/>
          <w:lang w:eastAsia="tr-TR"/>
        </w:rPr>
        <w:t>2375</w:t>
      </w:r>
      <w:r w:rsidRPr="0004758C">
        <w:rPr>
          <w:rFonts w:eastAsia="Times New Roman"/>
          <w:color w:val="222222"/>
          <w:lang w:eastAsia="tr-TR"/>
        </w:rPr>
        <w:t xml:space="preserve"> mm²) büyütmede yapıldı.</w:t>
      </w:r>
      <w:r>
        <w:rPr>
          <w:rFonts w:eastAsia="Times New Roman"/>
          <w:color w:val="222222"/>
          <w:lang w:eastAsia="tr-TR"/>
        </w:rPr>
        <w:t xml:space="preserve"> </w:t>
      </w:r>
      <w:r w:rsidRPr="0004758C">
        <w:rPr>
          <w:rFonts w:eastAsia="Times New Roman"/>
          <w:color w:val="222222"/>
          <w:lang w:eastAsia="tr-TR"/>
        </w:rPr>
        <w:t xml:space="preserve">İmmunohistokimyasal incelemede </w:t>
      </w:r>
      <w:r>
        <w:rPr>
          <w:rFonts w:eastAsia="Times New Roman"/>
          <w:color w:val="222222"/>
          <w:lang w:eastAsia="tr-TR"/>
        </w:rPr>
        <w:t xml:space="preserve">CK7 </w:t>
      </w:r>
      <w:r w:rsidRPr="0004758C">
        <w:rPr>
          <w:rFonts w:eastAsia="Times New Roman"/>
          <w:color w:val="222222"/>
          <w:lang w:eastAsia="tr-TR"/>
        </w:rPr>
        <w:t xml:space="preserve">pozitifliği </w:t>
      </w:r>
      <w:r>
        <w:rPr>
          <w:rFonts w:eastAsia="Times New Roman"/>
          <w:color w:val="222222"/>
          <w:lang w:eastAsia="tr-TR"/>
        </w:rPr>
        <w:t>sitoplazmik</w:t>
      </w:r>
      <w:r w:rsidRPr="0004758C">
        <w:rPr>
          <w:rFonts w:eastAsia="Times New Roman"/>
          <w:color w:val="222222"/>
          <w:lang w:eastAsia="tr-TR"/>
        </w:rPr>
        <w:t xml:space="preserve"> boyanma olarak izlendi. </w:t>
      </w:r>
      <w:r w:rsidR="000768FA">
        <w:rPr>
          <w:rFonts w:eastAsia="Times New Roman"/>
          <w:color w:val="222222"/>
          <w:lang w:eastAsia="tr-TR"/>
        </w:rPr>
        <w:t xml:space="preserve"> </w:t>
      </w:r>
      <w:r w:rsidRPr="0004758C">
        <w:rPr>
          <w:rFonts w:eastAsia="Times New Roman"/>
          <w:color w:val="222222"/>
          <w:lang w:eastAsia="tr-TR"/>
        </w:rPr>
        <w:t xml:space="preserve">İmmunohistokimyasal incelemede </w:t>
      </w:r>
      <w:r>
        <w:rPr>
          <w:rFonts w:eastAsia="Times New Roman"/>
          <w:color w:val="222222"/>
          <w:lang w:eastAsia="tr-TR"/>
        </w:rPr>
        <w:t>C4d pozitifliği portal mikrovasküler endotelde sitoplazmik</w:t>
      </w:r>
      <w:r w:rsidRPr="0004758C">
        <w:rPr>
          <w:rFonts w:eastAsia="Times New Roman"/>
          <w:color w:val="222222"/>
          <w:lang w:eastAsia="tr-TR"/>
        </w:rPr>
        <w:t xml:space="preserve"> boyanma olarak izlendi. </w:t>
      </w:r>
    </w:p>
    <w:p w14:paraId="58834811" w14:textId="77777777" w:rsidR="00152ED6" w:rsidRPr="0004758C" w:rsidRDefault="00152ED6" w:rsidP="000768FA">
      <w:pPr>
        <w:rPr>
          <w:rFonts w:eastAsia="Times New Roman"/>
          <w:color w:val="222222"/>
          <w:lang w:eastAsia="tr-TR"/>
        </w:rPr>
      </w:pPr>
    </w:p>
    <w:p w14:paraId="31CB270E" w14:textId="6477A034" w:rsidR="00905C7B" w:rsidRDefault="00AF0F57" w:rsidP="002731F7">
      <w:pPr>
        <w:pStyle w:val="Balk3"/>
        <w:numPr>
          <w:ilvl w:val="0"/>
          <w:numId w:val="0"/>
        </w:numPr>
        <w:ind w:left="720"/>
        <w:rPr>
          <w:color w:val="FF0000"/>
        </w:rPr>
      </w:pPr>
      <w:bookmarkStart w:id="535" w:name="_Toc55727842"/>
      <w:r>
        <w:t xml:space="preserve">Elektron </w:t>
      </w:r>
      <w:r w:rsidR="00166D5E">
        <w:t>M</w:t>
      </w:r>
      <w:r>
        <w:t>ikroskopi</w:t>
      </w:r>
      <w:bookmarkEnd w:id="535"/>
      <w:r w:rsidR="00166D5E">
        <w:t>si</w:t>
      </w:r>
    </w:p>
    <w:p w14:paraId="31CB2710" w14:textId="256594CF" w:rsidR="009270EB" w:rsidRDefault="009270EB" w:rsidP="009270EB">
      <w:pPr>
        <w:autoSpaceDE w:val="0"/>
        <w:autoSpaceDN w:val="0"/>
        <w:adjustRightInd w:val="0"/>
        <w:rPr>
          <w:szCs w:val="24"/>
        </w:rPr>
      </w:pPr>
      <w:r w:rsidRPr="002B069B">
        <w:rPr>
          <w:szCs w:val="24"/>
        </w:rPr>
        <w:t xml:space="preserve">Elektron mikroskobik inceleme için alınan 2x2x2 mm boyutlarında karaciğer doku örnekleri +4 </w:t>
      </w:r>
      <w:r w:rsidRPr="002B069B">
        <w:rPr>
          <w:szCs w:val="24"/>
          <w:vertAlign w:val="superscript"/>
        </w:rPr>
        <w:t>o</w:t>
      </w:r>
      <w:r w:rsidR="00B0144B">
        <w:rPr>
          <w:szCs w:val="24"/>
        </w:rPr>
        <w:t>C’de %2,5 gluteraldehit (3 saat) ve %</w:t>
      </w:r>
      <w:r w:rsidRPr="002B069B">
        <w:rPr>
          <w:szCs w:val="24"/>
        </w:rPr>
        <w:t>1 osmium tetroksit (OsO</w:t>
      </w:r>
      <w:r w:rsidRPr="002B069B">
        <w:rPr>
          <w:szCs w:val="24"/>
          <w:vertAlign w:val="subscript"/>
        </w:rPr>
        <w:t>4</w:t>
      </w:r>
      <w:r w:rsidRPr="002B069B">
        <w:rPr>
          <w:szCs w:val="24"/>
        </w:rPr>
        <w:t xml:space="preserve">) (2 saat) ile tespit edildikten sonra artan derecelerdeki aseton serilerinde (%30, %50, %70, %80, %96, %100)  dehidrate edildi. Dehidratasyonu tamamlanan karaciğer doku örneklerine epoxy resin (Araldit CY212) infiltrasyonu uygulandı ve sonrasında doku örnekleri epoxy resin içine gömülerek polimerizasyon işlemi uygulandı. Elektron mikroskobik doku takip işlemleri tam otomatik elektron </w:t>
      </w:r>
      <w:r w:rsidR="00996CBF" w:rsidRPr="002B069B">
        <w:rPr>
          <w:szCs w:val="24"/>
        </w:rPr>
        <w:t>mikroskobik</w:t>
      </w:r>
      <w:r w:rsidRPr="002B069B">
        <w:rPr>
          <w:szCs w:val="24"/>
        </w:rPr>
        <w:t xml:space="preserve"> doku takip cihazında (Leica EM AMV) yapıldı.</w:t>
      </w:r>
      <w:r>
        <w:rPr>
          <w:szCs w:val="24"/>
        </w:rPr>
        <w:t xml:space="preserve"> </w:t>
      </w:r>
    </w:p>
    <w:p w14:paraId="31CB2711" w14:textId="77777777" w:rsidR="009270EB" w:rsidRPr="002B069B" w:rsidRDefault="009270EB" w:rsidP="009270EB">
      <w:pPr>
        <w:autoSpaceDE w:val="0"/>
        <w:autoSpaceDN w:val="0"/>
        <w:adjustRightInd w:val="0"/>
        <w:rPr>
          <w:rStyle w:val="Vurgu"/>
          <w:i w:val="0"/>
        </w:rPr>
      </w:pPr>
      <w:r w:rsidRPr="002B069B">
        <w:rPr>
          <w:szCs w:val="24"/>
        </w:rPr>
        <w:t xml:space="preserve">Polimerizasyon sonucunda elde edilen Araldit bloklar içindeki karaciğer doku örneklerinin yüzeyi ve sınırları trimer cihazı (Leica EM TRIM) ile açıldıktan sonra ultramikrotom (Leica Ultracut R) ile 70 nm kalınlığında alınan kesitler bakır gridler (Electron microscopy Sciences-EMS, G200-Cu) üzerine yerleştirildi. Gridler üzerindeki kesitler uranil asetat ve kurşun sitrat ile kontrastlama işlemini takiben Zeiss Libra 120 </w:t>
      </w:r>
      <w:r w:rsidRPr="009270EB">
        <w:rPr>
          <w:rStyle w:val="Vurgu"/>
          <w:i w:val="0"/>
        </w:rPr>
        <w:t>Transmission elektron mikroskop</w:t>
      </w:r>
      <w:r w:rsidRPr="009270EB">
        <w:rPr>
          <w:rStyle w:val="st"/>
          <w:i/>
        </w:rPr>
        <w:t xml:space="preserve"> (</w:t>
      </w:r>
      <w:r w:rsidRPr="009270EB">
        <w:rPr>
          <w:rStyle w:val="Vurgu"/>
          <w:i w:val="0"/>
        </w:rPr>
        <w:t>TEM) ile incelenerek fotoğraflar alındı.</w:t>
      </w:r>
    </w:p>
    <w:p w14:paraId="31CB2712" w14:textId="77777777" w:rsidR="009270EB" w:rsidRDefault="009270EB" w:rsidP="009270EB">
      <w:pPr>
        <w:rPr>
          <w:szCs w:val="24"/>
        </w:rPr>
      </w:pPr>
      <w:r w:rsidRPr="002B069B">
        <w:rPr>
          <w:szCs w:val="24"/>
        </w:rPr>
        <w:t>Karaciğer kesitlerinin elektron mikroskobik incelenmesinde hepatositlerdeki lipid vakuolü, hidropik</w:t>
      </w:r>
      <w:r>
        <w:rPr>
          <w:szCs w:val="24"/>
        </w:rPr>
        <w:t xml:space="preserve"> </w:t>
      </w:r>
      <w:r w:rsidRPr="002B069B">
        <w:rPr>
          <w:szCs w:val="24"/>
        </w:rPr>
        <w:t>vakuol-intraselüler ödem, lizozom-fagozom, mitokondri hasarı (dilatasyon, matriks yoğunlaşması ve piknoz, krista hasarı, krista</w:t>
      </w:r>
      <w:r>
        <w:rPr>
          <w:szCs w:val="24"/>
        </w:rPr>
        <w:t>loid birikimi, şekil bozukluğu)</w:t>
      </w:r>
      <w:r w:rsidRPr="002B069B">
        <w:rPr>
          <w:szCs w:val="24"/>
        </w:rPr>
        <w:t>, hepatosit</w:t>
      </w:r>
      <w:r>
        <w:rPr>
          <w:szCs w:val="24"/>
        </w:rPr>
        <w:t>-</w:t>
      </w:r>
      <w:r w:rsidRPr="002B069B">
        <w:rPr>
          <w:szCs w:val="24"/>
        </w:rPr>
        <w:t xml:space="preserve">nukleus şekil deformasyonu (nukleus konturlarında ondulasyon, </w:t>
      </w:r>
      <w:r>
        <w:rPr>
          <w:szCs w:val="24"/>
        </w:rPr>
        <w:t>-</w:t>
      </w:r>
      <w:r w:rsidRPr="002B069B">
        <w:rPr>
          <w:szCs w:val="24"/>
        </w:rPr>
        <w:t>girinti çıkıntı ve parçalı nukleus yapısı</w:t>
      </w:r>
      <w:r>
        <w:rPr>
          <w:szCs w:val="24"/>
        </w:rPr>
        <w:t>-</w:t>
      </w:r>
      <w:r w:rsidRPr="002B069B">
        <w:rPr>
          <w:szCs w:val="24"/>
        </w:rPr>
        <w:t>), hepatosit nekrozu, Disse aralığında kollaps, sinuzoid endotel hasarı, safra kanalikül hasarı (kollaps, oklüzyon, mikrovillus ve membran hasarı)  v</w:t>
      </w:r>
      <w:r w:rsidR="003D2A09">
        <w:rPr>
          <w:szCs w:val="24"/>
        </w:rPr>
        <w:t>e fibrozis bulguları skorlandı.</w:t>
      </w:r>
    </w:p>
    <w:p w14:paraId="31CB2716" w14:textId="77777777" w:rsidR="009270EB" w:rsidRDefault="009270EB" w:rsidP="009270EB">
      <w:pPr>
        <w:rPr>
          <w:szCs w:val="24"/>
        </w:rPr>
      </w:pPr>
      <w:r w:rsidRPr="002B069B">
        <w:rPr>
          <w:szCs w:val="24"/>
        </w:rPr>
        <w:lastRenderedPageBreak/>
        <w:t xml:space="preserve">Skorlama sisteminde hasar bulguları </w:t>
      </w:r>
      <w:r w:rsidRPr="00031DBB">
        <w:rPr>
          <w:b/>
          <w:bCs/>
          <w:szCs w:val="24"/>
        </w:rPr>
        <w:t>şiddet açısından</w:t>
      </w:r>
      <w:r>
        <w:rPr>
          <w:szCs w:val="24"/>
        </w:rPr>
        <w:t xml:space="preserve"> şöyle değerlendirildi:</w:t>
      </w:r>
    </w:p>
    <w:tbl>
      <w:tblPr>
        <w:tblStyle w:val="DzTablo1"/>
        <w:tblW w:w="0" w:type="auto"/>
        <w:tblInd w:w="723" w:type="dxa"/>
        <w:tblLook w:val="04A0" w:firstRow="1" w:lastRow="0" w:firstColumn="1" w:lastColumn="0" w:noHBand="0" w:noVBand="1"/>
      </w:tblPr>
      <w:tblGrid>
        <w:gridCol w:w="2547"/>
      </w:tblGrid>
      <w:tr w:rsidR="00DA7AF3" w:rsidRPr="00DA7AF3" w14:paraId="31CB2718" w14:textId="77777777" w:rsidTr="00152E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1CB2717" w14:textId="77777777" w:rsidR="00DA7AF3" w:rsidRPr="00DA7AF3" w:rsidRDefault="00DA7AF3" w:rsidP="00044AE9">
            <w:pPr>
              <w:ind w:firstLine="0"/>
              <w:rPr>
                <w:b w:val="0"/>
                <w:szCs w:val="24"/>
              </w:rPr>
            </w:pPr>
            <w:r>
              <w:rPr>
                <w:b w:val="0"/>
                <w:szCs w:val="24"/>
              </w:rPr>
              <w:t>0: Hasar yok</w:t>
            </w:r>
          </w:p>
        </w:tc>
      </w:tr>
      <w:tr w:rsidR="00DA7AF3" w:rsidRPr="00DA7AF3" w14:paraId="31CB271A" w14:textId="77777777" w:rsidTr="00152E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1CB2719" w14:textId="77777777" w:rsidR="00DA7AF3" w:rsidRPr="00DA7AF3" w:rsidRDefault="00DA7AF3" w:rsidP="00044AE9">
            <w:pPr>
              <w:ind w:firstLine="0"/>
              <w:rPr>
                <w:b w:val="0"/>
                <w:szCs w:val="24"/>
              </w:rPr>
            </w:pPr>
            <w:r>
              <w:rPr>
                <w:b w:val="0"/>
                <w:szCs w:val="24"/>
              </w:rPr>
              <w:t>1: Hafif hasar</w:t>
            </w:r>
          </w:p>
        </w:tc>
      </w:tr>
      <w:tr w:rsidR="00DA7AF3" w:rsidRPr="00DA7AF3" w14:paraId="31CB271C" w14:textId="77777777" w:rsidTr="00152ED6">
        <w:tc>
          <w:tcPr>
            <w:cnfStyle w:val="001000000000" w:firstRow="0" w:lastRow="0" w:firstColumn="1" w:lastColumn="0" w:oddVBand="0" w:evenVBand="0" w:oddHBand="0" w:evenHBand="0" w:firstRowFirstColumn="0" w:firstRowLastColumn="0" w:lastRowFirstColumn="0" w:lastRowLastColumn="0"/>
            <w:tcW w:w="2547" w:type="dxa"/>
          </w:tcPr>
          <w:p w14:paraId="31CB271B" w14:textId="77777777" w:rsidR="00DA7AF3" w:rsidRPr="00DA7AF3" w:rsidRDefault="00DA7AF3" w:rsidP="00044AE9">
            <w:pPr>
              <w:ind w:firstLine="0"/>
              <w:rPr>
                <w:b w:val="0"/>
                <w:szCs w:val="24"/>
              </w:rPr>
            </w:pPr>
            <w:r w:rsidRPr="00DA7AF3">
              <w:rPr>
                <w:b w:val="0"/>
                <w:szCs w:val="24"/>
              </w:rPr>
              <w:t xml:space="preserve">2: Orta </w:t>
            </w:r>
            <w:r w:rsidR="003D2A09" w:rsidRPr="00DA7AF3">
              <w:rPr>
                <w:b w:val="0"/>
                <w:szCs w:val="24"/>
              </w:rPr>
              <w:t>derec</w:t>
            </w:r>
            <w:r w:rsidR="003D2A09">
              <w:rPr>
                <w:b w:val="0"/>
                <w:szCs w:val="24"/>
              </w:rPr>
              <w:t>ede</w:t>
            </w:r>
            <w:r>
              <w:rPr>
                <w:b w:val="0"/>
                <w:szCs w:val="24"/>
              </w:rPr>
              <w:t xml:space="preserve"> hasar</w:t>
            </w:r>
          </w:p>
        </w:tc>
      </w:tr>
      <w:tr w:rsidR="00DA7AF3" w:rsidRPr="00DA7AF3" w14:paraId="31CB271E" w14:textId="77777777" w:rsidTr="00152E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1CB271D" w14:textId="77777777" w:rsidR="00DA7AF3" w:rsidRPr="00DA7AF3" w:rsidRDefault="00DA7AF3" w:rsidP="00044AE9">
            <w:pPr>
              <w:ind w:firstLine="0"/>
              <w:rPr>
                <w:b w:val="0"/>
                <w:szCs w:val="24"/>
              </w:rPr>
            </w:pPr>
            <w:r w:rsidRPr="00DA7AF3">
              <w:rPr>
                <w:b w:val="0"/>
                <w:szCs w:val="24"/>
              </w:rPr>
              <w:t>3: Şiddetli hasar</w:t>
            </w:r>
          </w:p>
        </w:tc>
      </w:tr>
    </w:tbl>
    <w:p w14:paraId="6B1DFA97" w14:textId="77777777" w:rsidR="009F556C" w:rsidRDefault="009F556C" w:rsidP="009270EB">
      <w:pPr>
        <w:rPr>
          <w:szCs w:val="24"/>
        </w:rPr>
      </w:pPr>
    </w:p>
    <w:p w14:paraId="78236BDD" w14:textId="77777777" w:rsidR="009F556C" w:rsidRDefault="009F556C" w:rsidP="009270EB">
      <w:pPr>
        <w:rPr>
          <w:szCs w:val="24"/>
        </w:rPr>
      </w:pPr>
    </w:p>
    <w:p w14:paraId="31CB2720" w14:textId="0F6D31D9" w:rsidR="009270EB" w:rsidRDefault="009270EB" w:rsidP="009270EB">
      <w:pPr>
        <w:rPr>
          <w:szCs w:val="24"/>
        </w:rPr>
      </w:pPr>
      <w:r>
        <w:rPr>
          <w:szCs w:val="24"/>
        </w:rPr>
        <w:t>H</w:t>
      </w:r>
      <w:r w:rsidRPr="002B069B">
        <w:rPr>
          <w:szCs w:val="24"/>
        </w:rPr>
        <w:t xml:space="preserve">asar </w:t>
      </w:r>
      <w:r>
        <w:rPr>
          <w:szCs w:val="24"/>
        </w:rPr>
        <w:t xml:space="preserve">bulgusunun </w:t>
      </w:r>
      <w:r w:rsidRPr="00031DBB">
        <w:rPr>
          <w:b/>
          <w:bCs/>
          <w:szCs w:val="24"/>
        </w:rPr>
        <w:t>yaygınlığı açısından</w:t>
      </w:r>
      <w:r>
        <w:rPr>
          <w:szCs w:val="24"/>
        </w:rPr>
        <w:t xml:space="preserve"> şöyle değerlendirildi:</w:t>
      </w:r>
    </w:p>
    <w:tbl>
      <w:tblPr>
        <w:tblStyle w:val="DzTablo1"/>
        <w:tblW w:w="6047" w:type="dxa"/>
        <w:tblInd w:w="522" w:type="dxa"/>
        <w:tblLook w:val="04A0" w:firstRow="1" w:lastRow="0" w:firstColumn="1" w:lastColumn="0" w:noHBand="0" w:noVBand="1"/>
      </w:tblPr>
      <w:tblGrid>
        <w:gridCol w:w="943"/>
        <w:gridCol w:w="2191"/>
        <w:gridCol w:w="2913"/>
      </w:tblGrid>
      <w:tr w:rsidR="001828DF" w:rsidRPr="00DA7AF3" w14:paraId="31CB2726" w14:textId="77777777" w:rsidTr="00152ED6">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nil"/>
            </w:tcBorders>
          </w:tcPr>
          <w:p w14:paraId="31CB2721" w14:textId="77777777" w:rsidR="001828DF" w:rsidRPr="001828DF" w:rsidRDefault="001828DF" w:rsidP="00147A80">
            <w:pPr>
              <w:ind w:firstLine="0"/>
              <w:jc w:val="left"/>
              <w:rPr>
                <w:szCs w:val="24"/>
              </w:rPr>
            </w:pPr>
            <w:r w:rsidRPr="001828DF">
              <w:rPr>
                <w:szCs w:val="24"/>
              </w:rPr>
              <w:t>Derece</w:t>
            </w:r>
          </w:p>
        </w:tc>
        <w:tc>
          <w:tcPr>
            <w:tcW w:w="0" w:type="auto"/>
            <w:tcBorders>
              <w:top w:val="single" w:sz="4" w:space="0" w:color="auto"/>
              <w:left w:val="nil"/>
              <w:bottom w:val="single" w:sz="4" w:space="0" w:color="auto"/>
              <w:right w:val="nil"/>
            </w:tcBorders>
          </w:tcPr>
          <w:p w14:paraId="31CB2722" w14:textId="77777777" w:rsidR="001828DF" w:rsidRDefault="001828DF" w:rsidP="00147A80">
            <w:pPr>
              <w:ind w:firstLine="0"/>
              <w:jc w:val="center"/>
              <w:cnfStyle w:val="100000000000" w:firstRow="1" w:lastRow="0" w:firstColumn="0" w:lastColumn="0" w:oddVBand="0" w:evenVBand="0" w:oddHBand="0" w:evenHBand="0" w:firstRowFirstColumn="0" w:firstRowLastColumn="0" w:lastRowFirstColumn="0" w:lastRowLastColumn="0"/>
              <w:rPr>
                <w:szCs w:val="24"/>
              </w:rPr>
            </w:pPr>
            <w:r>
              <w:rPr>
                <w:szCs w:val="24"/>
              </w:rPr>
              <w:t xml:space="preserve">  </w:t>
            </w:r>
            <w:r w:rsidRPr="001828DF">
              <w:rPr>
                <w:szCs w:val="24"/>
              </w:rPr>
              <w:t>Hasarlı karaciğer</w:t>
            </w:r>
          </w:p>
          <w:p w14:paraId="31CB2723" w14:textId="77777777" w:rsidR="001828DF" w:rsidRPr="001828DF" w:rsidRDefault="001828DF" w:rsidP="00147A80">
            <w:pPr>
              <w:ind w:firstLine="0"/>
              <w:jc w:val="center"/>
              <w:cnfStyle w:val="100000000000" w:firstRow="1" w:lastRow="0" w:firstColumn="0" w:lastColumn="0" w:oddVBand="0" w:evenVBand="0" w:oddHBand="0" w:evenHBand="0" w:firstRowFirstColumn="0" w:firstRowLastColumn="0" w:lastRowFirstColumn="0" w:lastRowLastColumn="0"/>
              <w:rPr>
                <w:bCs w:val="0"/>
                <w:szCs w:val="24"/>
              </w:rPr>
            </w:pPr>
            <w:r w:rsidRPr="001828DF">
              <w:rPr>
                <w:szCs w:val="24"/>
              </w:rPr>
              <w:t>doku alanı</w:t>
            </w:r>
          </w:p>
        </w:tc>
        <w:tc>
          <w:tcPr>
            <w:tcW w:w="2913" w:type="dxa"/>
            <w:tcBorders>
              <w:top w:val="single" w:sz="4" w:space="0" w:color="auto"/>
              <w:left w:val="nil"/>
              <w:bottom w:val="single" w:sz="4" w:space="0" w:color="auto"/>
              <w:right w:val="single" w:sz="4" w:space="0" w:color="auto"/>
            </w:tcBorders>
          </w:tcPr>
          <w:p w14:paraId="31CB2724" w14:textId="77777777" w:rsidR="001828DF" w:rsidRDefault="001828DF" w:rsidP="00147A80">
            <w:pPr>
              <w:ind w:firstLine="0"/>
              <w:jc w:val="center"/>
              <w:cnfStyle w:val="100000000000" w:firstRow="1" w:lastRow="0" w:firstColumn="0" w:lastColumn="0" w:oddVBand="0" w:evenVBand="0" w:oddHBand="0" w:evenHBand="0" w:firstRowFirstColumn="0" w:firstRowLastColumn="0" w:lastRowFirstColumn="0" w:lastRowLastColumn="0"/>
              <w:rPr>
                <w:szCs w:val="24"/>
              </w:rPr>
            </w:pPr>
            <w:r w:rsidRPr="001828DF">
              <w:rPr>
                <w:szCs w:val="24"/>
              </w:rPr>
              <w:t>Yapılar ve</w:t>
            </w:r>
          </w:p>
          <w:p w14:paraId="31CB2725" w14:textId="77777777" w:rsidR="001828DF" w:rsidRPr="001828DF" w:rsidRDefault="001828DF" w:rsidP="00147A80">
            <w:pPr>
              <w:ind w:firstLine="0"/>
              <w:jc w:val="center"/>
              <w:cnfStyle w:val="100000000000" w:firstRow="1" w:lastRow="0" w:firstColumn="0" w:lastColumn="0" w:oddVBand="0" w:evenVBand="0" w:oddHBand="0" w:evenHBand="0" w:firstRowFirstColumn="0" w:firstRowLastColumn="0" w:lastRowFirstColumn="0" w:lastRowLastColumn="0"/>
              <w:rPr>
                <w:bCs w:val="0"/>
                <w:szCs w:val="24"/>
              </w:rPr>
            </w:pPr>
            <w:r w:rsidRPr="001828DF">
              <w:rPr>
                <w:szCs w:val="24"/>
              </w:rPr>
              <w:t>hepatositler</w:t>
            </w:r>
          </w:p>
        </w:tc>
      </w:tr>
      <w:tr w:rsidR="001828DF" w:rsidRPr="00DA7AF3" w14:paraId="31CB272A" w14:textId="77777777" w:rsidTr="00152ED6">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nil"/>
              <w:right w:val="nil"/>
            </w:tcBorders>
          </w:tcPr>
          <w:p w14:paraId="31CB2727" w14:textId="77777777" w:rsidR="001828DF" w:rsidRPr="00DA7AF3" w:rsidRDefault="001828DF" w:rsidP="00147A80">
            <w:pPr>
              <w:ind w:firstLine="0"/>
              <w:jc w:val="center"/>
              <w:rPr>
                <w:b w:val="0"/>
                <w:szCs w:val="24"/>
              </w:rPr>
            </w:pPr>
            <w:r>
              <w:rPr>
                <w:b w:val="0"/>
                <w:szCs w:val="24"/>
              </w:rPr>
              <w:t>1:</w:t>
            </w:r>
          </w:p>
        </w:tc>
        <w:tc>
          <w:tcPr>
            <w:tcW w:w="0" w:type="auto"/>
            <w:tcBorders>
              <w:top w:val="single" w:sz="4" w:space="0" w:color="auto"/>
              <w:left w:val="nil"/>
              <w:bottom w:val="nil"/>
              <w:right w:val="nil"/>
            </w:tcBorders>
          </w:tcPr>
          <w:p w14:paraId="31CB2728" w14:textId="77777777" w:rsidR="001828DF" w:rsidRPr="001828DF" w:rsidRDefault="001828DF" w:rsidP="00147A80">
            <w:pPr>
              <w:ind w:firstLine="0"/>
              <w:jc w:val="center"/>
              <w:cnfStyle w:val="000000100000" w:firstRow="0" w:lastRow="0" w:firstColumn="0" w:lastColumn="0" w:oddVBand="0" w:evenVBand="0" w:oddHBand="1" w:evenHBand="0" w:firstRowFirstColumn="0" w:firstRowLastColumn="0" w:lastRowFirstColumn="0" w:lastRowLastColumn="0"/>
              <w:rPr>
                <w:bCs/>
                <w:szCs w:val="24"/>
              </w:rPr>
            </w:pPr>
            <w:r w:rsidRPr="001828DF">
              <w:rPr>
                <w:szCs w:val="24"/>
              </w:rPr>
              <w:t>&lt; %10</w:t>
            </w:r>
          </w:p>
        </w:tc>
        <w:tc>
          <w:tcPr>
            <w:tcW w:w="2913" w:type="dxa"/>
            <w:tcBorders>
              <w:top w:val="single" w:sz="4" w:space="0" w:color="auto"/>
              <w:left w:val="nil"/>
              <w:bottom w:val="nil"/>
              <w:right w:val="single" w:sz="4" w:space="0" w:color="auto"/>
            </w:tcBorders>
          </w:tcPr>
          <w:p w14:paraId="31CB2729" w14:textId="77777777" w:rsidR="001828DF" w:rsidRPr="001828DF" w:rsidRDefault="001828DF" w:rsidP="00147A80">
            <w:pPr>
              <w:ind w:firstLine="0"/>
              <w:jc w:val="center"/>
              <w:cnfStyle w:val="000000100000" w:firstRow="0" w:lastRow="0" w:firstColumn="0" w:lastColumn="0" w:oddVBand="0" w:evenVBand="0" w:oddHBand="1" w:evenHBand="0" w:firstRowFirstColumn="0" w:firstRowLastColumn="0" w:lastRowFirstColumn="0" w:lastRowLastColumn="0"/>
              <w:rPr>
                <w:bCs/>
                <w:szCs w:val="24"/>
              </w:rPr>
            </w:pPr>
            <w:r w:rsidRPr="001828DF">
              <w:rPr>
                <w:szCs w:val="24"/>
              </w:rPr>
              <w:t>&lt; %10</w:t>
            </w:r>
          </w:p>
        </w:tc>
      </w:tr>
      <w:tr w:rsidR="001828DF" w:rsidRPr="00DA7AF3" w14:paraId="31CB272E" w14:textId="77777777" w:rsidTr="00152ED6">
        <w:trPr>
          <w:trHeight w:val="218"/>
        </w:trPr>
        <w:tc>
          <w:tcPr>
            <w:cnfStyle w:val="001000000000" w:firstRow="0" w:lastRow="0" w:firstColumn="1" w:lastColumn="0" w:oddVBand="0" w:evenVBand="0" w:oddHBand="0" w:evenHBand="0" w:firstRowFirstColumn="0" w:firstRowLastColumn="0" w:lastRowFirstColumn="0" w:lastRowLastColumn="0"/>
            <w:tcW w:w="0" w:type="auto"/>
            <w:tcBorders>
              <w:top w:val="nil"/>
              <w:left w:val="single" w:sz="4" w:space="0" w:color="auto"/>
              <w:bottom w:val="nil"/>
              <w:right w:val="nil"/>
            </w:tcBorders>
          </w:tcPr>
          <w:p w14:paraId="31CB272B" w14:textId="77777777" w:rsidR="001828DF" w:rsidRPr="00DA7AF3" w:rsidRDefault="001828DF" w:rsidP="00147A80">
            <w:pPr>
              <w:ind w:firstLine="0"/>
              <w:jc w:val="center"/>
              <w:rPr>
                <w:b w:val="0"/>
                <w:szCs w:val="24"/>
              </w:rPr>
            </w:pPr>
            <w:r>
              <w:rPr>
                <w:b w:val="0"/>
                <w:szCs w:val="24"/>
              </w:rPr>
              <w:t>2:</w:t>
            </w:r>
          </w:p>
        </w:tc>
        <w:tc>
          <w:tcPr>
            <w:tcW w:w="0" w:type="auto"/>
            <w:tcBorders>
              <w:top w:val="nil"/>
              <w:left w:val="nil"/>
              <w:bottom w:val="nil"/>
              <w:right w:val="nil"/>
            </w:tcBorders>
          </w:tcPr>
          <w:p w14:paraId="31CB272C" w14:textId="77777777" w:rsidR="001828DF" w:rsidRPr="001828DF" w:rsidRDefault="001828DF" w:rsidP="00147A80">
            <w:pPr>
              <w:ind w:firstLine="0"/>
              <w:jc w:val="center"/>
              <w:cnfStyle w:val="000000000000" w:firstRow="0" w:lastRow="0" w:firstColumn="0" w:lastColumn="0" w:oddVBand="0" w:evenVBand="0" w:oddHBand="0" w:evenHBand="0" w:firstRowFirstColumn="0" w:firstRowLastColumn="0" w:lastRowFirstColumn="0" w:lastRowLastColumn="0"/>
              <w:rPr>
                <w:bCs/>
                <w:szCs w:val="24"/>
              </w:rPr>
            </w:pPr>
            <w:r w:rsidRPr="001828DF">
              <w:rPr>
                <w:szCs w:val="24"/>
              </w:rPr>
              <w:t>&lt; %10</w:t>
            </w:r>
          </w:p>
        </w:tc>
        <w:tc>
          <w:tcPr>
            <w:tcW w:w="2913" w:type="dxa"/>
            <w:tcBorders>
              <w:top w:val="nil"/>
              <w:left w:val="nil"/>
              <w:bottom w:val="nil"/>
              <w:right w:val="single" w:sz="4" w:space="0" w:color="auto"/>
            </w:tcBorders>
          </w:tcPr>
          <w:p w14:paraId="31CB272D" w14:textId="77777777" w:rsidR="001828DF" w:rsidRPr="001828DF" w:rsidRDefault="001828DF" w:rsidP="00147A80">
            <w:pPr>
              <w:ind w:firstLine="0"/>
              <w:jc w:val="center"/>
              <w:cnfStyle w:val="000000000000" w:firstRow="0" w:lastRow="0" w:firstColumn="0" w:lastColumn="0" w:oddVBand="0" w:evenVBand="0" w:oddHBand="0" w:evenHBand="0" w:firstRowFirstColumn="0" w:firstRowLastColumn="0" w:lastRowFirstColumn="0" w:lastRowLastColumn="0"/>
              <w:rPr>
                <w:bCs/>
                <w:szCs w:val="24"/>
              </w:rPr>
            </w:pPr>
            <w:r w:rsidRPr="001828DF">
              <w:rPr>
                <w:szCs w:val="24"/>
              </w:rPr>
              <w:t>&lt; %20</w:t>
            </w:r>
          </w:p>
        </w:tc>
      </w:tr>
      <w:tr w:rsidR="001828DF" w:rsidRPr="00DA7AF3" w14:paraId="31CB2732" w14:textId="77777777" w:rsidTr="00152ED6">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0" w:type="auto"/>
            <w:tcBorders>
              <w:top w:val="nil"/>
              <w:left w:val="single" w:sz="4" w:space="0" w:color="auto"/>
              <w:bottom w:val="nil"/>
              <w:right w:val="nil"/>
            </w:tcBorders>
          </w:tcPr>
          <w:p w14:paraId="31CB272F" w14:textId="77777777" w:rsidR="001828DF" w:rsidRPr="00DA7AF3" w:rsidRDefault="001828DF" w:rsidP="00147A80">
            <w:pPr>
              <w:ind w:firstLine="0"/>
              <w:jc w:val="center"/>
              <w:rPr>
                <w:b w:val="0"/>
                <w:szCs w:val="24"/>
              </w:rPr>
            </w:pPr>
            <w:r>
              <w:rPr>
                <w:b w:val="0"/>
                <w:szCs w:val="24"/>
              </w:rPr>
              <w:t>3:</w:t>
            </w:r>
          </w:p>
        </w:tc>
        <w:tc>
          <w:tcPr>
            <w:tcW w:w="0" w:type="auto"/>
            <w:tcBorders>
              <w:top w:val="nil"/>
              <w:left w:val="nil"/>
              <w:bottom w:val="nil"/>
              <w:right w:val="nil"/>
            </w:tcBorders>
          </w:tcPr>
          <w:p w14:paraId="31CB2730" w14:textId="77777777" w:rsidR="001828DF" w:rsidRPr="001828DF" w:rsidRDefault="001828DF" w:rsidP="00147A80">
            <w:pPr>
              <w:ind w:firstLine="0"/>
              <w:jc w:val="center"/>
              <w:cnfStyle w:val="000000100000" w:firstRow="0" w:lastRow="0" w:firstColumn="0" w:lastColumn="0" w:oddVBand="0" w:evenVBand="0" w:oddHBand="1" w:evenHBand="0" w:firstRowFirstColumn="0" w:firstRowLastColumn="0" w:lastRowFirstColumn="0" w:lastRowLastColumn="0"/>
              <w:rPr>
                <w:bCs/>
                <w:szCs w:val="24"/>
              </w:rPr>
            </w:pPr>
            <w:r w:rsidRPr="001828DF">
              <w:rPr>
                <w:szCs w:val="24"/>
              </w:rPr>
              <w:t>&lt; %20</w:t>
            </w:r>
          </w:p>
        </w:tc>
        <w:tc>
          <w:tcPr>
            <w:tcW w:w="2913" w:type="dxa"/>
            <w:tcBorders>
              <w:top w:val="nil"/>
              <w:left w:val="nil"/>
              <w:bottom w:val="nil"/>
              <w:right w:val="single" w:sz="4" w:space="0" w:color="auto"/>
            </w:tcBorders>
          </w:tcPr>
          <w:p w14:paraId="31CB2731" w14:textId="77777777" w:rsidR="001828DF" w:rsidRPr="001828DF" w:rsidRDefault="001828DF" w:rsidP="00147A80">
            <w:pPr>
              <w:ind w:firstLine="0"/>
              <w:jc w:val="center"/>
              <w:cnfStyle w:val="000000100000" w:firstRow="0" w:lastRow="0" w:firstColumn="0" w:lastColumn="0" w:oddVBand="0" w:evenVBand="0" w:oddHBand="1" w:evenHBand="0" w:firstRowFirstColumn="0" w:firstRowLastColumn="0" w:lastRowFirstColumn="0" w:lastRowLastColumn="0"/>
              <w:rPr>
                <w:bCs/>
                <w:szCs w:val="24"/>
              </w:rPr>
            </w:pPr>
            <w:r w:rsidRPr="001828DF">
              <w:rPr>
                <w:szCs w:val="24"/>
              </w:rPr>
              <w:t>&lt; %40</w:t>
            </w:r>
          </w:p>
        </w:tc>
      </w:tr>
      <w:tr w:rsidR="001828DF" w:rsidRPr="00DA7AF3" w14:paraId="31CB2736" w14:textId="77777777" w:rsidTr="00152ED6">
        <w:trPr>
          <w:trHeight w:val="56"/>
        </w:trPr>
        <w:tc>
          <w:tcPr>
            <w:cnfStyle w:val="001000000000" w:firstRow="0" w:lastRow="0" w:firstColumn="1" w:lastColumn="0" w:oddVBand="0" w:evenVBand="0" w:oddHBand="0" w:evenHBand="0" w:firstRowFirstColumn="0" w:firstRowLastColumn="0" w:lastRowFirstColumn="0" w:lastRowLastColumn="0"/>
            <w:tcW w:w="0" w:type="auto"/>
            <w:tcBorders>
              <w:top w:val="nil"/>
              <w:left w:val="single" w:sz="4" w:space="0" w:color="auto"/>
              <w:bottom w:val="single" w:sz="4" w:space="0" w:color="auto"/>
              <w:right w:val="nil"/>
            </w:tcBorders>
          </w:tcPr>
          <w:p w14:paraId="31CB2733" w14:textId="77777777" w:rsidR="001828DF" w:rsidRPr="00DA7AF3" w:rsidRDefault="001828DF" w:rsidP="00147A80">
            <w:pPr>
              <w:ind w:firstLine="0"/>
              <w:jc w:val="center"/>
              <w:rPr>
                <w:b w:val="0"/>
                <w:szCs w:val="24"/>
              </w:rPr>
            </w:pPr>
            <w:r>
              <w:rPr>
                <w:b w:val="0"/>
                <w:szCs w:val="24"/>
              </w:rPr>
              <w:t>4:</w:t>
            </w:r>
          </w:p>
        </w:tc>
        <w:tc>
          <w:tcPr>
            <w:tcW w:w="0" w:type="auto"/>
            <w:tcBorders>
              <w:top w:val="nil"/>
              <w:left w:val="nil"/>
              <w:bottom w:val="single" w:sz="4" w:space="0" w:color="auto"/>
              <w:right w:val="nil"/>
            </w:tcBorders>
          </w:tcPr>
          <w:p w14:paraId="31CB2734" w14:textId="77777777" w:rsidR="001828DF" w:rsidRPr="001828DF" w:rsidRDefault="001828DF" w:rsidP="00147A80">
            <w:pPr>
              <w:ind w:firstLine="0"/>
              <w:jc w:val="center"/>
              <w:cnfStyle w:val="000000000000" w:firstRow="0" w:lastRow="0" w:firstColumn="0" w:lastColumn="0" w:oddVBand="0" w:evenVBand="0" w:oddHBand="0" w:evenHBand="0" w:firstRowFirstColumn="0" w:firstRowLastColumn="0" w:lastRowFirstColumn="0" w:lastRowLastColumn="0"/>
              <w:rPr>
                <w:bCs/>
                <w:szCs w:val="24"/>
              </w:rPr>
            </w:pPr>
            <w:r w:rsidRPr="001828DF">
              <w:rPr>
                <w:szCs w:val="24"/>
              </w:rPr>
              <w:t>&gt; %40</w:t>
            </w:r>
          </w:p>
        </w:tc>
        <w:tc>
          <w:tcPr>
            <w:tcW w:w="2913" w:type="dxa"/>
            <w:tcBorders>
              <w:top w:val="nil"/>
              <w:left w:val="nil"/>
              <w:bottom w:val="single" w:sz="4" w:space="0" w:color="auto"/>
              <w:right w:val="single" w:sz="4" w:space="0" w:color="auto"/>
            </w:tcBorders>
          </w:tcPr>
          <w:p w14:paraId="31CB2735" w14:textId="77777777" w:rsidR="001828DF" w:rsidRPr="001828DF" w:rsidRDefault="001828DF" w:rsidP="00147A80">
            <w:pPr>
              <w:ind w:firstLine="0"/>
              <w:jc w:val="center"/>
              <w:cnfStyle w:val="000000000000" w:firstRow="0" w:lastRow="0" w:firstColumn="0" w:lastColumn="0" w:oddVBand="0" w:evenVBand="0" w:oddHBand="0" w:evenHBand="0" w:firstRowFirstColumn="0" w:firstRowLastColumn="0" w:lastRowFirstColumn="0" w:lastRowLastColumn="0"/>
              <w:rPr>
                <w:bCs/>
                <w:szCs w:val="24"/>
              </w:rPr>
            </w:pPr>
            <w:r w:rsidRPr="001828DF">
              <w:rPr>
                <w:szCs w:val="24"/>
              </w:rPr>
              <w:t>&gt; %40</w:t>
            </w:r>
          </w:p>
        </w:tc>
      </w:tr>
    </w:tbl>
    <w:p w14:paraId="31CB2737" w14:textId="77777777" w:rsidR="009270EB" w:rsidRDefault="009270EB" w:rsidP="009270EB">
      <w:pPr>
        <w:rPr>
          <w:szCs w:val="24"/>
        </w:rPr>
      </w:pPr>
    </w:p>
    <w:p w14:paraId="31CB2738" w14:textId="709BEBF4" w:rsidR="009270EB" w:rsidRPr="00DA5540" w:rsidRDefault="009270EB" w:rsidP="00DA5540">
      <w:r w:rsidRPr="00DA5540">
        <w:t>Hasar şiddeti ve hasar yaygınlık derecesi skorları çarpılarak her bir hasar parametresine ait hasar skoru belirlendi. Ayrıca her karaciğer doku örneği için hasar parametreleri skorları toplanarak total ultrastrüktürel hasar skoru hesaplandı</w:t>
      </w:r>
      <w:r w:rsidR="00DA5540" w:rsidRPr="00DA5540">
        <w:t xml:space="preserve"> (Tablo 4.9).</w:t>
      </w:r>
      <w:r w:rsidRPr="00DA5540">
        <w:t xml:space="preserve"> Skorlama sistemi </w:t>
      </w:r>
      <w:r w:rsidR="00B915A8" w:rsidRPr="00DA5540">
        <w:fldChar w:fldCharType="begin" w:fldLock="1"/>
      </w:r>
      <w:r w:rsidR="0085653B">
        <w:instrText>ADDIN CSL_CITATION {"citationItems":[{"id":"ITEM-1","itemData":{"DOI":"10.1002/anr.1780321004","ISSN":"15290131","abstract":"We used electron microscopy (EM) to analyze 52 biopsy samples from 22 patients who were receiving long</w:instrText>
      </w:r>
      <w:r w:rsidR="0085653B">
        <w:rPr>
          <w:rFonts w:ascii="Cambria Math" w:hAnsi="Cambria Math" w:cs="Cambria Math"/>
        </w:rPr>
        <w:instrText>‐</w:instrText>
      </w:r>
      <w:r w:rsidR="0085653B">
        <w:instrText>term weekly oral doses of methotrexate (MTX) for the treatment of rheumatoid arthritis. Forty</w:instrText>
      </w:r>
      <w:r w:rsidR="0085653B">
        <w:rPr>
          <w:rFonts w:ascii="Cambria Math" w:hAnsi="Cambria Math" w:cs="Cambria Math"/>
        </w:rPr>
        <w:instrText>‐</w:instrText>
      </w:r>
      <w:r w:rsidR="0085653B">
        <w:instrText>eight biopsy samples were obtained after 2–6 years of continuous treatment, and 4 samples were obtained before treatment was begun. Specimens were graded for neutral fat, secondary and tertiary lysosomes, and smooth endoplasmic reticulum (SER) in hepatocytes, and for collagen in the perisinusoidal space (Disse's space). We examined the correlations between the EM findings and the light microscopic (LM) findings in the same biopsy specimens, and between the EM findings and the results of simultaneous monthly measures of aspartate transaminase, alkaline phosphatase, bilirubin, and albumin levels, as well as history of alcohol consumption before MTX treatment and monthly assessments of clinical status during the course of treatment. The presence of collagen was minimally increased in these sequential biopsy samples, whereas fat, lysosomes, and SER were decreased. The SER decrease was statistically significant. EM findings of collagen in the space of Disse did not correlate with early fibrotic changes observed with LM. Thus, after as long as 6 years of weekly oral treatment with MTX, hepatic ultrastructural changes are minimal and are not clinically significant. The use of EM for sequential biopsy studies allows the quantitation of long</w:instrText>
      </w:r>
      <w:r w:rsidR="0085653B">
        <w:rPr>
          <w:rFonts w:ascii="Cambria Math" w:hAnsi="Cambria Math" w:cs="Cambria Math"/>
        </w:rPr>
        <w:instrText>‐</w:instrText>
      </w:r>
      <w:r w:rsidR="0085653B">
        <w:instrText>term hepatic changes that may be more limited than the impression gained after LM analysis. Copyright © 1989 American College of Rheumatology","author":[{"dropping-particle":"","family":"Kremer","given":"Joel M.","non-dropping-particle":"","parse-names":false,"suffix":""},{"dropping-particle":"","family":"Kaye","given":"Gordon I.","non-dropping-particle":"","parse-names":false,"suffix":""}],"container-title":"Arthritis &amp; Rheumatism","id":"ITEM-1","issue":"10","issued":{"date-parts":[["1989","10","1"]]},"page":"1202-1213","publisher":"John Wiley &amp; Sons, Ltd","title":"Electron microscopic analysis of sequential liver biopsy samples from patients with rheumatoid arthritis. Correlation with light microscopic findings","type":"article-journal","volume":"32"},"uris":["http://www.mendeley.com/documents/?uuid=f42d5384-274d-4af4-8c33-d2789ab6910d"]}],"mendeley":{"formattedCitation":"(89)","plainTextFormattedCitation":"(89)","previouslyFormattedCitation":"(89)"},"properties":{"noteIndex":0},"schema":"https://github.com/citation-style-language/schema/raw/master/csl-citation.json"}</w:instrText>
      </w:r>
      <w:r w:rsidR="00B915A8" w:rsidRPr="00DA5540">
        <w:fldChar w:fldCharType="separate"/>
      </w:r>
      <w:r w:rsidR="0085653B" w:rsidRPr="0085653B">
        <w:rPr>
          <w:noProof/>
        </w:rPr>
        <w:t>(89)</w:t>
      </w:r>
      <w:r w:rsidR="00B915A8" w:rsidRPr="00DA5540">
        <w:fldChar w:fldCharType="end"/>
      </w:r>
      <w:r w:rsidR="00B915A8" w:rsidRPr="00DA5540">
        <w:t xml:space="preserve"> </w:t>
      </w:r>
      <w:r w:rsidRPr="00DA5540">
        <w:t>ve</w:t>
      </w:r>
      <w:r w:rsidR="00B915A8" w:rsidRPr="00DA5540">
        <w:t xml:space="preserve"> </w:t>
      </w:r>
      <w:r w:rsidR="00B915A8" w:rsidRPr="00DA5540">
        <w:fldChar w:fldCharType="begin" w:fldLock="1"/>
      </w:r>
      <w:r w:rsidR="0085653B">
        <w:instrText>ADDIN CSL_CITATION {"citationItems":[{"id":"ITEM-1","itemData":{"DOI":"10.3748/wjg.14.4897","ISSN":"10079327","PMID":"18756597","abstract":"Aim: To search the organelle based changes in hepatocytes after taurine treatment in experimental liver fibrosis induced by CCl4 administration. Methods: Thirty rats were divided into two groups. Group 1 (n = 15) was injected with CCl4 plus taurine and Group 2 (n = 15) with CCl4 plus saline for 12 wk. At the end of 12th wk, mitochondria, rough and smooth endoplasmic reticulum, and nuclei of hepatocytes were evaluated using a scoring system. The results were compared with histopathological findings, as well. Results: Taurine treatment reduced fibrosis scores significantly as compared to placebo. Organelle injury scores decreased significantly with taurine treatment. Ultrastructural and histopathological scores in both groups were in strong correlation (r = 0.931 for CCl4 plus taurine and r = 0.899 for CCl4 plus saline group). Conclusion: Organelle based transmission electron microscopy findings can reflect successfully histological results as well as tissue healing in hepatocytes from hepatotoxin-induced liver fibrosis. © 2008 The WJG Press. All rights reserved.","author":[{"dropping-particle":"","family":"Tasci","given":"Ilker","non-dropping-particle":"","parse-names":false,"suffix":""},{"dropping-particle":"","family":"Mas","given":"Nuket","non-dropping-particle":"","parse-names":false,"suffix":""},{"dropping-particle":"","family":"Mas","given":"Mehmet Refik","non-dropping-particle":"","parse-names":false,"suffix":""},{"dropping-particle":"","family":"Tuncer","given":"Murvet","non-dropping-particle":"","parse-names":false,"suffix":""},{"dropping-particle":"","family":"Comert","given":"Bilgin","non-dropping-particle":"","parse-names":false,"suffix":""}],"container-title":"World Journal of Gastroenterology","id":"ITEM-1","issue":"31","issued":{"date-parts":[["2008","8","21"]]},"page":"4897-4902","publisher":"Baishideng Publishing Group Inc","title":"Ultrastructural changes in hepatocytes after taurine treatment in CCI4 induced liver injury","type":"article-journal","volume":"14"},"uris":["http://www.mendeley.com/documents/?uuid=d9287076-5cf8-377b-91cb-fd51d0c3b8c4"]}],"mendeley":{"formattedCitation":"(90)","plainTextFormattedCitation":"(90)","previouslyFormattedCitation":"(90)"},"properties":{"noteIndex":0},"schema":"https://github.com/citation-style-language/schema/raw/master/csl-citation.json"}</w:instrText>
      </w:r>
      <w:r w:rsidR="00B915A8" w:rsidRPr="00DA5540">
        <w:fldChar w:fldCharType="separate"/>
      </w:r>
      <w:r w:rsidR="0085653B" w:rsidRPr="0085653B">
        <w:rPr>
          <w:noProof/>
        </w:rPr>
        <w:t>(90)</w:t>
      </w:r>
      <w:r w:rsidR="00B915A8" w:rsidRPr="00DA5540">
        <w:fldChar w:fldCharType="end"/>
      </w:r>
      <w:r w:rsidR="00EE36C1">
        <w:t xml:space="preserve"> referans numaralı çalışma</w:t>
      </w:r>
      <w:r w:rsidR="00B915A8" w:rsidRPr="00DA5540">
        <w:t xml:space="preserve"> </w:t>
      </w:r>
      <w:r w:rsidRPr="00DA5540">
        <w:t>modifikasyonları</w:t>
      </w:r>
      <w:r w:rsidR="00EE36C1">
        <w:t>na uygun</w:t>
      </w:r>
      <w:r w:rsidRPr="00DA5540">
        <w:t xml:space="preserve"> oluşturuldu. Maksimum total skor 120</w:t>
      </w:r>
      <w:r w:rsidR="00EE36C1">
        <w:t xml:space="preserve"> olarak belirlenmiştir.</w:t>
      </w:r>
    </w:p>
    <w:p w14:paraId="31CB2739" w14:textId="77777777" w:rsidR="00712FF7" w:rsidRPr="00B671C9" w:rsidRDefault="00712FF7" w:rsidP="00712FF7">
      <w:pPr>
        <w:rPr>
          <w:color w:val="000000"/>
          <w:szCs w:val="24"/>
        </w:rPr>
      </w:pPr>
    </w:p>
    <w:p w14:paraId="31CB273B" w14:textId="77777777" w:rsidR="00712FF7" w:rsidRPr="005C51D3" w:rsidRDefault="00712FF7" w:rsidP="00796992">
      <w:pPr>
        <w:pStyle w:val="Balk2"/>
        <w:numPr>
          <w:ilvl w:val="0"/>
          <w:numId w:val="0"/>
        </w:numPr>
        <w:ind w:left="576"/>
      </w:pPr>
      <w:bookmarkStart w:id="536" w:name="_Toc45265946"/>
      <w:bookmarkStart w:id="537" w:name="_Toc55727843"/>
      <w:r w:rsidRPr="00796992">
        <w:t>İstatistiksel Analiz</w:t>
      </w:r>
      <w:bookmarkEnd w:id="536"/>
      <w:bookmarkEnd w:id="537"/>
    </w:p>
    <w:p w14:paraId="0595DCA5" w14:textId="77777777" w:rsidR="00EB7473" w:rsidRPr="00EB7473" w:rsidRDefault="0043331E" w:rsidP="00796992">
      <w:r w:rsidRPr="00EB7473">
        <w:t>Bu çalışmada postoperatif abdominal sepsis gelişen hastalarda histopatolojik ve mikrobiyolojik değişkenlik oranının %95 güven düzeyinde (α=0,05) ve %80 güç (β=0,20) ile %20’ye karşı test edebilmek için etki büyüklüğü 0,64 olarak öngörüldüğünde çalışmaya alınması gereken minimum hasta sayısı 20 olarak hesaplanmıştır (MedCalc, Belçika).</w:t>
      </w:r>
    </w:p>
    <w:p w14:paraId="380E7BFB" w14:textId="5A42EA04" w:rsidR="00EB7473" w:rsidRPr="00EB7473" w:rsidRDefault="00AF0F57" w:rsidP="00796992">
      <w:r w:rsidRPr="00EB7473">
        <w:t xml:space="preserve">Devamlı değişkenlerin normal dağılımı Kormogov-Smirnov testi yapılarak değerlendirildi ve normal </w:t>
      </w:r>
      <w:r w:rsidR="00E00F85" w:rsidRPr="00EB7473">
        <w:t>dağılım</w:t>
      </w:r>
      <w:r w:rsidRPr="00EB7473">
        <w:t xml:space="preserve"> olmadığı tespit edildi. Bu nedenle </w:t>
      </w:r>
      <w:r w:rsidR="00EB7473" w:rsidRPr="00EB7473">
        <w:t>d</w:t>
      </w:r>
      <w:r w:rsidRPr="00EB7473">
        <w:t>evamlı değişkenler ortanca (Minimum, Maksi</w:t>
      </w:r>
      <w:r w:rsidR="00E00F85">
        <w:t>mum) olarak ifade edildi. Kateg</w:t>
      </w:r>
      <w:r w:rsidRPr="00EB7473">
        <w:t>o</w:t>
      </w:r>
      <w:r w:rsidR="00E00F85">
        <w:t>r</w:t>
      </w:r>
      <w:r w:rsidRPr="00EB7473">
        <w:t xml:space="preserve">ik değişkenler hasta sayısı ve çalışma popülasyonundaki yüzdeleri olarak ifade edildi. </w:t>
      </w:r>
    </w:p>
    <w:p w14:paraId="0AEA4780" w14:textId="49920D55" w:rsidR="00EB7473" w:rsidRPr="00EB7473" w:rsidRDefault="0043331E" w:rsidP="00796992">
      <w:r w:rsidRPr="00EB7473">
        <w:t xml:space="preserve">Mortaliteyi öngörmedeki etkinliğini değerlendirmek için </w:t>
      </w:r>
      <w:r w:rsidR="000F02A1" w:rsidRPr="000F02A1">
        <w:t>p&lt;0,2 olan parametrelere</w:t>
      </w:r>
      <w:r w:rsidR="000F02A1">
        <w:t xml:space="preserve"> </w:t>
      </w:r>
      <w:r w:rsidRPr="00EB7473">
        <w:t xml:space="preserve">Receiver Operator Characteristics (ROC) curve analizi uygulandı ve </w:t>
      </w:r>
      <w:r w:rsidR="00EB7473" w:rsidRPr="00EB7473">
        <w:t>eşik</w:t>
      </w:r>
      <w:r w:rsidRPr="00EB7473">
        <w:t xml:space="preserve"> değerleri belirlendi</w:t>
      </w:r>
      <w:r w:rsidR="000F02A1">
        <w:t xml:space="preserve"> ve bu değerlere göre kategorik </w:t>
      </w:r>
      <w:r w:rsidR="00E00F85">
        <w:t>verilere</w:t>
      </w:r>
      <w:r w:rsidR="000F02A1">
        <w:t xml:space="preserve"> </w:t>
      </w:r>
      <w:r w:rsidR="00B90992">
        <w:t>dönüştürüldü</w:t>
      </w:r>
      <w:r w:rsidRPr="00EB7473">
        <w:t xml:space="preserve">. </w:t>
      </w:r>
      <w:r w:rsidR="00B90992">
        <w:t>Bu yeni kategorik değişkenlere</w:t>
      </w:r>
      <w:r w:rsidRPr="00EB7473">
        <w:t xml:space="preserve"> backward step</w:t>
      </w:r>
      <w:r w:rsidR="00EB7473" w:rsidRPr="00EB7473">
        <w:t>-</w:t>
      </w:r>
      <w:r w:rsidRPr="00EB7473">
        <w:t xml:space="preserve">wise multivaryan lojistik regresyon analizi uygulandı ve mortaliteye etki eden bağımsız risk faktörleri belirlendi. </w:t>
      </w:r>
    </w:p>
    <w:p w14:paraId="359D610F" w14:textId="5BF402F7" w:rsidR="00EB7473" w:rsidRPr="00EB7473" w:rsidRDefault="0043331E" w:rsidP="00796992">
      <w:r w:rsidRPr="00EB7473">
        <w:lastRenderedPageBreak/>
        <w:t>Mortalite gelişen/gelişmeyen, kültürlerinde üreme olan/olmayan</w:t>
      </w:r>
      <w:r w:rsidR="00EB7473" w:rsidRPr="00EB7473">
        <w:t xml:space="preserve"> ve kadın/erkek</w:t>
      </w:r>
      <w:r w:rsidRPr="00EB7473">
        <w:t xml:space="preserve"> hasta grupları arasında devamlı değişkenler Mann-Whitney U non-paramterik testi kullanılarak gerçekleştirildi. Kate</w:t>
      </w:r>
      <w:r w:rsidR="00E00F85">
        <w:t>gorik değişkenler ise Pearson k</w:t>
      </w:r>
      <w:r w:rsidRPr="00EB7473">
        <w:t>i</w:t>
      </w:r>
      <w:r w:rsidR="00E00F85">
        <w:t>-k</w:t>
      </w:r>
      <w:r w:rsidRPr="00EB7473">
        <w:t xml:space="preserve">are testi kullanılarak yapıldı. P değerinin 0.05’den küçük olduğu durumlar istatistiksel olarak anlamı kabul edildi. </w:t>
      </w:r>
    </w:p>
    <w:p w14:paraId="6297CAA7" w14:textId="76D2F97B" w:rsidR="00AF0F57" w:rsidRPr="0043331E" w:rsidRDefault="0043331E" w:rsidP="00796992">
      <w:r w:rsidRPr="00EB7473">
        <w:t>Mortalite gelişen ve geli</w:t>
      </w:r>
      <w:r w:rsidR="00E00F85">
        <w:t>şmeyen grupta P</w:t>
      </w:r>
      <w:r w:rsidRPr="00EB7473">
        <w:t xml:space="preserve">earson </w:t>
      </w:r>
      <w:r w:rsidR="00E00F85">
        <w:t>k</w:t>
      </w:r>
      <w:r w:rsidR="00E00F85" w:rsidRPr="00EB7473">
        <w:t>i</w:t>
      </w:r>
      <w:r w:rsidR="00E00F85">
        <w:t>-k</w:t>
      </w:r>
      <w:r w:rsidRPr="00EB7473">
        <w:t>are testi analizi sonucunda fark saptanan değişkenler Kaplan-Meier hayatta kalım analizine alındı ve log rank testi uygulandı</w:t>
      </w:r>
      <w:r w:rsidR="00EB7473" w:rsidRPr="00EB7473">
        <w:t>.</w:t>
      </w:r>
      <w:r w:rsidRPr="00EB7473">
        <w:t xml:space="preserve"> </w:t>
      </w:r>
      <w:r w:rsidR="00EB7473" w:rsidRPr="00EB7473">
        <w:t>B</w:t>
      </w:r>
      <w:r w:rsidRPr="00EB7473">
        <w:t>öylece bu değişkenlerin mortaliteye olan etkileri değerlendirildi.</w:t>
      </w:r>
      <w:r w:rsidR="00EB7473" w:rsidRPr="00EB7473">
        <w:t xml:space="preserve"> </w:t>
      </w:r>
      <w:r w:rsidRPr="00EB7473">
        <w:t>Tüm istatistiksel analizler Statistic Program for Social Scineces yazılımında (versiyon 26)</w:t>
      </w:r>
      <w:r w:rsidR="005419A6" w:rsidRPr="00EB7473">
        <w:t xml:space="preserve"> gerçekleştirildi</w:t>
      </w:r>
      <w:r w:rsidRPr="00EB7473">
        <w:t xml:space="preserve"> (SPSS v26, IBM, US</w:t>
      </w:r>
      <w:r w:rsidRPr="00796992">
        <w:t>A)</w:t>
      </w:r>
      <w:r w:rsidR="00796992" w:rsidRPr="00796992">
        <w:t>.</w:t>
      </w:r>
    </w:p>
    <w:bookmarkEnd w:id="527"/>
    <w:p w14:paraId="31CB2742" w14:textId="01EDE49E" w:rsidR="00C50692" w:rsidRDefault="00317330" w:rsidP="009F556C">
      <w:pPr>
        <w:spacing w:after="160"/>
        <w:ind w:firstLine="0"/>
        <w:jc w:val="left"/>
        <w:sectPr w:rsidR="00C50692" w:rsidSect="00B128AF">
          <w:type w:val="continuous"/>
          <w:pgSz w:w="11906" w:h="16838"/>
          <w:pgMar w:top="1418" w:right="1418" w:bottom="1418" w:left="1985" w:header="709" w:footer="709" w:gutter="0"/>
          <w:cols w:space="708"/>
          <w:docGrid w:linePitch="360"/>
        </w:sectPr>
      </w:pPr>
      <w:r>
        <w:br w:type="page"/>
      </w:r>
    </w:p>
    <w:p w14:paraId="31CB2743" w14:textId="35F74504" w:rsidR="002A2BAB" w:rsidRDefault="00AF00FB" w:rsidP="004F194B">
      <w:pPr>
        <w:pStyle w:val="Balk1"/>
        <w:numPr>
          <w:ilvl w:val="0"/>
          <w:numId w:val="13"/>
        </w:numPr>
        <w:jc w:val="left"/>
      </w:pPr>
      <w:bookmarkStart w:id="538" w:name="_Toc45265947"/>
      <w:bookmarkStart w:id="539" w:name="_Toc55727844"/>
      <w:r w:rsidRPr="00D273E9">
        <w:lastRenderedPageBreak/>
        <w:t>BULGULAR</w:t>
      </w:r>
      <w:bookmarkEnd w:id="534"/>
      <w:bookmarkEnd w:id="538"/>
      <w:bookmarkEnd w:id="539"/>
    </w:p>
    <w:p w14:paraId="7C4807C5" w14:textId="77777777" w:rsidR="002A2BAB" w:rsidRDefault="002A2BAB" w:rsidP="003A4709"/>
    <w:p w14:paraId="6106124B" w14:textId="77777777" w:rsidR="002A2BAB" w:rsidRDefault="002A2BAB" w:rsidP="002A2BAB">
      <w:pPr>
        <w:pStyle w:val="Balk2"/>
        <w:numPr>
          <w:ilvl w:val="0"/>
          <w:numId w:val="0"/>
        </w:numPr>
        <w:ind w:left="576"/>
      </w:pPr>
      <w:bookmarkStart w:id="540" w:name="_Toc55727845"/>
      <w:r>
        <w:t>Elektron Mikroskopisi Bulguları</w:t>
      </w:r>
      <w:bookmarkEnd w:id="540"/>
    </w:p>
    <w:p w14:paraId="40F8ACD9" w14:textId="71B91C0A" w:rsidR="002A2BAB" w:rsidRPr="00AE1F9B" w:rsidRDefault="002A2BAB" w:rsidP="002A2BAB">
      <w:pPr>
        <w:ind w:firstLine="708"/>
        <w:rPr>
          <w:szCs w:val="24"/>
        </w:rPr>
      </w:pPr>
      <w:r w:rsidRPr="00AE1F9B">
        <w:rPr>
          <w:szCs w:val="24"/>
        </w:rPr>
        <w:t xml:space="preserve"> İncelenen </w:t>
      </w:r>
      <w:r>
        <w:rPr>
          <w:szCs w:val="24"/>
        </w:rPr>
        <w:t xml:space="preserve">karaciğer </w:t>
      </w:r>
      <w:r w:rsidRPr="00AE1F9B">
        <w:rPr>
          <w:szCs w:val="24"/>
        </w:rPr>
        <w:t>kesitler</w:t>
      </w:r>
      <w:r>
        <w:rPr>
          <w:szCs w:val="24"/>
        </w:rPr>
        <w:t>in</w:t>
      </w:r>
      <w:r w:rsidRPr="00AE1F9B">
        <w:rPr>
          <w:szCs w:val="24"/>
        </w:rPr>
        <w:t xml:space="preserve">de lipid vakuolleri hepatositlerin sitoplazmasında farklı çaplarda ve sayıda, oval/dairesel şekilli, düşük elektron yoğunlukta lipoid materyal ile dolu şekilde izlendi. (Resim 1). </w:t>
      </w:r>
    </w:p>
    <w:p w14:paraId="1F0BE65D" w14:textId="77777777" w:rsidR="002A2BAB" w:rsidRPr="00AE1F9B" w:rsidRDefault="002A2BAB" w:rsidP="002A2BAB">
      <w:pPr>
        <w:ind w:firstLine="708"/>
        <w:rPr>
          <w:szCs w:val="24"/>
        </w:rPr>
      </w:pPr>
      <w:r w:rsidRPr="00AE1F9B">
        <w:rPr>
          <w:szCs w:val="24"/>
        </w:rPr>
        <w:t xml:space="preserve">Lipid vakuollerine göre daha az sayıda kesitte hidropik vakuoller ve düzensiz alanlar şeklinde intraselüler ödem tespit edildi. Hidropik vakuoller lipid vakuollerine göre daha düşük elektron yoğunlukta içeriğe sahip olmakla birlikte yer yer granüler ve miyelin figür tarzında membransel materyal içerdiği tespit edildi. Hidropik vakuollerin içerdiği materyal dışındaki alanları şeffaf olarak izlendi (Resim 2). </w:t>
      </w:r>
    </w:p>
    <w:p w14:paraId="269135FC" w14:textId="7576810D" w:rsidR="002A2BAB" w:rsidRPr="00AE1F9B" w:rsidRDefault="002A2BAB" w:rsidP="002A2BAB">
      <w:pPr>
        <w:ind w:firstLine="708"/>
        <w:rPr>
          <w:szCs w:val="24"/>
        </w:rPr>
      </w:pPr>
      <w:r w:rsidRPr="00AE1F9B">
        <w:rPr>
          <w:szCs w:val="24"/>
        </w:rPr>
        <w:t xml:space="preserve"> İncelenen karaciğer kesitlerindeki hepatositlerin büyük çoğunluğunda, farklı boyutlarda ve elektron yoğunlukta lizozom, fagozom ve otofagozomlar tespit edildi. Lizozomların çoğunluğu sekonder lizozom yapısında olup düzensiz şekilli ve elektron yoğun materyal içermekteydi. Sekonder lizozomlar tüm hepatosit sitoplazması alanlarında izlenmekle birlikte özellikle perikanaliküler sitoplazma bölgesinde daha yoğun olarak bulunduğu dikkati çekti. Sekonder lizozomların koyu-siyah elektron yoğun içeriği safra pigmenti, yönünde değerlendirildi. (Resim</w:t>
      </w:r>
      <w:r>
        <w:rPr>
          <w:szCs w:val="24"/>
        </w:rPr>
        <w:t xml:space="preserve"> </w:t>
      </w:r>
      <w:r w:rsidRPr="00AE1F9B">
        <w:rPr>
          <w:szCs w:val="24"/>
        </w:rPr>
        <w:t>3). Bazı hepatositlerin sitoplazması içinde farklı büyüklüklerde fagozomlar ve otofagozomlar tespit edildi. İçerikleri farklı elektron yoğunlukta granüler, fibriler ve miyelin figür benzeri membransel yapılar şeklinde görüldü (Resim 4). İncelenen kesitlerdeki hepatositlerin bazılarında total, bazılarında ise farklı oranlarda kısmi mitokondriyon hasarı ve dejenerasyonu tespit edildi. Mitokondriyonlarda izl</w:t>
      </w:r>
      <w:r w:rsidR="00E00F85">
        <w:rPr>
          <w:szCs w:val="24"/>
        </w:rPr>
        <w:t>enen hasar ve dejenerasyon deği</w:t>
      </w:r>
      <w:r w:rsidRPr="00AE1F9B">
        <w:rPr>
          <w:szCs w:val="24"/>
        </w:rPr>
        <w:t xml:space="preserve">şiklikleri, mitokondriyal dilatasyon/şişme, mitokondriyal matris yoğunlaşması ve piknoz, kısmi ve total krista hasarı/dejenerasyonu, mitokondri şeklinde deformasyon (uzun ve kıvrılmış mitokondriyonlar), mitokondriyon matriksinde kristalin birikimi olarak tespit edildi (Resim 5, 13). Belirtilen hasar bulgularını içeren hepatositlerin bir kısmında hepatosit nukleus şeklinde deformasyon ve nukleus zarında farklı derecelerde ondulasyon izlendi. Sitoplazmik/organel hasarı düzeyinin yüksek olduğu hepatositlerde nukleus şekil deformasyonunun ve nukleus zarı ondülasyonun daha belirgin olduğu dikkati çekti. Bazı hepatositlerde geniş hacimli lipid vakuollerinin nukleus şeklini deforme ettiği görüldü. Nekrotik hepatositlerin nukleuslarında kromatolizis belirgindi. Ayrıca bazı hepatositlerde dev nukleus ve karyokinez aşamasında nukleuslar tespit edildi </w:t>
      </w:r>
      <w:r w:rsidRPr="00AE1F9B">
        <w:rPr>
          <w:szCs w:val="24"/>
        </w:rPr>
        <w:lastRenderedPageBreak/>
        <w:t xml:space="preserve">(Resim 6).  İncelenen kesitlerin bazılarında tek tek veya gruplar halinde total ve kısmi sitoplazmik organel dejenerasyonu izlenen nekrotik hepatositlere rastlandı. Bazı hepatositlerde granüler endoplazmik retikulum dilatasyonu dikkati çekti (Resim 7, 8). Karaciğer doku örnekleri ve aynı örnek içerisindeki hepatositlerin glikojen granülü içeriği heterojenite göstermekteydi. Yoğun glikojen granülü içeren hepatositler olduğu gibi, glikojen granülü içeriği minimal olan hepatositler de mevcuttu (Resim 9). </w:t>
      </w:r>
    </w:p>
    <w:p w14:paraId="2BD0C0DE" w14:textId="77777777" w:rsidR="002A2BAB" w:rsidRPr="00AE1F9B" w:rsidRDefault="002A2BAB" w:rsidP="002A2BAB">
      <w:pPr>
        <w:rPr>
          <w:szCs w:val="24"/>
        </w:rPr>
      </w:pPr>
      <w:r w:rsidRPr="00AE1F9B">
        <w:rPr>
          <w:szCs w:val="24"/>
        </w:rPr>
        <w:t xml:space="preserve">İncelenen karaciğer kesitlerinin çoğunluğunda, Disse aralıklarında farklı derecelerde kollaps izlendi. Kollapsın hafif ve orta derecede olduğu değerlendirilen alanlarda hepatositlerin sinuzoid yönündeki Disse aralığına uzanan mikrovillusları ve sinuzoid endotel hücresi sınırları seçilebiliyordu. Ancak kollapsın şiddetli olduğu alanlarda Disse aralığının açıklığı, hepatositlerin mikrovillusları ve sinuzoid endotel hücresi sınırları seçilemiyordu. Bu kollaps alanlarında Disse aralığı genellikle fibriler/granüler materyal ile dolu olarak izlendi. Ayrıca bazı kesitlerde sinuzoid endotel hücresi hasarı ve hepatosit mikrovillus hasarı tespit edildi. Bazı alanlarda Disse aralığında fibriler yapıda kollajen birikimi izlenmekte olup yer yer fibriler kollajenin Disse aralığını fibrotik band şeklinde doldurarak silinmesine neden olduğu görüldü (Resim 10). </w:t>
      </w:r>
    </w:p>
    <w:p w14:paraId="35F3A3F4" w14:textId="77777777" w:rsidR="00246740" w:rsidRDefault="002A2BAB" w:rsidP="002A2BAB">
      <w:pPr>
        <w:rPr>
          <w:rFonts w:eastAsia="+mn-ea"/>
          <w:kern w:val="24"/>
          <w:szCs w:val="24"/>
          <w:lang w:eastAsia="tr-TR"/>
        </w:rPr>
      </w:pPr>
      <w:r w:rsidRPr="00AE1F9B">
        <w:rPr>
          <w:szCs w:val="24"/>
        </w:rPr>
        <w:t xml:space="preserve">Ayrıca karaciğer parankimi içinde hepatositler arasında ve çevresinde, fibriler kollajen birim alanları saptandı. Disse aralığındaki ve hepatositler arasındaki fibriler kollajen birikimi, fibrozis yönünde değerlendirildi (Resim 11). Bazı hepatositlerde intrasitoplazmik kollajen fibril grupları tespit edildi (Resim 6). Elektron mikroskobik olarak incelenen karaciğer kesitlerinin çoğunluğunda safra kanaliküllerinde farklı derecelerde daralma mevcuttu. Ayrıca bazı kanaliküllerde ise dilatasyon izlendi. Dilatasyon izlenen kanaliküllerin lümeninde elektron yoğun safra birikimleri ve mikrovillus hasarı/dejenerasyonu dikkati çekti. Kanalikül dilatasyonu izlenen alanlarda, hepatositler arasındaki interselüler bağlantılarda ayrılma ve interselüler aralıklarda ödematöz dilatasyon saptandı (Resim 12). </w:t>
      </w:r>
      <w:r w:rsidRPr="00AE1F9B">
        <w:rPr>
          <w:rStyle w:val="Vurgu"/>
          <w:i w:val="0"/>
        </w:rPr>
        <w:t xml:space="preserve">Bir hastada hepatositlerin arasında ve duktus lümeninde bakteriler görüldü (Resim 14). </w:t>
      </w:r>
      <w:r w:rsidRPr="00AE1F9B">
        <w:rPr>
          <w:rFonts w:eastAsia="+mn-ea"/>
          <w:kern w:val="24"/>
          <w:szCs w:val="24"/>
          <w:lang w:eastAsia="tr-TR"/>
        </w:rPr>
        <w:t xml:space="preserve"> </w:t>
      </w:r>
    </w:p>
    <w:p w14:paraId="0283C098" w14:textId="6C3CB4F1" w:rsidR="00246740" w:rsidRDefault="00B83824" w:rsidP="002A2BAB">
      <w:pPr>
        <w:rPr>
          <w:rFonts w:eastAsia="+mn-ea"/>
          <w:kern w:val="24"/>
          <w:szCs w:val="24"/>
          <w:lang w:eastAsia="tr-TR"/>
        </w:rPr>
      </w:pPr>
      <w:r>
        <w:rPr>
          <w:rFonts w:eastAsia="+mn-ea"/>
          <w:kern w:val="24"/>
          <w:szCs w:val="24"/>
          <w:lang w:eastAsia="tr-TR"/>
        </w:rPr>
        <w:t xml:space="preserve">Elektron mikroskopisinde </w:t>
      </w:r>
      <w:r w:rsidR="00B46233">
        <w:rPr>
          <w:rFonts w:eastAsia="+mn-ea"/>
          <w:kern w:val="24"/>
          <w:szCs w:val="24"/>
          <w:lang w:eastAsia="tr-TR"/>
        </w:rPr>
        <w:t>elde edilen</w:t>
      </w:r>
      <w:r>
        <w:rPr>
          <w:rFonts w:eastAsia="+mn-ea"/>
          <w:kern w:val="24"/>
          <w:szCs w:val="24"/>
          <w:lang w:eastAsia="tr-TR"/>
        </w:rPr>
        <w:t xml:space="preserve"> </w:t>
      </w:r>
      <w:r w:rsidR="00B46233">
        <w:rPr>
          <w:rFonts w:eastAsia="+mn-ea"/>
          <w:kern w:val="24"/>
          <w:szCs w:val="24"/>
          <w:lang w:eastAsia="tr-TR"/>
        </w:rPr>
        <w:t xml:space="preserve">bulgular ve </w:t>
      </w:r>
      <w:r>
        <w:rPr>
          <w:rFonts w:eastAsia="+mn-ea"/>
          <w:kern w:val="24"/>
          <w:szCs w:val="24"/>
          <w:lang w:eastAsia="tr-TR"/>
        </w:rPr>
        <w:t>r</w:t>
      </w:r>
      <w:r w:rsidR="00246740">
        <w:rPr>
          <w:rFonts w:eastAsia="+mn-ea"/>
          <w:kern w:val="24"/>
          <w:szCs w:val="24"/>
          <w:lang w:eastAsia="tr-TR"/>
        </w:rPr>
        <w:t>esimler</w:t>
      </w:r>
      <w:r w:rsidR="00B46233">
        <w:rPr>
          <w:rFonts w:eastAsia="+mn-ea"/>
          <w:kern w:val="24"/>
          <w:szCs w:val="24"/>
          <w:lang w:eastAsia="tr-TR"/>
        </w:rPr>
        <w:t xml:space="preserve"> </w:t>
      </w:r>
      <w:r w:rsidR="00246740" w:rsidRPr="00246740">
        <w:rPr>
          <w:rFonts w:eastAsia="+mn-ea"/>
          <w:b/>
          <w:kern w:val="24"/>
          <w:szCs w:val="24"/>
          <w:lang w:eastAsia="tr-TR"/>
        </w:rPr>
        <w:t>EK</w:t>
      </w:r>
      <w:r>
        <w:rPr>
          <w:rFonts w:eastAsia="+mn-ea"/>
          <w:b/>
          <w:kern w:val="24"/>
          <w:szCs w:val="24"/>
          <w:lang w:eastAsia="tr-TR"/>
        </w:rPr>
        <w:t>-1</w:t>
      </w:r>
      <w:r w:rsidR="00246740">
        <w:rPr>
          <w:rFonts w:eastAsia="+mn-ea"/>
          <w:kern w:val="24"/>
          <w:szCs w:val="24"/>
          <w:lang w:eastAsia="tr-TR"/>
        </w:rPr>
        <w:t xml:space="preserve"> bölümünde gösterilmiştir.</w:t>
      </w:r>
    </w:p>
    <w:p w14:paraId="565F1608" w14:textId="77777777" w:rsidR="00246740" w:rsidRDefault="00246740">
      <w:pPr>
        <w:spacing w:after="160"/>
        <w:ind w:left="680" w:firstLine="0"/>
        <w:rPr>
          <w:rFonts w:eastAsia="+mn-ea"/>
          <w:kern w:val="24"/>
          <w:szCs w:val="24"/>
          <w:lang w:eastAsia="tr-TR"/>
        </w:rPr>
      </w:pPr>
      <w:r>
        <w:rPr>
          <w:rFonts w:eastAsia="+mn-ea"/>
          <w:kern w:val="24"/>
          <w:szCs w:val="24"/>
          <w:lang w:eastAsia="tr-TR"/>
        </w:rPr>
        <w:br w:type="page"/>
      </w:r>
    </w:p>
    <w:p w14:paraId="6BCC39FC" w14:textId="05083350" w:rsidR="00246740" w:rsidRPr="00166574" w:rsidRDefault="00246740" w:rsidP="00246740">
      <w:pPr>
        <w:pStyle w:val="ResimYazs"/>
        <w:ind w:firstLine="0"/>
        <w:rPr>
          <w:i w:val="0"/>
          <w:iCs w:val="0"/>
          <w:color w:val="auto"/>
          <w:sz w:val="22"/>
          <w:szCs w:val="22"/>
        </w:rPr>
      </w:pPr>
      <w:bookmarkStart w:id="541" w:name="_Toc49818016"/>
      <w:r w:rsidRPr="00166574">
        <w:rPr>
          <w:i w:val="0"/>
          <w:iCs w:val="0"/>
          <w:color w:val="auto"/>
          <w:sz w:val="24"/>
          <w:szCs w:val="24"/>
        </w:rPr>
        <w:lastRenderedPageBreak/>
        <w:t xml:space="preserve">Tablo </w:t>
      </w:r>
      <w:r w:rsidR="002B4CBE" w:rsidRPr="00166574">
        <w:rPr>
          <w:i w:val="0"/>
          <w:iCs w:val="0"/>
          <w:color w:val="auto"/>
          <w:sz w:val="24"/>
          <w:szCs w:val="24"/>
        </w:rPr>
        <w:fldChar w:fldCharType="begin"/>
      </w:r>
      <w:r w:rsidR="002B4CBE" w:rsidRPr="00166574">
        <w:rPr>
          <w:i w:val="0"/>
          <w:iCs w:val="0"/>
          <w:color w:val="auto"/>
          <w:sz w:val="24"/>
          <w:szCs w:val="24"/>
        </w:rPr>
        <w:instrText xml:space="preserve"> STYLEREF 1 \s </w:instrText>
      </w:r>
      <w:r w:rsidR="002B4CBE" w:rsidRPr="00166574">
        <w:rPr>
          <w:i w:val="0"/>
          <w:iCs w:val="0"/>
          <w:color w:val="auto"/>
          <w:sz w:val="24"/>
          <w:szCs w:val="24"/>
        </w:rPr>
        <w:fldChar w:fldCharType="separate"/>
      </w:r>
      <w:r w:rsidR="00063441" w:rsidRPr="00166574">
        <w:rPr>
          <w:i w:val="0"/>
          <w:iCs w:val="0"/>
          <w:noProof/>
          <w:color w:val="auto"/>
          <w:sz w:val="24"/>
          <w:szCs w:val="24"/>
        </w:rPr>
        <w:t>4</w:t>
      </w:r>
      <w:r w:rsidR="002B4CBE" w:rsidRPr="00166574">
        <w:rPr>
          <w:i w:val="0"/>
          <w:iCs w:val="0"/>
          <w:color w:val="auto"/>
          <w:sz w:val="24"/>
          <w:szCs w:val="24"/>
        </w:rPr>
        <w:fldChar w:fldCharType="end"/>
      </w:r>
      <w:r w:rsidR="002B4CBE" w:rsidRPr="00166574">
        <w:rPr>
          <w:i w:val="0"/>
          <w:iCs w:val="0"/>
          <w:color w:val="auto"/>
          <w:sz w:val="24"/>
          <w:szCs w:val="24"/>
        </w:rPr>
        <w:t>.</w:t>
      </w:r>
      <w:r w:rsidR="002B4CBE" w:rsidRPr="00166574">
        <w:rPr>
          <w:i w:val="0"/>
          <w:iCs w:val="0"/>
          <w:color w:val="auto"/>
          <w:sz w:val="24"/>
          <w:szCs w:val="24"/>
        </w:rPr>
        <w:fldChar w:fldCharType="begin"/>
      </w:r>
      <w:r w:rsidR="002B4CBE" w:rsidRPr="00166574">
        <w:rPr>
          <w:i w:val="0"/>
          <w:iCs w:val="0"/>
          <w:color w:val="auto"/>
          <w:sz w:val="24"/>
          <w:szCs w:val="24"/>
        </w:rPr>
        <w:instrText xml:space="preserve"> SEQ Tablo \* ARABIC \s 1 </w:instrText>
      </w:r>
      <w:r w:rsidR="002B4CBE" w:rsidRPr="00166574">
        <w:rPr>
          <w:i w:val="0"/>
          <w:iCs w:val="0"/>
          <w:color w:val="auto"/>
          <w:sz w:val="24"/>
          <w:szCs w:val="24"/>
        </w:rPr>
        <w:fldChar w:fldCharType="separate"/>
      </w:r>
      <w:r w:rsidR="00063441" w:rsidRPr="00166574">
        <w:rPr>
          <w:i w:val="0"/>
          <w:iCs w:val="0"/>
          <w:noProof/>
          <w:color w:val="auto"/>
          <w:sz w:val="24"/>
          <w:szCs w:val="24"/>
        </w:rPr>
        <w:t>1</w:t>
      </w:r>
      <w:r w:rsidR="002B4CBE" w:rsidRPr="00166574">
        <w:rPr>
          <w:i w:val="0"/>
          <w:iCs w:val="0"/>
          <w:color w:val="auto"/>
          <w:sz w:val="24"/>
          <w:szCs w:val="24"/>
        </w:rPr>
        <w:fldChar w:fldCharType="end"/>
      </w:r>
      <w:r w:rsidRPr="00166574">
        <w:rPr>
          <w:i w:val="0"/>
          <w:iCs w:val="0"/>
          <w:color w:val="auto"/>
          <w:sz w:val="22"/>
          <w:szCs w:val="22"/>
        </w:rPr>
        <w:t xml:space="preserve"> </w:t>
      </w:r>
      <w:r w:rsidRPr="00166574">
        <w:rPr>
          <w:i w:val="0"/>
          <w:iCs w:val="0"/>
          <w:color w:val="auto"/>
          <w:sz w:val="24"/>
          <w:szCs w:val="24"/>
        </w:rPr>
        <w:t xml:space="preserve">Hasar </w:t>
      </w:r>
      <w:r w:rsidR="0048467D">
        <w:rPr>
          <w:i w:val="0"/>
          <w:iCs w:val="0"/>
          <w:color w:val="auto"/>
          <w:sz w:val="24"/>
          <w:szCs w:val="24"/>
        </w:rPr>
        <w:t>Şiddeti v</w:t>
      </w:r>
      <w:r w:rsidR="0048467D" w:rsidRPr="00166574">
        <w:rPr>
          <w:i w:val="0"/>
          <w:iCs w:val="0"/>
          <w:color w:val="auto"/>
          <w:sz w:val="24"/>
          <w:szCs w:val="24"/>
        </w:rPr>
        <w:t xml:space="preserve">e Hasar Yaygınlık Derecesi Skorları </w:t>
      </w:r>
      <w:r w:rsidR="0048467D">
        <w:rPr>
          <w:i w:val="0"/>
          <w:iCs w:val="0"/>
          <w:color w:val="auto"/>
          <w:sz w:val="24"/>
          <w:szCs w:val="24"/>
        </w:rPr>
        <w:t>v</w:t>
      </w:r>
      <w:r w:rsidR="0048467D" w:rsidRPr="00166574">
        <w:rPr>
          <w:i w:val="0"/>
          <w:iCs w:val="0"/>
          <w:color w:val="auto"/>
          <w:sz w:val="24"/>
          <w:szCs w:val="24"/>
        </w:rPr>
        <w:t xml:space="preserve">e </w:t>
      </w:r>
      <w:r w:rsidRPr="00166574">
        <w:rPr>
          <w:i w:val="0"/>
          <w:iCs w:val="0"/>
          <w:color w:val="auto"/>
          <w:sz w:val="24"/>
          <w:szCs w:val="24"/>
        </w:rPr>
        <w:t xml:space="preserve">Total </w:t>
      </w:r>
      <w:r w:rsidR="0048467D" w:rsidRPr="00166574">
        <w:rPr>
          <w:i w:val="0"/>
          <w:iCs w:val="0"/>
          <w:color w:val="auto"/>
          <w:sz w:val="24"/>
          <w:szCs w:val="24"/>
        </w:rPr>
        <w:t>Hasar</w:t>
      </w:r>
      <w:bookmarkEnd w:id="541"/>
    </w:p>
    <w:p w14:paraId="14D963FF" w14:textId="77777777" w:rsidR="00246740" w:rsidRDefault="00246740" w:rsidP="00246740">
      <w:pPr>
        <w:spacing w:after="160"/>
        <w:ind w:left="680" w:firstLine="0"/>
        <w:rPr>
          <w:b/>
          <w:sz w:val="28"/>
          <w:szCs w:val="24"/>
        </w:rPr>
      </w:pPr>
      <w:r>
        <w:rPr>
          <w:noProof/>
          <w:lang w:eastAsia="tr-TR"/>
        </w:rPr>
        <w:drawing>
          <wp:anchor distT="0" distB="0" distL="114300" distR="114300" simplePos="0" relativeHeight="251709440" behindDoc="1" locked="0" layoutInCell="1" allowOverlap="1" wp14:anchorId="72DDF364" wp14:editId="47CF47A7">
            <wp:simplePos x="0" y="0"/>
            <wp:positionH relativeFrom="column">
              <wp:posOffset>-1933897</wp:posOffset>
            </wp:positionH>
            <wp:positionV relativeFrom="paragraph">
              <wp:posOffset>1604029</wp:posOffset>
            </wp:positionV>
            <wp:extent cx="8679241" cy="5452110"/>
            <wp:effectExtent l="0" t="5715" r="1905" b="1905"/>
            <wp:wrapNone/>
            <wp:docPr id="199" name="Resi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948EA0.tmp"/>
                    <pic:cNvPicPr/>
                  </pic:nvPicPr>
                  <pic:blipFill rotWithShape="1">
                    <a:blip r:embed="rId20">
                      <a:extLst>
                        <a:ext uri="{28A0092B-C50C-407E-A947-70E740481C1C}">
                          <a14:useLocalDpi xmlns:a14="http://schemas.microsoft.com/office/drawing/2010/main" val="0"/>
                        </a:ext>
                      </a:extLst>
                    </a:blip>
                    <a:srcRect l="10232" t="18414" r="11322" b="11727"/>
                    <a:stretch/>
                  </pic:blipFill>
                  <pic:spPr bwMode="auto">
                    <a:xfrm rot="16200000">
                      <a:off x="0" y="0"/>
                      <a:ext cx="8679241" cy="5452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28"/>
          <w:szCs w:val="24"/>
        </w:rPr>
        <w:br w:type="page"/>
      </w:r>
    </w:p>
    <w:p w14:paraId="582E9070" w14:textId="2285B21E" w:rsidR="000D66DA" w:rsidRPr="003A4709" w:rsidRDefault="000D66DA" w:rsidP="003A4709">
      <w:pPr>
        <w:pStyle w:val="Balk2"/>
        <w:numPr>
          <w:ilvl w:val="0"/>
          <w:numId w:val="0"/>
        </w:numPr>
        <w:ind w:left="576"/>
        <w:rPr>
          <w:rStyle w:val="Balk2Char"/>
          <w:b/>
        </w:rPr>
      </w:pPr>
      <w:bookmarkStart w:id="542" w:name="_Toc55727846"/>
      <w:r w:rsidRPr="003A4709">
        <w:lastRenderedPageBreak/>
        <w:t>Çal</w:t>
      </w:r>
      <w:r w:rsidRPr="003A4709">
        <w:rPr>
          <w:rStyle w:val="Balk2Char"/>
          <w:b/>
        </w:rPr>
        <w:t xml:space="preserve">ışma </w:t>
      </w:r>
      <w:r w:rsidR="000A58F7">
        <w:rPr>
          <w:rStyle w:val="Balk2Char"/>
          <w:b/>
        </w:rPr>
        <w:t>Hastalarının Genel Demografik v</w:t>
      </w:r>
      <w:r w:rsidR="000A58F7" w:rsidRPr="003A4709">
        <w:rPr>
          <w:rStyle w:val="Balk2Char"/>
          <w:b/>
        </w:rPr>
        <w:t>e Klinik Özellikleri</w:t>
      </w:r>
      <w:bookmarkEnd w:id="542"/>
      <w:r w:rsidR="000A58F7" w:rsidRPr="003A4709">
        <w:rPr>
          <w:rStyle w:val="Balk2Char"/>
          <w:b/>
        </w:rPr>
        <w:t xml:space="preserve"> </w:t>
      </w:r>
    </w:p>
    <w:p w14:paraId="77F4AB41" w14:textId="2BB6E3EA" w:rsidR="00CB12A7" w:rsidRDefault="00CE77E8" w:rsidP="003A4709">
      <w:pPr>
        <w:rPr>
          <w:lang w:eastAsia="tr-TR"/>
        </w:rPr>
      </w:pPr>
      <w:r>
        <w:rPr>
          <w:lang w:eastAsia="tr-TR"/>
        </w:rPr>
        <w:t>Çalış</w:t>
      </w:r>
      <w:r w:rsidR="009F556C">
        <w:rPr>
          <w:lang w:eastAsia="tr-TR"/>
        </w:rPr>
        <w:t>ma</w:t>
      </w:r>
      <w:r w:rsidR="002C7639">
        <w:rPr>
          <w:lang w:eastAsia="tr-TR"/>
        </w:rPr>
        <w:t>d</w:t>
      </w:r>
      <w:r w:rsidR="009F556C">
        <w:rPr>
          <w:lang w:eastAsia="tr-TR"/>
        </w:rPr>
        <w:t>a</w:t>
      </w:r>
      <w:r w:rsidRPr="00CE77E8">
        <w:rPr>
          <w:lang w:eastAsia="tr-TR"/>
        </w:rPr>
        <w:t xml:space="preserve"> </w:t>
      </w:r>
      <w:r>
        <w:rPr>
          <w:lang w:eastAsia="tr-TR"/>
        </w:rPr>
        <w:t>1</w:t>
      </w:r>
      <w:r w:rsidR="00EF6BDF">
        <w:rPr>
          <w:lang w:eastAsia="tr-TR"/>
        </w:rPr>
        <w:t>1‘i kadın (%45,9</w:t>
      </w:r>
      <w:r w:rsidRPr="00CE77E8">
        <w:rPr>
          <w:lang w:eastAsia="tr-TR"/>
        </w:rPr>
        <w:t>) ve</w:t>
      </w:r>
      <w:r w:rsidR="000470F2">
        <w:rPr>
          <w:lang w:eastAsia="tr-TR"/>
        </w:rPr>
        <w:t xml:space="preserve"> </w:t>
      </w:r>
      <w:r w:rsidR="003C64AA">
        <w:rPr>
          <w:lang w:eastAsia="tr-TR"/>
        </w:rPr>
        <w:t>13‘ü</w:t>
      </w:r>
      <w:r>
        <w:rPr>
          <w:lang w:eastAsia="tr-TR"/>
        </w:rPr>
        <w:t xml:space="preserve"> erkek (%</w:t>
      </w:r>
      <w:r w:rsidRPr="00CE77E8">
        <w:rPr>
          <w:lang w:eastAsia="tr-TR"/>
        </w:rPr>
        <w:t>5</w:t>
      </w:r>
      <w:r w:rsidR="003C64AA">
        <w:rPr>
          <w:lang w:eastAsia="tr-TR"/>
        </w:rPr>
        <w:t>4</w:t>
      </w:r>
      <w:r w:rsidR="00EF6BDF">
        <w:rPr>
          <w:lang w:eastAsia="tr-TR"/>
        </w:rPr>
        <w:t>,1</w:t>
      </w:r>
      <w:r w:rsidRPr="00CE77E8">
        <w:rPr>
          <w:lang w:eastAsia="tr-TR"/>
        </w:rPr>
        <w:t xml:space="preserve">) </w:t>
      </w:r>
      <w:r w:rsidR="000470F2">
        <w:rPr>
          <w:lang w:eastAsia="tr-TR"/>
        </w:rPr>
        <w:t xml:space="preserve">olmak üzere </w:t>
      </w:r>
      <w:r w:rsidR="000470F2" w:rsidRPr="00CE77E8">
        <w:rPr>
          <w:lang w:eastAsia="tr-TR"/>
        </w:rPr>
        <w:t xml:space="preserve">toplamda </w:t>
      </w:r>
      <w:r w:rsidR="000470F2">
        <w:rPr>
          <w:lang w:eastAsia="tr-TR"/>
        </w:rPr>
        <w:t>24</w:t>
      </w:r>
      <w:r w:rsidR="000470F2" w:rsidRPr="00CE77E8">
        <w:rPr>
          <w:lang w:eastAsia="tr-TR"/>
        </w:rPr>
        <w:t xml:space="preserve"> </w:t>
      </w:r>
      <w:r w:rsidR="009F556C">
        <w:rPr>
          <w:lang w:eastAsia="tr-TR"/>
        </w:rPr>
        <w:t>hasta</w:t>
      </w:r>
      <w:r w:rsidR="002C7639">
        <w:rPr>
          <w:lang w:eastAsia="tr-TR"/>
        </w:rPr>
        <w:t xml:space="preserve"> değerlendirildi. </w:t>
      </w:r>
      <w:r w:rsidRPr="00CE77E8">
        <w:rPr>
          <w:lang w:eastAsia="tr-TR"/>
        </w:rPr>
        <w:t>Hastalar</w:t>
      </w:r>
      <w:r w:rsidR="002E3CFB">
        <w:rPr>
          <w:lang w:eastAsia="tr-TR"/>
        </w:rPr>
        <w:t xml:space="preserve">ın ortanca yaşı 17 (1-60) </w:t>
      </w:r>
      <w:r w:rsidR="00EB7473">
        <w:rPr>
          <w:lang w:eastAsia="tr-TR"/>
        </w:rPr>
        <w:t>yıl idi</w:t>
      </w:r>
      <w:r w:rsidR="00772C7C">
        <w:rPr>
          <w:lang w:eastAsia="tr-TR"/>
        </w:rPr>
        <w:t>.</w:t>
      </w:r>
      <w:r w:rsidR="002E3CFB">
        <w:rPr>
          <w:lang w:eastAsia="tr-TR"/>
        </w:rPr>
        <w:t xml:space="preserve"> </w:t>
      </w:r>
      <w:r w:rsidRPr="00CE77E8">
        <w:rPr>
          <w:lang w:eastAsia="tr-TR"/>
        </w:rPr>
        <w:t xml:space="preserve"> </w:t>
      </w:r>
      <w:r w:rsidR="00594591">
        <w:rPr>
          <w:lang w:eastAsia="tr-TR"/>
        </w:rPr>
        <w:t xml:space="preserve">Hastaların </w:t>
      </w:r>
      <w:r w:rsidR="002E3CFB">
        <w:rPr>
          <w:lang w:eastAsia="tr-TR"/>
        </w:rPr>
        <w:t>23</w:t>
      </w:r>
      <w:r w:rsidR="00EB7473">
        <w:rPr>
          <w:lang w:eastAsia="tr-TR"/>
        </w:rPr>
        <w:t>’</w:t>
      </w:r>
      <w:r w:rsidR="00594591">
        <w:rPr>
          <w:lang w:eastAsia="tr-TR"/>
        </w:rPr>
        <w:t xml:space="preserve">üne </w:t>
      </w:r>
      <w:r w:rsidR="00EF6BDF">
        <w:rPr>
          <w:lang w:eastAsia="tr-TR"/>
        </w:rPr>
        <w:t>(%95,4)</w:t>
      </w:r>
      <w:r w:rsidR="002E3CFB">
        <w:rPr>
          <w:lang w:eastAsia="tr-TR"/>
        </w:rPr>
        <w:t xml:space="preserve"> canlı, 1</w:t>
      </w:r>
      <w:r w:rsidR="002C7639">
        <w:rPr>
          <w:lang w:eastAsia="tr-TR"/>
        </w:rPr>
        <w:t>’</w:t>
      </w:r>
      <w:r w:rsidR="00594591">
        <w:rPr>
          <w:lang w:eastAsia="tr-TR"/>
        </w:rPr>
        <w:t>ine</w:t>
      </w:r>
      <w:r w:rsidR="002E3CFB">
        <w:rPr>
          <w:lang w:eastAsia="tr-TR"/>
        </w:rPr>
        <w:t xml:space="preserve"> </w:t>
      </w:r>
      <w:r w:rsidR="00EF6BDF">
        <w:rPr>
          <w:lang w:eastAsia="tr-TR"/>
        </w:rPr>
        <w:t>(%4,6)</w:t>
      </w:r>
      <w:r w:rsidR="002E3CFB">
        <w:rPr>
          <w:lang w:eastAsia="tr-TR"/>
        </w:rPr>
        <w:t xml:space="preserve"> kadaverik nakil yapıldı.</w:t>
      </w:r>
      <w:r w:rsidR="00BC7B9B">
        <w:rPr>
          <w:lang w:eastAsia="tr-TR"/>
        </w:rPr>
        <w:t xml:space="preserve"> </w:t>
      </w:r>
      <w:r w:rsidR="002C7639">
        <w:rPr>
          <w:lang w:eastAsia="tr-TR"/>
        </w:rPr>
        <w:t>Transplantasyon endikasyonları arasında</w:t>
      </w:r>
      <w:r w:rsidR="00B83824">
        <w:rPr>
          <w:lang w:eastAsia="tr-TR"/>
        </w:rPr>
        <w:t xml:space="preserve"> kriptojenik siroz,</w:t>
      </w:r>
      <w:r w:rsidR="002C7639">
        <w:rPr>
          <w:lang w:eastAsia="tr-TR"/>
        </w:rPr>
        <w:t xml:space="preserve"> viral ve otoimmün hepatitler, karaciğer maligniteleri, metabolik hastalıklar, biliyer ve vasküler hastalıklar, ilaç toksisitesi mevcuttu. </w:t>
      </w:r>
      <w:r w:rsidR="00CB12A7">
        <w:rPr>
          <w:lang w:eastAsia="tr-TR"/>
        </w:rPr>
        <w:t xml:space="preserve">Hastaların cinsiyete göre karaciğer nakil endikasyonları </w:t>
      </w:r>
      <w:r w:rsidR="00437A8F">
        <w:rPr>
          <w:lang w:eastAsia="tr-TR"/>
        </w:rPr>
        <w:t xml:space="preserve">detaylı şekilde </w:t>
      </w:r>
      <w:r w:rsidR="00CB12A7">
        <w:rPr>
          <w:lang w:eastAsia="tr-TR"/>
        </w:rPr>
        <w:t>Tablo 4.</w:t>
      </w:r>
      <w:r w:rsidR="00BF0F9A">
        <w:rPr>
          <w:lang w:eastAsia="tr-TR"/>
        </w:rPr>
        <w:t>2</w:t>
      </w:r>
      <w:r w:rsidR="00CB12A7">
        <w:rPr>
          <w:lang w:eastAsia="tr-TR"/>
        </w:rPr>
        <w:t xml:space="preserve">’de gösterilmiştir. </w:t>
      </w:r>
    </w:p>
    <w:p w14:paraId="71A63E89" w14:textId="77777777" w:rsidR="002C7639" w:rsidRDefault="002C7639" w:rsidP="003A4709">
      <w:pPr>
        <w:rPr>
          <w:szCs w:val="24"/>
        </w:rPr>
      </w:pPr>
      <w:bookmarkStart w:id="543" w:name="_Toc45383394"/>
    </w:p>
    <w:p w14:paraId="31CB2748" w14:textId="22526333" w:rsidR="00906E03" w:rsidRPr="007F1D7D" w:rsidRDefault="00906E03" w:rsidP="00906E03">
      <w:pPr>
        <w:pStyle w:val="ResimYazs"/>
        <w:rPr>
          <w:i w:val="0"/>
          <w:color w:val="auto"/>
          <w:sz w:val="24"/>
          <w:szCs w:val="24"/>
        </w:rPr>
      </w:pPr>
      <w:bookmarkStart w:id="544" w:name="_Toc49818017"/>
      <w:r w:rsidRPr="002C2495">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2</w:t>
      </w:r>
      <w:r w:rsidR="002B4CBE">
        <w:rPr>
          <w:i w:val="0"/>
          <w:color w:val="auto"/>
          <w:sz w:val="24"/>
          <w:szCs w:val="24"/>
        </w:rPr>
        <w:fldChar w:fldCharType="end"/>
      </w:r>
      <w:r w:rsidRPr="002C2495">
        <w:rPr>
          <w:i w:val="0"/>
          <w:color w:val="auto"/>
          <w:sz w:val="24"/>
          <w:szCs w:val="24"/>
        </w:rPr>
        <w:t xml:space="preserve"> </w:t>
      </w:r>
      <w:r w:rsidR="00B83824">
        <w:rPr>
          <w:i w:val="0"/>
          <w:color w:val="auto"/>
          <w:sz w:val="24"/>
          <w:szCs w:val="24"/>
        </w:rPr>
        <w:t xml:space="preserve">Cinsiyete Göre </w:t>
      </w:r>
      <w:r w:rsidRPr="002C2495">
        <w:rPr>
          <w:i w:val="0"/>
          <w:color w:val="auto"/>
          <w:sz w:val="24"/>
          <w:szCs w:val="24"/>
        </w:rPr>
        <w:t>Nakil Endikasyonları</w:t>
      </w:r>
      <w:bookmarkEnd w:id="543"/>
      <w:bookmarkEnd w:id="544"/>
    </w:p>
    <w:tbl>
      <w:tblPr>
        <w:tblStyle w:val="DzTablo4"/>
        <w:tblW w:w="0" w:type="auto"/>
        <w:tblLook w:val="04A0" w:firstRow="1" w:lastRow="0" w:firstColumn="1" w:lastColumn="0" w:noHBand="0" w:noVBand="1"/>
      </w:tblPr>
      <w:tblGrid>
        <w:gridCol w:w="2736"/>
        <w:gridCol w:w="1478"/>
        <w:gridCol w:w="1465"/>
        <w:gridCol w:w="2040"/>
      </w:tblGrid>
      <w:tr w:rsidR="00906E03" w:rsidRPr="00003C68" w14:paraId="31CB274D" w14:textId="77777777" w:rsidTr="002C2495">
        <w:trPr>
          <w:cnfStyle w:val="100000000000" w:firstRow="1" w:lastRow="0"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0" w:type="auto"/>
            <w:tcBorders>
              <w:bottom w:val="single" w:sz="24" w:space="0" w:color="000000" w:themeColor="text1"/>
            </w:tcBorders>
            <w:noWrap/>
            <w:hideMark/>
          </w:tcPr>
          <w:p w14:paraId="31CB2749" w14:textId="77777777" w:rsidR="00906E03" w:rsidRPr="00003C68" w:rsidRDefault="00906E03" w:rsidP="001828DF">
            <w:pPr>
              <w:rPr>
                <w:rFonts w:ascii="Calibri" w:eastAsia="Times New Roman" w:hAnsi="Calibri"/>
                <w:b w:val="0"/>
                <w:color w:val="000000"/>
                <w:lang w:eastAsia="tr-TR"/>
              </w:rPr>
            </w:pPr>
          </w:p>
        </w:tc>
        <w:tc>
          <w:tcPr>
            <w:tcW w:w="0" w:type="auto"/>
            <w:tcBorders>
              <w:bottom w:val="single" w:sz="24" w:space="0" w:color="000000" w:themeColor="text1"/>
            </w:tcBorders>
          </w:tcPr>
          <w:p w14:paraId="31CB274A" w14:textId="28C65ABD" w:rsidR="00906E03" w:rsidRPr="00003C68" w:rsidRDefault="00906E03" w:rsidP="001828DF">
            <w:pPr>
              <w:ind w:firstLine="0"/>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lang w:eastAsia="tr-TR"/>
              </w:rPr>
            </w:pPr>
            <w:r>
              <w:rPr>
                <w:rFonts w:ascii="Calibri" w:eastAsia="Times New Roman" w:hAnsi="Calibri"/>
                <w:color w:val="000000"/>
                <w:lang w:eastAsia="tr-TR"/>
              </w:rPr>
              <w:t>Kadın (</w:t>
            </w:r>
            <w:r w:rsidR="002F1052">
              <w:rPr>
                <w:rFonts w:ascii="Calibri" w:eastAsia="Times New Roman" w:hAnsi="Calibri"/>
                <w:color w:val="000000"/>
                <w:lang w:eastAsia="tr-TR"/>
              </w:rPr>
              <w:t>n=</w:t>
            </w:r>
            <w:r>
              <w:rPr>
                <w:rFonts w:ascii="Calibri" w:eastAsia="Times New Roman" w:hAnsi="Calibri"/>
                <w:color w:val="000000"/>
                <w:lang w:eastAsia="tr-TR"/>
              </w:rPr>
              <w:t>11)</w:t>
            </w:r>
          </w:p>
        </w:tc>
        <w:tc>
          <w:tcPr>
            <w:tcW w:w="0" w:type="auto"/>
            <w:tcBorders>
              <w:bottom w:val="single" w:sz="24" w:space="0" w:color="000000" w:themeColor="text1"/>
            </w:tcBorders>
          </w:tcPr>
          <w:p w14:paraId="31CB274B" w14:textId="2CA6CA62" w:rsidR="00906E03" w:rsidRPr="00003C68" w:rsidRDefault="00906E03" w:rsidP="001828DF">
            <w:pPr>
              <w:ind w:firstLine="0"/>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lang w:eastAsia="tr-TR"/>
              </w:rPr>
            </w:pPr>
            <w:r>
              <w:rPr>
                <w:rFonts w:ascii="Calibri" w:eastAsia="Times New Roman" w:hAnsi="Calibri"/>
                <w:color w:val="000000"/>
                <w:lang w:eastAsia="tr-TR"/>
              </w:rPr>
              <w:t>Erkek (</w:t>
            </w:r>
            <w:r w:rsidR="002F1052">
              <w:rPr>
                <w:rFonts w:ascii="Calibri" w:eastAsia="Times New Roman" w:hAnsi="Calibri"/>
                <w:color w:val="000000"/>
                <w:lang w:eastAsia="tr-TR"/>
              </w:rPr>
              <w:t>n=</w:t>
            </w:r>
            <w:r>
              <w:rPr>
                <w:rFonts w:ascii="Calibri" w:eastAsia="Times New Roman" w:hAnsi="Calibri"/>
                <w:color w:val="000000"/>
                <w:lang w:eastAsia="tr-TR"/>
              </w:rPr>
              <w:t>13)</w:t>
            </w:r>
          </w:p>
        </w:tc>
        <w:tc>
          <w:tcPr>
            <w:tcW w:w="0" w:type="auto"/>
            <w:tcBorders>
              <w:bottom w:val="single" w:sz="24" w:space="0" w:color="000000" w:themeColor="text1"/>
            </w:tcBorders>
          </w:tcPr>
          <w:p w14:paraId="31CB274C" w14:textId="72ECDB53" w:rsidR="00906E03" w:rsidRDefault="00906E03" w:rsidP="001828DF">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lang w:eastAsia="tr-TR"/>
              </w:rPr>
            </w:pPr>
            <w:r>
              <w:rPr>
                <w:rFonts w:ascii="Calibri" w:eastAsia="Times New Roman" w:hAnsi="Calibri"/>
                <w:color w:val="000000"/>
                <w:lang w:eastAsia="tr-TR"/>
              </w:rPr>
              <w:t>Toplam (</w:t>
            </w:r>
            <w:r w:rsidR="002F1052">
              <w:rPr>
                <w:rFonts w:ascii="Calibri" w:eastAsia="Times New Roman" w:hAnsi="Calibri"/>
                <w:color w:val="000000"/>
                <w:lang w:eastAsia="tr-TR"/>
              </w:rPr>
              <w:t>n=</w:t>
            </w:r>
            <w:r>
              <w:rPr>
                <w:rFonts w:ascii="Calibri" w:eastAsia="Times New Roman" w:hAnsi="Calibri"/>
                <w:color w:val="000000"/>
                <w:lang w:eastAsia="tr-TR"/>
              </w:rPr>
              <w:t>24) (%)</w:t>
            </w:r>
          </w:p>
        </w:tc>
      </w:tr>
      <w:tr w:rsidR="00906E03" w:rsidRPr="00003C68" w14:paraId="31CB2752" w14:textId="77777777" w:rsidTr="002C2495">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0" w:type="auto"/>
            <w:tcBorders>
              <w:top w:val="single" w:sz="24" w:space="0" w:color="000000" w:themeColor="text1"/>
            </w:tcBorders>
            <w:noWrap/>
          </w:tcPr>
          <w:p w14:paraId="31CB274E"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Kriptojenik Siroz</w:t>
            </w:r>
          </w:p>
        </w:tc>
        <w:tc>
          <w:tcPr>
            <w:tcW w:w="0" w:type="auto"/>
            <w:tcBorders>
              <w:top w:val="single" w:sz="24" w:space="0" w:color="000000" w:themeColor="text1"/>
            </w:tcBorders>
          </w:tcPr>
          <w:p w14:paraId="31CB274F"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1</w:t>
            </w:r>
          </w:p>
        </w:tc>
        <w:tc>
          <w:tcPr>
            <w:tcW w:w="0" w:type="auto"/>
            <w:tcBorders>
              <w:top w:val="single" w:sz="24" w:space="0" w:color="000000" w:themeColor="text1"/>
            </w:tcBorders>
          </w:tcPr>
          <w:p w14:paraId="31CB2750"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4</w:t>
            </w:r>
          </w:p>
        </w:tc>
        <w:tc>
          <w:tcPr>
            <w:tcW w:w="0" w:type="auto"/>
            <w:tcBorders>
              <w:top w:val="single" w:sz="24" w:space="0" w:color="000000" w:themeColor="text1"/>
            </w:tcBorders>
          </w:tcPr>
          <w:p w14:paraId="31CB2751" w14:textId="2235E71A" w:rsidR="00906E03" w:rsidRPr="00EB663D" w:rsidRDefault="00B75672"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Pr>
                <w:szCs w:val="24"/>
                <w:lang w:eastAsia="tr-TR"/>
              </w:rPr>
              <w:t xml:space="preserve"> </w:t>
            </w:r>
            <w:r w:rsidR="00906E03" w:rsidRPr="00EB663D">
              <w:rPr>
                <w:szCs w:val="24"/>
                <w:lang w:eastAsia="tr-TR"/>
              </w:rPr>
              <w:t>5</w:t>
            </w:r>
            <w:r w:rsidR="00906E03">
              <w:rPr>
                <w:szCs w:val="24"/>
                <w:lang w:eastAsia="tr-TR"/>
              </w:rPr>
              <w:t xml:space="preserve"> (20</w:t>
            </w:r>
            <w:r w:rsidR="00A01358">
              <w:rPr>
                <w:szCs w:val="24"/>
                <w:lang w:eastAsia="tr-TR"/>
              </w:rPr>
              <w:t>.</w:t>
            </w:r>
            <w:r w:rsidR="00906E03">
              <w:rPr>
                <w:szCs w:val="24"/>
                <w:lang w:eastAsia="tr-TR"/>
              </w:rPr>
              <w:t>8)</w:t>
            </w:r>
          </w:p>
        </w:tc>
      </w:tr>
      <w:tr w:rsidR="00906E03" w:rsidRPr="00003C68" w14:paraId="31CB2757" w14:textId="77777777" w:rsidTr="002C2495">
        <w:trPr>
          <w:trHeight w:val="251"/>
        </w:trPr>
        <w:tc>
          <w:tcPr>
            <w:cnfStyle w:val="001000000000" w:firstRow="0" w:lastRow="0" w:firstColumn="1" w:lastColumn="0" w:oddVBand="0" w:evenVBand="0" w:oddHBand="0" w:evenHBand="0" w:firstRowFirstColumn="0" w:firstRowLastColumn="0" w:lastRowFirstColumn="0" w:lastRowLastColumn="0"/>
            <w:tcW w:w="0" w:type="auto"/>
            <w:noWrap/>
          </w:tcPr>
          <w:p w14:paraId="31CB2753"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Hepatoblastom</w:t>
            </w:r>
          </w:p>
        </w:tc>
        <w:tc>
          <w:tcPr>
            <w:tcW w:w="0" w:type="auto"/>
          </w:tcPr>
          <w:p w14:paraId="31CB2754"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w:t>
            </w:r>
          </w:p>
        </w:tc>
        <w:tc>
          <w:tcPr>
            <w:tcW w:w="0" w:type="auto"/>
          </w:tcPr>
          <w:p w14:paraId="31CB2755"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2</w:t>
            </w:r>
          </w:p>
        </w:tc>
        <w:tc>
          <w:tcPr>
            <w:tcW w:w="0" w:type="auto"/>
          </w:tcPr>
          <w:p w14:paraId="31CB2756" w14:textId="6A8A650A"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2</w:t>
            </w:r>
            <w:r>
              <w:rPr>
                <w:szCs w:val="24"/>
                <w:lang w:eastAsia="tr-TR"/>
              </w:rPr>
              <w:t xml:space="preserve"> (8</w:t>
            </w:r>
            <w:r w:rsidR="00A01358">
              <w:rPr>
                <w:szCs w:val="24"/>
                <w:lang w:eastAsia="tr-TR"/>
              </w:rPr>
              <w:t>.</w:t>
            </w:r>
            <w:r>
              <w:rPr>
                <w:szCs w:val="24"/>
                <w:lang w:eastAsia="tr-TR"/>
              </w:rPr>
              <w:t>3)</w:t>
            </w:r>
          </w:p>
        </w:tc>
      </w:tr>
      <w:tr w:rsidR="00906E03" w:rsidRPr="00003C68" w14:paraId="31CB275C" w14:textId="77777777" w:rsidTr="002C2495">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0" w:type="auto"/>
            <w:noWrap/>
            <w:hideMark/>
          </w:tcPr>
          <w:p w14:paraId="31CB2758"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HBV</w:t>
            </w:r>
          </w:p>
        </w:tc>
        <w:tc>
          <w:tcPr>
            <w:tcW w:w="0" w:type="auto"/>
          </w:tcPr>
          <w:p w14:paraId="31CB2759"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1</w:t>
            </w:r>
          </w:p>
        </w:tc>
        <w:tc>
          <w:tcPr>
            <w:tcW w:w="0" w:type="auto"/>
          </w:tcPr>
          <w:p w14:paraId="31CB275A"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1</w:t>
            </w:r>
          </w:p>
        </w:tc>
        <w:tc>
          <w:tcPr>
            <w:tcW w:w="0" w:type="auto"/>
          </w:tcPr>
          <w:p w14:paraId="31CB275B" w14:textId="40580386"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2</w:t>
            </w:r>
            <w:r>
              <w:rPr>
                <w:szCs w:val="24"/>
                <w:lang w:eastAsia="tr-TR"/>
              </w:rPr>
              <w:t xml:space="preserve"> (8</w:t>
            </w:r>
            <w:r w:rsidR="00A01358">
              <w:rPr>
                <w:szCs w:val="24"/>
                <w:lang w:eastAsia="tr-TR"/>
              </w:rPr>
              <w:t>.</w:t>
            </w:r>
            <w:r>
              <w:rPr>
                <w:szCs w:val="24"/>
                <w:lang w:eastAsia="tr-TR"/>
              </w:rPr>
              <w:t>3)</w:t>
            </w:r>
          </w:p>
        </w:tc>
      </w:tr>
      <w:tr w:rsidR="00906E03" w:rsidRPr="00003C68" w14:paraId="31CB2761" w14:textId="77777777" w:rsidTr="002C2495">
        <w:trPr>
          <w:trHeight w:val="251"/>
        </w:trPr>
        <w:tc>
          <w:tcPr>
            <w:cnfStyle w:val="001000000000" w:firstRow="0" w:lastRow="0" w:firstColumn="1" w:lastColumn="0" w:oddVBand="0" w:evenVBand="0" w:oddHBand="0" w:evenHBand="0" w:firstRowFirstColumn="0" w:firstRowLastColumn="0" w:lastRowFirstColumn="0" w:lastRowLastColumn="0"/>
            <w:tcW w:w="0" w:type="auto"/>
            <w:noWrap/>
          </w:tcPr>
          <w:p w14:paraId="31CB275D"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Kronik Rejeksiyon</w:t>
            </w:r>
          </w:p>
        </w:tc>
        <w:tc>
          <w:tcPr>
            <w:tcW w:w="0" w:type="auto"/>
          </w:tcPr>
          <w:p w14:paraId="31CB275E"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w:t>
            </w:r>
          </w:p>
        </w:tc>
        <w:tc>
          <w:tcPr>
            <w:tcW w:w="0" w:type="auto"/>
          </w:tcPr>
          <w:p w14:paraId="31CB275F"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2</w:t>
            </w:r>
          </w:p>
        </w:tc>
        <w:tc>
          <w:tcPr>
            <w:tcW w:w="0" w:type="auto"/>
          </w:tcPr>
          <w:p w14:paraId="31CB2760" w14:textId="1571D45B"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2</w:t>
            </w:r>
            <w:r>
              <w:rPr>
                <w:szCs w:val="24"/>
                <w:lang w:eastAsia="tr-TR"/>
              </w:rPr>
              <w:t xml:space="preserve"> (8</w:t>
            </w:r>
            <w:r w:rsidR="00A01358">
              <w:rPr>
                <w:szCs w:val="24"/>
                <w:lang w:eastAsia="tr-TR"/>
              </w:rPr>
              <w:t>.</w:t>
            </w:r>
            <w:r>
              <w:rPr>
                <w:szCs w:val="24"/>
                <w:lang w:eastAsia="tr-TR"/>
              </w:rPr>
              <w:t>3)</w:t>
            </w:r>
          </w:p>
        </w:tc>
      </w:tr>
      <w:tr w:rsidR="00906E03" w:rsidRPr="00003C68" w14:paraId="31CB2766" w14:textId="77777777" w:rsidTr="002C2495">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0" w:type="auto"/>
            <w:noWrap/>
          </w:tcPr>
          <w:p w14:paraId="31CB2762"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Otoimmün Hepatit</w:t>
            </w:r>
          </w:p>
        </w:tc>
        <w:tc>
          <w:tcPr>
            <w:tcW w:w="0" w:type="auto"/>
          </w:tcPr>
          <w:p w14:paraId="31CB2763"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2</w:t>
            </w:r>
          </w:p>
        </w:tc>
        <w:tc>
          <w:tcPr>
            <w:tcW w:w="0" w:type="auto"/>
          </w:tcPr>
          <w:p w14:paraId="31CB2764"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w:t>
            </w:r>
          </w:p>
        </w:tc>
        <w:tc>
          <w:tcPr>
            <w:tcW w:w="0" w:type="auto"/>
          </w:tcPr>
          <w:p w14:paraId="31CB2765" w14:textId="671819EC"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2</w:t>
            </w:r>
            <w:r>
              <w:rPr>
                <w:szCs w:val="24"/>
                <w:lang w:eastAsia="tr-TR"/>
              </w:rPr>
              <w:t xml:space="preserve"> (8</w:t>
            </w:r>
            <w:r w:rsidR="00A01358">
              <w:rPr>
                <w:szCs w:val="24"/>
                <w:lang w:eastAsia="tr-TR"/>
              </w:rPr>
              <w:t>.</w:t>
            </w:r>
            <w:r>
              <w:rPr>
                <w:szCs w:val="24"/>
                <w:lang w:eastAsia="tr-TR"/>
              </w:rPr>
              <w:t>3)</w:t>
            </w:r>
          </w:p>
        </w:tc>
      </w:tr>
      <w:tr w:rsidR="00906E03" w:rsidRPr="00003C68" w14:paraId="31CB276B" w14:textId="77777777" w:rsidTr="002C2495">
        <w:trPr>
          <w:trHeight w:val="251"/>
        </w:trPr>
        <w:tc>
          <w:tcPr>
            <w:cnfStyle w:val="001000000000" w:firstRow="0" w:lastRow="0" w:firstColumn="1" w:lastColumn="0" w:oddVBand="0" w:evenVBand="0" w:oddHBand="0" w:evenHBand="0" w:firstRowFirstColumn="0" w:firstRowLastColumn="0" w:lastRowFirstColumn="0" w:lastRowLastColumn="0"/>
            <w:tcW w:w="0" w:type="auto"/>
            <w:noWrap/>
          </w:tcPr>
          <w:p w14:paraId="31CB2767"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 xml:space="preserve">Budd-Chiari </w:t>
            </w:r>
          </w:p>
        </w:tc>
        <w:tc>
          <w:tcPr>
            <w:tcW w:w="0" w:type="auto"/>
          </w:tcPr>
          <w:p w14:paraId="31CB2768"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1</w:t>
            </w:r>
          </w:p>
        </w:tc>
        <w:tc>
          <w:tcPr>
            <w:tcW w:w="0" w:type="auto"/>
          </w:tcPr>
          <w:p w14:paraId="31CB2769"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1</w:t>
            </w:r>
          </w:p>
        </w:tc>
        <w:tc>
          <w:tcPr>
            <w:tcW w:w="0" w:type="auto"/>
          </w:tcPr>
          <w:p w14:paraId="31CB276A" w14:textId="0D0DF192"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2</w:t>
            </w:r>
            <w:r>
              <w:rPr>
                <w:szCs w:val="24"/>
                <w:lang w:eastAsia="tr-TR"/>
              </w:rPr>
              <w:t xml:space="preserve"> (8</w:t>
            </w:r>
            <w:r w:rsidR="00A01358">
              <w:rPr>
                <w:szCs w:val="24"/>
                <w:lang w:eastAsia="tr-TR"/>
              </w:rPr>
              <w:t>.</w:t>
            </w:r>
            <w:r>
              <w:rPr>
                <w:szCs w:val="24"/>
                <w:lang w:eastAsia="tr-TR"/>
              </w:rPr>
              <w:t>3)</w:t>
            </w:r>
          </w:p>
        </w:tc>
      </w:tr>
      <w:tr w:rsidR="00906E03" w:rsidRPr="00003C68" w14:paraId="31CB2770" w14:textId="77777777" w:rsidTr="002C2495">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0" w:type="auto"/>
            <w:noWrap/>
          </w:tcPr>
          <w:p w14:paraId="31CB276C"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Primer Sklerozan Kolanjit</w:t>
            </w:r>
          </w:p>
        </w:tc>
        <w:tc>
          <w:tcPr>
            <w:tcW w:w="0" w:type="auto"/>
          </w:tcPr>
          <w:p w14:paraId="31CB276D"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1</w:t>
            </w:r>
          </w:p>
        </w:tc>
        <w:tc>
          <w:tcPr>
            <w:tcW w:w="0" w:type="auto"/>
          </w:tcPr>
          <w:p w14:paraId="31CB276E"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1</w:t>
            </w:r>
          </w:p>
        </w:tc>
        <w:tc>
          <w:tcPr>
            <w:tcW w:w="0" w:type="auto"/>
          </w:tcPr>
          <w:p w14:paraId="31CB276F" w14:textId="72091C50"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2</w:t>
            </w:r>
            <w:r>
              <w:rPr>
                <w:szCs w:val="24"/>
                <w:lang w:eastAsia="tr-TR"/>
              </w:rPr>
              <w:t xml:space="preserve"> (8</w:t>
            </w:r>
            <w:r w:rsidR="00A01358">
              <w:rPr>
                <w:szCs w:val="24"/>
                <w:lang w:eastAsia="tr-TR"/>
              </w:rPr>
              <w:t>.</w:t>
            </w:r>
            <w:r>
              <w:rPr>
                <w:szCs w:val="24"/>
                <w:lang w:eastAsia="tr-TR"/>
              </w:rPr>
              <w:t>3)</w:t>
            </w:r>
          </w:p>
        </w:tc>
      </w:tr>
      <w:tr w:rsidR="00906E03" w:rsidRPr="00003C68" w14:paraId="31CB2775" w14:textId="77777777" w:rsidTr="002C2495">
        <w:trPr>
          <w:trHeight w:val="251"/>
        </w:trPr>
        <w:tc>
          <w:tcPr>
            <w:cnfStyle w:val="001000000000" w:firstRow="0" w:lastRow="0" w:firstColumn="1" w:lastColumn="0" w:oddVBand="0" w:evenVBand="0" w:oddHBand="0" w:evenHBand="0" w:firstRowFirstColumn="0" w:firstRowLastColumn="0" w:lastRowFirstColumn="0" w:lastRowLastColumn="0"/>
            <w:tcW w:w="0" w:type="auto"/>
            <w:noWrap/>
            <w:hideMark/>
          </w:tcPr>
          <w:p w14:paraId="31CB2771"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HBV+ HCC</w:t>
            </w:r>
          </w:p>
        </w:tc>
        <w:tc>
          <w:tcPr>
            <w:tcW w:w="0" w:type="auto"/>
          </w:tcPr>
          <w:p w14:paraId="31CB2772"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w:t>
            </w:r>
          </w:p>
        </w:tc>
        <w:tc>
          <w:tcPr>
            <w:tcW w:w="0" w:type="auto"/>
          </w:tcPr>
          <w:p w14:paraId="31CB2773"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1</w:t>
            </w:r>
          </w:p>
        </w:tc>
        <w:tc>
          <w:tcPr>
            <w:tcW w:w="0" w:type="auto"/>
          </w:tcPr>
          <w:p w14:paraId="31CB2774" w14:textId="4DEDFA13"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1</w:t>
            </w:r>
            <w:r>
              <w:rPr>
                <w:szCs w:val="24"/>
                <w:lang w:eastAsia="tr-TR"/>
              </w:rPr>
              <w:t xml:space="preserve"> (4</w:t>
            </w:r>
            <w:r w:rsidR="00A01358">
              <w:rPr>
                <w:szCs w:val="24"/>
                <w:lang w:eastAsia="tr-TR"/>
              </w:rPr>
              <w:t>.</w:t>
            </w:r>
            <w:r>
              <w:rPr>
                <w:szCs w:val="24"/>
                <w:lang w:eastAsia="tr-TR"/>
              </w:rPr>
              <w:t>1)</w:t>
            </w:r>
          </w:p>
        </w:tc>
      </w:tr>
      <w:tr w:rsidR="00906E03" w:rsidRPr="00003C68" w14:paraId="31CB277A" w14:textId="77777777" w:rsidTr="002C2495">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0" w:type="auto"/>
            <w:noWrap/>
            <w:hideMark/>
          </w:tcPr>
          <w:p w14:paraId="31CB2776"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HCC</w:t>
            </w:r>
          </w:p>
        </w:tc>
        <w:tc>
          <w:tcPr>
            <w:tcW w:w="0" w:type="auto"/>
          </w:tcPr>
          <w:p w14:paraId="31CB2777"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1</w:t>
            </w:r>
          </w:p>
        </w:tc>
        <w:tc>
          <w:tcPr>
            <w:tcW w:w="0" w:type="auto"/>
          </w:tcPr>
          <w:p w14:paraId="31CB2778"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w:t>
            </w:r>
          </w:p>
        </w:tc>
        <w:tc>
          <w:tcPr>
            <w:tcW w:w="0" w:type="auto"/>
          </w:tcPr>
          <w:p w14:paraId="31CB2779" w14:textId="29A0769F"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1</w:t>
            </w:r>
            <w:r>
              <w:rPr>
                <w:szCs w:val="24"/>
                <w:lang w:eastAsia="tr-TR"/>
              </w:rPr>
              <w:t xml:space="preserve"> (4</w:t>
            </w:r>
            <w:r w:rsidR="00A01358">
              <w:rPr>
                <w:szCs w:val="24"/>
                <w:lang w:eastAsia="tr-TR"/>
              </w:rPr>
              <w:t>.</w:t>
            </w:r>
            <w:r>
              <w:rPr>
                <w:szCs w:val="24"/>
                <w:lang w:eastAsia="tr-TR"/>
              </w:rPr>
              <w:t>1)</w:t>
            </w:r>
          </w:p>
        </w:tc>
      </w:tr>
      <w:tr w:rsidR="00906E03" w:rsidRPr="00003C68" w14:paraId="31CB277F" w14:textId="77777777" w:rsidTr="002C2495">
        <w:trPr>
          <w:trHeight w:val="251"/>
        </w:trPr>
        <w:tc>
          <w:tcPr>
            <w:cnfStyle w:val="001000000000" w:firstRow="0" w:lastRow="0" w:firstColumn="1" w:lastColumn="0" w:oddVBand="0" w:evenVBand="0" w:oddHBand="0" w:evenHBand="0" w:firstRowFirstColumn="0" w:firstRowLastColumn="0" w:lastRowFirstColumn="0" w:lastRowLastColumn="0"/>
            <w:tcW w:w="0" w:type="auto"/>
            <w:noWrap/>
          </w:tcPr>
          <w:p w14:paraId="31CB277B"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Biliyer Atrezi</w:t>
            </w:r>
          </w:p>
        </w:tc>
        <w:tc>
          <w:tcPr>
            <w:tcW w:w="0" w:type="auto"/>
          </w:tcPr>
          <w:p w14:paraId="31CB277C"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1</w:t>
            </w:r>
          </w:p>
        </w:tc>
        <w:tc>
          <w:tcPr>
            <w:tcW w:w="0" w:type="auto"/>
          </w:tcPr>
          <w:p w14:paraId="31CB277D"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w:t>
            </w:r>
          </w:p>
        </w:tc>
        <w:tc>
          <w:tcPr>
            <w:tcW w:w="0" w:type="auto"/>
          </w:tcPr>
          <w:p w14:paraId="31CB277E" w14:textId="18734DCD"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1</w:t>
            </w:r>
            <w:r>
              <w:rPr>
                <w:szCs w:val="24"/>
                <w:lang w:eastAsia="tr-TR"/>
              </w:rPr>
              <w:t xml:space="preserve"> (4</w:t>
            </w:r>
            <w:r w:rsidR="00A01358">
              <w:rPr>
                <w:szCs w:val="24"/>
                <w:lang w:eastAsia="tr-TR"/>
              </w:rPr>
              <w:t>.</w:t>
            </w:r>
            <w:r>
              <w:rPr>
                <w:szCs w:val="24"/>
                <w:lang w:eastAsia="tr-TR"/>
              </w:rPr>
              <w:t>1)</w:t>
            </w:r>
          </w:p>
        </w:tc>
      </w:tr>
      <w:tr w:rsidR="00906E03" w:rsidRPr="00003C68" w14:paraId="31CB2784" w14:textId="77777777" w:rsidTr="002C2495">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0" w:type="auto"/>
            <w:noWrap/>
          </w:tcPr>
          <w:p w14:paraId="31CB2780"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Wilson Hastalığı</w:t>
            </w:r>
          </w:p>
        </w:tc>
        <w:tc>
          <w:tcPr>
            <w:tcW w:w="0" w:type="auto"/>
          </w:tcPr>
          <w:p w14:paraId="31CB2781"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1</w:t>
            </w:r>
          </w:p>
        </w:tc>
        <w:tc>
          <w:tcPr>
            <w:tcW w:w="0" w:type="auto"/>
          </w:tcPr>
          <w:p w14:paraId="31CB2782"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w:t>
            </w:r>
          </w:p>
        </w:tc>
        <w:tc>
          <w:tcPr>
            <w:tcW w:w="0" w:type="auto"/>
          </w:tcPr>
          <w:p w14:paraId="31CB2783" w14:textId="34C30736"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1</w:t>
            </w:r>
            <w:r>
              <w:rPr>
                <w:szCs w:val="24"/>
                <w:lang w:eastAsia="tr-TR"/>
              </w:rPr>
              <w:t xml:space="preserve"> (4</w:t>
            </w:r>
            <w:r w:rsidR="00A01358">
              <w:rPr>
                <w:szCs w:val="24"/>
                <w:lang w:eastAsia="tr-TR"/>
              </w:rPr>
              <w:t>.</w:t>
            </w:r>
            <w:r>
              <w:rPr>
                <w:szCs w:val="24"/>
                <w:lang w:eastAsia="tr-TR"/>
              </w:rPr>
              <w:t>1)</w:t>
            </w:r>
          </w:p>
        </w:tc>
      </w:tr>
      <w:tr w:rsidR="00906E03" w:rsidRPr="00003C68" w14:paraId="31CB2789" w14:textId="77777777" w:rsidTr="002C2495">
        <w:trPr>
          <w:trHeight w:val="251"/>
        </w:trPr>
        <w:tc>
          <w:tcPr>
            <w:cnfStyle w:val="001000000000" w:firstRow="0" w:lastRow="0" w:firstColumn="1" w:lastColumn="0" w:oddVBand="0" w:evenVBand="0" w:oddHBand="0" w:evenHBand="0" w:firstRowFirstColumn="0" w:firstRowLastColumn="0" w:lastRowFirstColumn="0" w:lastRowLastColumn="0"/>
            <w:tcW w:w="0" w:type="auto"/>
            <w:noWrap/>
          </w:tcPr>
          <w:p w14:paraId="31CB2785" w14:textId="77777777" w:rsidR="00906E03" w:rsidRPr="00EB663D" w:rsidRDefault="00906E03" w:rsidP="001828DF">
            <w:pPr>
              <w:ind w:firstLine="0"/>
              <w:rPr>
                <w:rFonts w:eastAsia="Times New Roman"/>
                <w:b w:val="0"/>
                <w:color w:val="000000"/>
                <w:szCs w:val="24"/>
                <w:lang w:eastAsia="tr-TR"/>
              </w:rPr>
            </w:pPr>
            <w:r>
              <w:rPr>
                <w:rFonts w:eastAsia="Times New Roman"/>
                <w:b w:val="0"/>
                <w:color w:val="000000"/>
                <w:szCs w:val="24"/>
                <w:lang w:eastAsia="tr-TR"/>
              </w:rPr>
              <w:t>PFIC-1</w:t>
            </w:r>
          </w:p>
        </w:tc>
        <w:tc>
          <w:tcPr>
            <w:tcW w:w="0" w:type="auto"/>
          </w:tcPr>
          <w:p w14:paraId="31CB2786"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w:t>
            </w:r>
          </w:p>
        </w:tc>
        <w:tc>
          <w:tcPr>
            <w:tcW w:w="0" w:type="auto"/>
          </w:tcPr>
          <w:p w14:paraId="31CB2787"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1</w:t>
            </w:r>
          </w:p>
        </w:tc>
        <w:tc>
          <w:tcPr>
            <w:tcW w:w="0" w:type="auto"/>
          </w:tcPr>
          <w:p w14:paraId="31CB2788" w14:textId="30A8BC38"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1</w:t>
            </w:r>
            <w:r>
              <w:rPr>
                <w:szCs w:val="24"/>
                <w:lang w:eastAsia="tr-TR"/>
              </w:rPr>
              <w:t xml:space="preserve"> (4</w:t>
            </w:r>
            <w:r w:rsidR="00A01358">
              <w:rPr>
                <w:szCs w:val="24"/>
                <w:lang w:eastAsia="tr-TR"/>
              </w:rPr>
              <w:t>.</w:t>
            </w:r>
            <w:r>
              <w:rPr>
                <w:szCs w:val="24"/>
                <w:lang w:eastAsia="tr-TR"/>
              </w:rPr>
              <w:t>1)</w:t>
            </w:r>
          </w:p>
        </w:tc>
      </w:tr>
      <w:tr w:rsidR="00906E03" w:rsidRPr="00003C68" w14:paraId="31CB278E" w14:textId="77777777" w:rsidTr="002C2495">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0" w:type="auto"/>
            <w:noWrap/>
            <w:hideMark/>
          </w:tcPr>
          <w:p w14:paraId="31CB278A"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Metabolik Sendrom</w:t>
            </w:r>
          </w:p>
        </w:tc>
        <w:tc>
          <w:tcPr>
            <w:tcW w:w="0" w:type="auto"/>
          </w:tcPr>
          <w:p w14:paraId="31CB278B"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1</w:t>
            </w:r>
          </w:p>
        </w:tc>
        <w:tc>
          <w:tcPr>
            <w:tcW w:w="0" w:type="auto"/>
          </w:tcPr>
          <w:p w14:paraId="31CB278C" w14:textId="77777777"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w:t>
            </w:r>
          </w:p>
        </w:tc>
        <w:tc>
          <w:tcPr>
            <w:tcW w:w="0" w:type="auto"/>
          </w:tcPr>
          <w:p w14:paraId="31CB278D" w14:textId="22A63180" w:rsidR="00906E03" w:rsidRPr="00EB663D" w:rsidRDefault="00906E03" w:rsidP="001828DF">
            <w:pPr>
              <w:ind w:firstLine="0"/>
              <w:jc w:val="center"/>
              <w:cnfStyle w:val="000000100000" w:firstRow="0" w:lastRow="0" w:firstColumn="0" w:lastColumn="0" w:oddVBand="0" w:evenVBand="0" w:oddHBand="1" w:evenHBand="0" w:firstRowFirstColumn="0" w:firstRowLastColumn="0" w:lastRowFirstColumn="0" w:lastRowLastColumn="0"/>
              <w:rPr>
                <w:szCs w:val="24"/>
                <w:lang w:eastAsia="tr-TR"/>
              </w:rPr>
            </w:pPr>
            <w:r w:rsidRPr="00EB663D">
              <w:rPr>
                <w:szCs w:val="24"/>
                <w:lang w:eastAsia="tr-TR"/>
              </w:rPr>
              <w:t>1</w:t>
            </w:r>
            <w:r>
              <w:rPr>
                <w:szCs w:val="24"/>
                <w:lang w:eastAsia="tr-TR"/>
              </w:rPr>
              <w:t xml:space="preserve"> (4</w:t>
            </w:r>
            <w:r w:rsidR="00A01358">
              <w:rPr>
                <w:szCs w:val="24"/>
                <w:lang w:eastAsia="tr-TR"/>
              </w:rPr>
              <w:t>.</w:t>
            </w:r>
            <w:r>
              <w:rPr>
                <w:szCs w:val="24"/>
                <w:lang w:eastAsia="tr-TR"/>
              </w:rPr>
              <w:t>1)</w:t>
            </w:r>
          </w:p>
        </w:tc>
      </w:tr>
      <w:tr w:rsidR="00906E03" w:rsidRPr="00003C68" w14:paraId="31CB2793" w14:textId="77777777" w:rsidTr="002C2495">
        <w:trPr>
          <w:trHeight w:val="251"/>
        </w:trPr>
        <w:tc>
          <w:tcPr>
            <w:cnfStyle w:val="001000000000" w:firstRow="0" w:lastRow="0" w:firstColumn="1" w:lastColumn="0" w:oddVBand="0" w:evenVBand="0" w:oddHBand="0" w:evenHBand="0" w:firstRowFirstColumn="0" w:firstRowLastColumn="0" w:lastRowFirstColumn="0" w:lastRowLastColumn="0"/>
            <w:tcW w:w="0" w:type="auto"/>
            <w:noWrap/>
          </w:tcPr>
          <w:p w14:paraId="31CB278F" w14:textId="77777777" w:rsidR="00906E03" w:rsidRPr="00EB663D" w:rsidRDefault="00906E03" w:rsidP="001828DF">
            <w:pPr>
              <w:ind w:firstLine="0"/>
              <w:rPr>
                <w:rFonts w:eastAsia="Times New Roman"/>
                <w:b w:val="0"/>
                <w:color w:val="000000"/>
                <w:szCs w:val="24"/>
                <w:lang w:eastAsia="tr-TR"/>
              </w:rPr>
            </w:pPr>
            <w:r w:rsidRPr="00EB663D">
              <w:rPr>
                <w:rFonts w:eastAsia="Times New Roman"/>
                <w:b w:val="0"/>
                <w:color w:val="000000"/>
                <w:szCs w:val="24"/>
                <w:lang w:eastAsia="tr-TR"/>
              </w:rPr>
              <w:t>Parasetamol Toksisitesi</w:t>
            </w:r>
          </w:p>
        </w:tc>
        <w:tc>
          <w:tcPr>
            <w:tcW w:w="0" w:type="auto"/>
          </w:tcPr>
          <w:p w14:paraId="31CB2790"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1</w:t>
            </w:r>
          </w:p>
        </w:tc>
        <w:tc>
          <w:tcPr>
            <w:tcW w:w="0" w:type="auto"/>
          </w:tcPr>
          <w:p w14:paraId="31CB2791" w14:textId="77777777"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w:t>
            </w:r>
          </w:p>
        </w:tc>
        <w:tc>
          <w:tcPr>
            <w:tcW w:w="0" w:type="auto"/>
          </w:tcPr>
          <w:p w14:paraId="31CB2792" w14:textId="2A15391E" w:rsidR="00906E03" w:rsidRPr="00EB663D" w:rsidRDefault="00906E03" w:rsidP="001828DF">
            <w:pPr>
              <w:ind w:firstLine="0"/>
              <w:jc w:val="center"/>
              <w:cnfStyle w:val="000000000000" w:firstRow="0" w:lastRow="0" w:firstColumn="0" w:lastColumn="0" w:oddVBand="0" w:evenVBand="0" w:oddHBand="0" w:evenHBand="0" w:firstRowFirstColumn="0" w:firstRowLastColumn="0" w:lastRowFirstColumn="0" w:lastRowLastColumn="0"/>
              <w:rPr>
                <w:szCs w:val="24"/>
                <w:lang w:eastAsia="tr-TR"/>
              </w:rPr>
            </w:pPr>
            <w:r w:rsidRPr="00EB663D">
              <w:rPr>
                <w:szCs w:val="24"/>
                <w:lang w:eastAsia="tr-TR"/>
              </w:rPr>
              <w:t>1</w:t>
            </w:r>
            <w:r>
              <w:rPr>
                <w:szCs w:val="24"/>
                <w:lang w:eastAsia="tr-TR"/>
              </w:rPr>
              <w:t xml:space="preserve"> (4</w:t>
            </w:r>
            <w:r w:rsidR="00A01358">
              <w:rPr>
                <w:szCs w:val="24"/>
                <w:lang w:eastAsia="tr-TR"/>
              </w:rPr>
              <w:t>.</w:t>
            </w:r>
            <w:r>
              <w:rPr>
                <w:szCs w:val="24"/>
                <w:lang w:eastAsia="tr-TR"/>
              </w:rPr>
              <w:t>1)</w:t>
            </w:r>
          </w:p>
        </w:tc>
      </w:tr>
    </w:tbl>
    <w:p w14:paraId="31CB2794" w14:textId="77777777" w:rsidR="009B1C38" w:rsidRDefault="00906E03" w:rsidP="00906E03">
      <w:pPr>
        <w:spacing w:line="240" w:lineRule="auto"/>
        <w:rPr>
          <w:sz w:val="20"/>
          <w:szCs w:val="20"/>
        </w:rPr>
      </w:pPr>
      <w:r>
        <w:rPr>
          <w:sz w:val="20"/>
          <w:szCs w:val="20"/>
        </w:rPr>
        <w:t xml:space="preserve"> </w:t>
      </w:r>
    </w:p>
    <w:p w14:paraId="31CB2795" w14:textId="77777777" w:rsidR="00906E03" w:rsidRPr="0022778C" w:rsidRDefault="00906E03" w:rsidP="00906E03">
      <w:pPr>
        <w:spacing w:line="240" w:lineRule="auto"/>
        <w:rPr>
          <w:sz w:val="20"/>
          <w:szCs w:val="20"/>
        </w:rPr>
      </w:pPr>
      <w:r>
        <w:rPr>
          <w:sz w:val="20"/>
          <w:szCs w:val="20"/>
        </w:rPr>
        <w:t xml:space="preserve"> </w:t>
      </w:r>
      <w:r w:rsidRPr="0022778C">
        <w:rPr>
          <w:sz w:val="20"/>
          <w:szCs w:val="20"/>
        </w:rPr>
        <w:t>HBV: Hepatit B virüsü,</w:t>
      </w:r>
      <w:r w:rsidR="0016151B">
        <w:rPr>
          <w:sz w:val="20"/>
          <w:szCs w:val="20"/>
        </w:rPr>
        <w:t xml:space="preserve">    </w:t>
      </w:r>
      <w:r w:rsidRPr="0022778C">
        <w:rPr>
          <w:sz w:val="20"/>
          <w:szCs w:val="20"/>
        </w:rPr>
        <w:t xml:space="preserve"> HCC: Hepatosellüler Kanser,  </w:t>
      </w:r>
    </w:p>
    <w:p w14:paraId="31CB2796" w14:textId="77777777" w:rsidR="00906E03" w:rsidRPr="0022778C" w:rsidRDefault="001828DF" w:rsidP="00906E03">
      <w:pPr>
        <w:tabs>
          <w:tab w:val="left" w:pos="1473"/>
        </w:tabs>
        <w:spacing w:line="240" w:lineRule="auto"/>
        <w:ind w:firstLine="0"/>
        <w:rPr>
          <w:sz w:val="20"/>
          <w:szCs w:val="20"/>
        </w:rPr>
      </w:pPr>
      <w:r>
        <w:rPr>
          <w:sz w:val="20"/>
          <w:szCs w:val="20"/>
        </w:rPr>
        <w:t xml:space="preserve">               </w:t>
      </w:r>
      <w:r w:rsidR="00906E03" w:rsidRPr="0022778C">
        <w:rPr>
          <w:sz w:val="20"/>
          <w:szCs w:val="20"/>
        </w:rPr>
        <w:t xml:space="preserve">PFIC -1: </w:t>
      </w:r>
      <w:r w:rsidR="00906E03" w:rsidRPr="0022778C">
        <w:rPr>
          <w:sz w:val="20"/>
          <w:szCs w:val="20"/>
          <w:shd w:val="clear" w:color="auto" w:fill="FFFFFF"/>
        </w:rPr>
        <w:t>Progressive familial intrahepatic cholestasis type-1</w:t>
      </w:r>
    </w:p>
    <w:p w14:paraId="31CB2797" w14:textId="77777777" w:rsidR="00906E03" w:rsidRDefault="00906E03" w:rsidP="0033466E">
      <w:pPr>
        <w:rPr>
          <w:lang w:eastAsia="tr-TR"/>
        </w:rPr>
      </w:pPr>
    </w:p>
    <w:p w14:paraId="31CB2798" w14:textId="77777777" w:rsidR="00906E03" w:rsidRDefault="00906E03" w:rsidP="0033466E">
      <w:pPr>
        <w:rPr>
          <w:lang w:eastAsia="tr-TR"/>
        </w:rPr>
      </w:pPr>
    </w:p>
    <w:p w14:paraId="26D9A4F8" w14:textId="61413307" w:rsidR="002C7639" w:rsidRDefault="002C7639" w:rsidP="00250B92">
      <w:pPr>
        <w:rPr>
          <w:lang w:eastAsia="tr-TR"/>
        </w:rPr>
      </w:pPr>
      <w:r>
        <w:rPr>
          <w:lang w:eastAsia="tr-TR"/>
        </w:rPr>
        <w:t>Hastalarda sepsis nedenleri arasında</w:t>
      </w:r>
      <w:r w:rsidR="00CB12A7">
        <w:rPr>
          <w:lang w:eastAsia="tr-TR"/>
        </w:rPr>
        <w:t>;</w:t>
      </w:r>
      <w:r>
        <w:rPr>
          <w:lang w:eastAsia="tr-TR"/>
        </w:rPr>
        <w:t xml:space="preserve"> safra kaçağı, ince veya kalın barsak perforasyonu, hepatik arter trombozu (HAT), batın içi </w:t>
      </w:r>
      <w:r w:rsidR="0053611A">
        <w:rPr>
          <w:lang w:eastAsia="tr-TR"/>
        </w:rPr>
        <w:t>apse</w:t>
      </w:r>
      <w:r w:rsidR="00CB12A7">
        <w:rPr>
          <w:lang w:eastAsia="tr-TR"/>
        </w:rPr>
        <w:t xml:space="preserve"> veya enfekte mayi birikimi</w:t>
      </w:r>
      <w:r>
        <w:rPr>
          <w:lang w:eastAsia="tr-TR"/>
        </w:rPr>
        <w:t xml:space="preserve">, dalakta </w:t>
      </w:r>
      <w:r w:rsidR="0053611A">
        <w:rPr>
          <w:lang w:eastAsia="tr-TR"/>
        </w:rPr>
        <w:t>apse</w:t>
      </w:r>
      <w:r>
        <w:rPr>
          <w:lang w:eastAsia="tr-TR"/>
        </w:rPr>
        <w:t xml:space="preserve">, primer non-fonksiyone karaciğer görüldü. </w:t>
      </w:r>
      <w:r w:rsidR="00B83824">
        <w:rPr>
          <w:lang w:eastAsia="tr-TR"/>
        </w:rPr>
        <w:t>Bütün hastalar b</w:t>
      </w:r>
      <w:r>
        <w:rPr>
          <w:lang w:eastAsia="tr-TR"/>
        </w:rPr>
        <w:t>u nedenlere bağlı olarak reoperasyona alındı. Bu hastalar</w:t>
      </w:r>
      <w:r w:rsidR="00CB12A7">
        <w:rPr>
          <w:lang w:eastAsia="tr-TR"/>
        </w:rPr>
        <w:t>dan</w:t>
      </w:r>
      <w:r w:rsidR="00B83824">
        <w:rPr>
          <w:lang w:eastAsia="tr-TR"/>
        </w:rPr>
        <w:t>,</w:t>
      </w:r>
      <w:r>
        <w:rPr>
          <w:lang w:eastAsia="tr-TR"/>
        </w:rPr>
        <w:t xml:space="preserve"> 5 tanesi</w:t>
      </w:r>
      <w:r w:rsidR="00B83824">
        <w:rPr>
          <w:lang w:eastAsia="tr-TR"/>
        </w:rPr>
        <w:t>nde</w:t>
      </w:r>
      <w:r w:rsidR="00CB12A7">
        <w:rPr>
          <w:lang w:eastAsia="tr-TR"/>
        </w:rPr>
        <w:t xml:space="preserve"> </w:t>
      </w:r>
      <w:r>
        <w:rPr>
          <w:lang w:eastAsia="tr-TR"/>
        </w:rPr>
        <w:t xml:space="preserve">hepatik arter trombozu (HAT) ve 1 </w:t>
      </w:r>
      <w:r w:rsidR="00CB12A7">
        <w:rPr>
          <w:lang w:eastAsia="tr-TR"/>
        </w:rPr>
        <w:t>tanesi</w:t>
      </w:r>
      <w:r w:rsidR="00B83824">
        <w:rPr>
          <w:lang w:eastAsia="tr-TR"/>
        </w:rPr>
        <w:t>nde</w:t>
      </w:r>
      <w:r>
        <w:rPr>
          <w:lang w:eastAsia="tr-TR"/>
        </w:rPr>
        <w:t xml:space="preserve"> primer greft non-fonksiyonu</w:t>
      </w:r>
      <w:r w:rsidR="00CB12A7">
        <w:rPr>
          <w:lang w:eastAsia="tr-TR"/>
        </w:rPr>
        <w:t>na bağlı olmak üzere toplamda 6 (%25) hasta</w:t>
      </w:r>
      <w:r w:rsidR="00B83824">
        <w:rPr>
          <w:lang w:eastAsia="tr-TR"/>
        </w:rPr>
        <w:t>da</w:t>
      </w:r>
      <w:r>
        <w:rPr>
          <w:lang w:eastAsia="tr-TR"/>
        </w:rPr>
        <w:t xml:space="preserve"> </w:t>
      </w:r>
      <w:r w:rsidR="00CB12A7">
        <w:rPr>
          <w:lang w:eastAsia="tr-TR"/>
        </w:rPr>
        <w:t>r</w:t>
      </w:r>
      <w:r>
        <w:rPr>
          <w:lang w:eastAsia="tr-TR"/>
        </w:rPr>
        <w:t xml:space="preserve">etransplantasyon yapıldı. </w:t>
      </w:r>
      <w:r w:rsidR="00B83824">
        <w:rPr>
          <w:lang w:eastAsia="tr-TR"/>
        </w:rPr>
        <w:t>Ayrıca barsak p</w:t>
      </w:r>
      <w:r>
        <w:rPr>
          <w:lang w:eastAsia="tr-TR"/>
        </w:rPr>
        <w:t>erforasyon</w:t>
      </w:r>
      <w:r w:rsidR="00B83824">
        <w:rPr>
          <w:lang w:eastAsia="tr-TR"/>
        </w:rPr>
        <w:t>u</w:t>
      </w:r>
      <w:r>
        <w:rPr>
          <w:lang w:eastAsia="tr-TR"/>
        </w:rPr>
        <w:t xml:space="preserve"> nedeniyle</w:t>
      </w:r>
      <w:r w:rsidR="00CB12A7">
        <w:rPr>
          <w:lang w:eastAsia="tr-TR"/>
        </w:rPr>
        <w:t xml:space="preserve"> </w:t>
      </w:r>
      <w:r>
        <w:rPr>
          <w:lang w:eastAsia="tr-TR"/>
        </w:rPr>
        <w:t xml:space="preserve">reoperasyona alınan hastalardan 6 (%25) tanesine stoma açılmıştır. </w:t>
      </w:r>
    </w:p>
    <w:p w14:paraId="3CD41E88" w14:textId="6F32146E" w:rsidR="00BF0F9A" w:rsidRDefault="002C7639" w:rsidP="00250B92">
      <w:pPr>
        <w:rPr>
          <w:lang w:eastAsia="tr-TR"/>
        </w:rPr>
      </w:pPr>
      <w:r>
        <w:rPr>
          <w:lang w:eastAsia="tr-TR"/>
        </w:rPr>
        <w:t xml:space="preserve">Hastaların </w:t>
      </w:r>
      <w:r w:rsidR="00437A8F">
        <w:rPr>
          <w:lang w:eastAsia="tr-TR"/>
        </w:rPr>
        <w:t xml:space="preserve">cinsiyete ve nakil </w:t>
      </w:r>
      <w:r w:rsidR="00B83824">
        <w:rPr>
          <w:lang w:eastAsia="tr-TR"/>
        </w:rPr>
        <w:t>türüne</w:t>
      </w:r>
      <w:r w:rsidR="00437A8F">
        <w:rPr>
          <w:lang w:eastAsia="tr-TR"/>
        </w:rPr>
        <w:t xml:space="preserve"> göre </w:t>
      </w:r>
      <w:r>
        <w:rPr>
          <w:lang w:eastAsia="tr-TR"/>
        </w:rPr>
        <w:t>sepsis etiyoloji</w:t>
      </w:r>
      <w:r w:rsidR="00CB12A7">
        <w:rPr>
          <w:lang w:eastAsia="tr-TR"/>
        </w:rPr>
        <w:t>leri ve oranları Tablo 4.</w:t>
      </w:r>
      <w:r w:rsidR="00BF0F9A">
        <w:rPr>
          <w:lang w:eastAsia="tr-TR"/>
        </w:rPr>
        <w:t>3</w:t>
      </w:r>
      <w:r w:rsidR="00CB12A7">
        <w:rPr>
          <w:lang w:eastAsia="tr-TR"/>
        </w:rPr>
        <w:t xml:space="preserve"> de</w:t>
      </w:r>
      <w:r w:rsidR="00437A8F">
        <w:rPr>
          <w:lang w:eastAsia="tr-TR"/>
        </w:rPr>
        <w:t xml:space="preserve"> gösterilmiştir. </w:t>
      </w:r>
    </w:p>
    <w:p w14:paraId="61401AE1" w14:textId="7D86EA0B" w:rsidR="002C7639" w:rsidRDefault="00B83824" w:rsidP="00250B92">
      <w:pPr>
        <w:rPr>
          <w:lang w:eastAsia="tr-TR"/>
        </w:rPr>
      </w:pPr>
      <w:r>
        <w:rPr>
          <w:lang w:eastAsia="tr-TR"/>
        </w:rPr>
        <w:t>Ameliyat sırasında yapılan işlemler ve r</w:t>
      </w:r>
      <w:r w:rsidR="002C7639">
        <w:rPr>
          <w:lang w:eastAsia="tr-TR"/>
        </w:rPr>
        <w:t>e</w:t>
      </w:r>
      <w:r w:rsidR="008A1F60">
        <w:rPr>
          <w:lang w:eastAsia="tr-TR"/>
        </w:rPr>
        <w:t>laparot</w:t>
      </w:r>
      <w:r w:rsidR="002C7639">
        <w:rPr>
          <w:lang w:eastAsia="tr-TR"/>
        </w:rPr>
        <w:t xml:space="preserve">omi </w:t>
      </w:r>
      <w:r w:rsidR="00437A8F">
        <w:rPr>
          <w:lang w:eastAsia="tr-TR"/>
        </w:rPr>
        <w:t xml:space="preserve">nedenleri </w:t>
      </w:r>
      <w:r w:rsidR="00CB12A7">
        <w:rPr>
          <w:lang w:eastAsia="tr-TR"/>
        </w:rPr>
        <w:t>birlikte Tablo</w:t>
      </w:r>
      <w:r w:rsidR="002C7639">
        <w:rPr>
          <w:lang w:eastAsia="tr-TR"/>
        </w:rPr>
        <w:t xml:space="preserve"> 4.</w:t>
      </w:r>
      <w:r w:rsidR="00BF0F9A">
        <w:rPr>
          <w:lang w:eastAsia="tr-TR"/>
        </w:rPr>
        <w:t xml:space="preserve">4 </w:t>
      </w:r>
      <w:r w:rsidR="002C7639">
        <w:rPr>
          <w:lang w:eastAsia="tr-TR"/>
        </w:rPr>
        <w:t>de gösterilmiştir.</w:t>
      </w:r>
    </w:p>
    <w:p w14:paraId="31CB279C" w14:textId="77777777" w:rsidR="002E3CFB" w:rsidRDefault="002E3CFB" w:rsidP="00CE77E8">
      <w:pPr>
        <w:spacing w:line="240" w:lineRule="auto"/>
        <w:ind w:firstLine="0"/>
        <w:jc w:val="left"/>
        <w:rPr>
          <w:rFonts w:eastAsia="Times New Roman"/>
          <w:color w:val="000000"/>
          <w:szCs w:val="24"/>
          <w:lang w:eastAsia="tr-TR"/>
        </w:rPr>
      </w:pPr>
    </w:p>
    <w:p w14:paraId="30FF18D4" w14:textId="77777777" w:rsidR="00796992" w:rsidRDefault="00796992" w:rsidP="00CE77E8">
      <w:pPr>
        <w:spacing w:line="240" w:lineRule="auto"/>
        <w:ind w:firstLine="0"/>
        <w:jc w:val="left"/>
        <w:rPr>
          <w:rFonts w:eastAsia="Times New Roman"/>
          <w:color w:val="000000"/>
          <w:szCs w:val="24"/>
          <w:lang w:eastAsia="tr-TR"/>
        </w:rPr>
      </w:pPr>
    </w:p>
    <w:p w14:paraId="31CB279D" w14:textId="309F28D9" w:rsidR="007F1D7D" w:rsidRPr="002C2495" w:rsidRDefault="007F1D7D" w:rsidP="007F1D7D">
      <w:pPr>
        <w:pStyle w:val="ResimYazs"/>
        <w:rPr>
          <w:i w:val="0"/>
          <w:color w:val="auto"/>
          <w:sz w:val="24"/>
          <w:szCs w:val="24"/>
        </w:rPr>
      </w:pPr>
      <w:bookmarkStart w:id="545" w:name="_Toc45383395"/>
      <w:bookmarkStart w:id="546" w:name="_Toc49818018"/>
      <w:r w:rsidRPr="002C2495">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3</w:t>
      </w:r>
      <w:r w:rsidR="002B4CBE">
        <w:rPr>
          <w:i w:val="0"/>
          <w:color w:val="auto"/>
          <w:sz w:val="24"/>
          <w:szCs w:val="24"/>
        </w:rPr>
        <w:fldChar w:fldCharType="end"/>
      </w:r>
      <w:r w:rsidRPr="002C2495">
        <w:rPr>
          <w:i w:val="0"/>
          <w:color w:val="auto"/>
          <w:sz w:val="24"/>
          <w:szCs w:val="24"/>
        </w:rPr>
        <w:t xml:space="preserve"> Hastalardaki Sepsis Nedenleri</w:t>
      </w:r>
      <w:bookmarkEnd w:id="545"/>
      <w:bookmarkEnd w:id="546"/>
    </w:p>
    <w:tbl>
      <w:tblPr>
        <w:tblStyle w:val="TabloKlavuzu"/>
        <w:tblW w:w="9934" w:type="dxa"/>
        <w:tblInd w:w="-7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6"/>
        <w:gridCol w:w="939"/>
        <w:gridCol w:w="1603"/>
        <w:gridCol w:w="1296"/>
        <w:gridCol w:w="1416"/>
        <w:gridCol w:w="1034"/>
        <w:gridCol w:w="1284"/>
        <w:gridCol w:w="1146"/>
      </w:tblGrid>
      <w:tr w:rsidR="00F63126" w14:paraId="31CB27A7" w14:textId="77777777" w:rsidTr="00796992">
        <w:trPr>
          <w:trHeight w:val="342"/>
        </w:trPr>
        <w:tc>
          <w:tcPr>
            <w:tcW w:w="1216" w:type="dxa"/>
            <w:tcBorders>
              <w:bottom w:val="single" w:sz="4" w:space="0" w:color="auto"/>
            </w:tcBorders>
          </w:tcPr>
          <w:p w14:paraId="31CB279F" w14:textId="77777777" w:rsidR="00F63126" w:rsidRDefault="00F63126" w:rsidP="00F63126">
            <w:pPr>
              <w:ind w:firstLine="0"/>
              <w:jc w:val="left"/>
              <w:rPr>
                <w:rFonts w:eastAsia="Times New Roman"/>
                <w:color w:val="000000"/>
                <w:szCs w:val="24"/>
                <w:lang w:eastAsia="tr-TR"/>
              </w:rPr>
            </w:pPr>
          </w:p>
        </w:tc>
        <w:tc>
          <w:tcPr>
            <w:tcW w:w="939" w:type="dxa"/>
            <w:tcBorders>
              <w:bottom w:val="single" w:sz="4" w:space="0" w:color="auto"/>
            </w:tcBorders>
          </w:tcPr>
          <w:p w14:paraId="31CB27A0" w14:textId="77777777" w:rsidR="00F63126" w:rsidRPr="00EB0996" w:rsidRDefault="00F63126" w:rsidP="00F63126">
            <w:pPr>
              <w:ind w:firstLine="0"/>
              <w:jc w:val="center"/>
              <w:rPr>
                <w:rFonts w:eastAsia="Times New Roman"/>
                <w:b/>
                <w:color w:val="000000"/>
                <w:szCs w:val="24"/>
                <w:lang w:eastAsia="tr-TR"/>
              </w:rPr>
            </w:pPr>
            <w:r w:rsidRPr="00EB0996">
              <w:rPr>
                <w:rFonts w:eastAsia="Times New Roman"/>
                <w:b/>
                <w:color w:val="000000"/>
                <w:szCs w:val="24"/>
                <w:lang w:eastAsia="tr-TR"/>
              </w:rPr>
              <w:t>Safra Kaçağı</w:t>
            </w:r>
          </w:p>
        </w:tc>
        <w:tc>
          <w:tcPr>
            <w:tcW w:w="1603" w:type="dxa"/>
            <w:tcBorders>
              <w:bottom w:val="single" w:sz="4" w:space="0" w:color="auto"/>
            </w:tcBorders>
          </w:tcPr>
          <w:p w14:paraId="31CB27A1" w14:textId="77777777" w:rsidR="00F63126" w:rsidRPr="00EB0996" w:rsidRDefault="00F63126" w:rsidP="00F63126">
            <w:pPr>
              <w:ind w:firstLine="0"/>
              <w:jc w:val="center"/>
              <w:rPr>
                <w:rFonts w:eastAsia="Times New Roman"/>
                <w:b/>
                <w:color w:val="000000"/>
                <w:szCs w:val="24"/>
                <w:lang w:eastAsia="tr-TR"/>
              </w:rPr>
            </w:pPr>
            <w:r w:rsidRPr="00EB0996">
              <w:rPr>
                <w:rFonts w:eastAsia="Times New Roman"/>
                <w:b/>
                <w:color w:val="000000"/>
                <w:szCs w:val="24"/>
                <w:lang w:eastAsia="tr-TR"/>
              </w:rPr>
              <w:t>Barsak Perforasyonu</w:t>
            </w:r>
          </w:p>
        </w:tc>
        <w:tc>
          <w:tcPr>
            <w:tcW w:w="1296" w:type="dxa"/>
            <w:tcBorders>
              <w:bottom w:val="single" w:sz="4" w:space="0" w:color="auto"/>
            </w:tcBorders>
          </w:tcPr>
          <w:p w14:paraId="31CB27A2" w14:textId="77777777" w:rsidR="00F63126" w:rsidRPr="00EB0996" w:rsidRDefault="00F63126" w:rsidP="00F63126">
            <w:pPr>
              <w:ind w:firstLine="0"/>
              <w:jc w:val="center"/>
              <w:rPr>
                <w:rFonts w:eastAsia="Times New Roman"/>
                <w:b/>
                <w:color w:val="000000"/>
                <w:szCs w:val="24"/>
                <w:lang w:eastAsia="tr-TR"/>
              </w:rPr>
            </w:pPr>
            <w:r w:rsidRPr="00EB0996">
              <w:rPr>
                <w:rFonts w:eastAsia="Times New Roman"/>
                <w:b/>
                <w:color w:val="000000"/>
                <w:szCs w:val="24"/>
                <w:lang w:eastAsia="tr-TR"/>
              </w:rPr>
              <w:t>Hepatik Arter Trombozu</w:t>
            </w:r>
          </w:p>
        </w:tc>
        <w:tc>
          <w:tcPr>
            <w:tcW w:w="1416" w:type="dxa"/>
            <w:tcBorders>
              <w:bottom w:val="single" w:sz="4" w:space="0" w:color="auto"/>
            </w:tcBorders>
          </w:tcPr>
          <w:p w14:paraId="31CB27A3" w14:textId="40AB59E5" w:rsidR="00F63126" w:rsidRPr="00EB0996" w:rsidRDefault="00F63126" w:rsidP="00F63126">
            <w:pPr>
              <w:ind w:firstLine="0"/>
              <w:jc w:val="center"/>
              <w:rPr>
                <w:rFonts w:eastAsia="Times New Roman"/>
                <w:b/>
                <w:color w:val="000000"/>
                <w:szCs w:val="24"/>
                <w:lang w:eastAsia="tr-TR"/>
              </w:rPr>
            </w:pPr>
            <w:r w:rsidRPr="00EB0996">
              <w:rPr>
                <w:rFonts w:eastAsia="Times New Roman"/>
                <w:b/>
                <w:color w:val="000000"/>
                <w:szCs w:val="24"/>
                <w:lang w:eastAsia="tr-TR"/>
              </w:rPr>
              <w:t xml:space="preserve">Perihepatik </w:t>
            </w:r>
            <w:r w:rsidR="0053611A">
              <w:rPr>
                <w:rFonts w:eastAsia="Times New Roman"/>
                <w:b/>
                <w:color w:val="000000"/>
                <w:szCs w:val="24"/>
                <w:lang w:eastAsia="tr-TR"/>
              </w:rPr>
              <w:t>Apse</w:t>
            </w:r>
            <w:r w:rsidRPr="00EB0996">
              <w:rPr>
                <w:rFonts w:eastAsia="Times New Roman"/>
                <w:b/>
                <w:color w:val="000000"/>
                <w:szCs w:val="24"/>
                <w:lang w:eastAsia="tr-TR"/>
              </w:rPr>
              <w:t>-Mayi</w:t>
            </w:r>
          </w:p>
        </w:tc>
        <w:tc>
          <w:tcPr>
            <w:tcW w:w="1034" w:type="dxa"/>
            <w:tcBorders>
              <w:bottom w:val="single" w:sz="4" w:space="0" w:color="auto"/>
            </w:tcBorders>
          </w:tcPr>
          <w:p w14:paraId="31CB27A4" w14:textId="2C1258F9" w:rsidR="00F63126" w:rsidRPr="00EB0996" w:rsidRDefault="00F63126" w:rsidP="00F63126">
            <w:pPr>
              <w:ind w:firstLine="0"/>
              <w:jc w:val="center"/>
              <w:rPr>
                <w:rFonts w:eastAsia="Times New Roman"/>
                <w:b/>
                <w:color w:val="000000"/>
                <w:szCs w:val="24"/>
                <w:lang w:eastAsia="tr-TR"/>
              </w:rPr>
            </w:pPr>
            <w:r w:rsidRPr="00EB0996">
              <w:rPr>
                <w:rFonts w:eastAsia="Times New Roman"/>
                <w:b/>
                <w:color w:val="000000"/>
                <w:szCs w:val="24"/>
                <w:lang w:eastAsia="tr-TR"/>
              </w:rPr>
              <w:t xml:space="preserve">Dalakta </w:t>
            </w:r>
            <w:r w:rsidR="0053611A">
              <w:rPr>
                <w:rFonts w:eastAsia="Times New Roman"/>
                <w:b/>
                <w:color w:val="000000"/>
                <w:szCs w:val="24"/>
                <w:lang w:eastAsia="tr-TR"/>
              </w:rPr>
              <w:t>Apse</w:t>
            </w:r>
          </w:p>
        </w:tc>
        <w:tc>
          <w:tcPr>
            <w:tcW w:w="1284" w:type="dxa"/>
            <w:tcBorders>
              <w:bottom w:val="single" w:sz="4" w:space="0" w:color="auto"/>
            </w:tcBorders>
          </w:tcPr>
          <w:p w14:paraId="31CB27A5" w14:textId="77777777" w:rsidR="00F63126" w:rsidRPr="00EB0996" w:rsidRDefault="00F63126" w:rsidP="00F63126">
            <w:pPr>
              <w:ind w:firstLine="0"/>
              <w:jc w:val="center"/>
              <w:rPr>
                <w:rFonts w:eastAsia="Times New Roman"/>
                <w:b/>
                <w:color w:val="000000"/>
                <w:szCs w:val="24"/>
                <w:lang w:eastAsia="tr-TR"/>
              </w:rPr>
            </w:pPr>
            <w:r w:rsidRPr="00EB0996">
              <w:rPr>
                <w:rFonts w:eastAsia="Times New Roman"/>
                <w:b/>
                <w:color w:val="000000"/>
                <w:szCs w:val="24"/>
                <w:lang w:eastAsia="tr-TR"/>
              </w:rPr>
              <w:t>Non-Fonksiyon</w:t>
            </w:r>
          </w:p>
        </w:tc>
        <w:tc>
          <w:tcPr>
            <w:tcW w:w="1146" w:type="dxa"/>
            <w:tcBorders>
              <w:bottom w:val="single" w:sz="4" w:space="0" w:color="auto"/>
            </w:tcBorders>
          </w:tcPr>
          <w:p w14:paraId="31CB27A6" w14:textId="77777777" w:rsidR="00F63126" w:rsidRPr="00EB0996" w:rsidRDefault="00F63126" w:rsidP="00F63126">
            <w:pPr>
              <w:ind w:firstLine="0"/>
              <w:jc w:val="left"/>
              <w:rPr>
                <w:rFonts w:eastAsia="Times New Roman"/>
                <w:b/>
                <w:color w:val="000000"/>
                <w:szCs w:val="24"/>
                <w:lang w:eastAsia="tr-TR"/>
              </w:rPr>
            </w:pPr>
            <w:r w:rsidRPr="00EB0996">
              <w:rPr>
                <w:rFonts w:eastAsia="Times New Roman"/>
                <w:b/>
                <w:color w:val="000000"/>
                <w:szCs w:val="24"/>
                <w:lang w:eastAsia="tr-TR"/>
              </w:rPr>
              <w:t>N (%)</w:t>
            </w:r>
          </w:p>
        </w:tc>
      </w:tr>
      <w:tr w:rsidR="00F63126" w14:paraId="31CB27B0" w14:textId="77777777" w:rsidTr="00796992">
        <w:trPr>
          <w:trHeight w:val="230"/>
        </w:trPr>
        <w:tc>
          <w:tcPr>
            <w:tcW w:w="1216" w:type="dxa"/>
            <w:tcBorders>
              <w:top w:val="single" w:sz="4" w:space="0" w:color="auto"/>
            </w:tcBorders>
          </w:tcPr>
          <w:p w14:paraId="31CB27A8" w14:textId="77777777" w:rsidR="00F63126" w:rsidRPr="00BC2F70" w:rsidRDefault="00F63126" w:rsidP="00F63126">
            <w:pPr>
              <w:ind w:firstLine="0"/>
              <w:jc w:val="left"/>
              <w:rPr>
                <w:rFonts w:eastAsia="Times New Roman"/>
                <w:color w:val="000000"/>
                <w:szCs w:val="24"/>
                <w:lang w:eastAsia="tr-TR"/>
              </w:rPr>
            </w:pPr>
            <w:r w:rsidRPr="00BC2F70">
              <w:rPr>
                <w:rFonts w:eastAsia="Times New Roman"/>
                <w:color w:val="000000"/>
                <w:szCs w:val="24"/>
                <w:lang w:eastAsia="tr-TR"/>
              </w:rPr>
              <w:t>Kadın</w:t>
            </w:r>
          </w:p>
        </w:tc>
        <w:tc>
          <w:tcPr>
            <w:tcW w:w="939" w:type="dxa"/>
            <w:tcBorders>
              <w:top w:val="single" w:sz="4" w:space="0" w:color="auto"/>
            </w:tcBorders>
          </w:tcPr>
          <w:p w14:paraId="31CB27A9"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4</w:t>
            </w:r>
          </w:p>
        </w:tc>
        <w:tc>
          <w:tcPr>
            <w:tcW w:w="1603" w:type="dxa"/>
            <w:tcBorders>
              <w:top w:val="single" w:sz="4" w:space="0" w:color="auto"/>
            </w:tcBorders>
          </w:tcPr>
          <w:p w14:paraId="31CB27AA"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2*</w:t>
            </w:r>
          </w:p>
        </w:tc>
        <w:tc>
          <w:tcPr>
            <w:tcW w:w="1296" w:type="dxa"/>
            <w:tcBorders>
              <w:top w:val="single" w:sz="4" w:space="0" w:color="auto"/>
            </w:tcBorders>
          </w:tcPr>
          <w:p w14:paraId="31CB27AB"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1</w:t>
            </w:r>
          </w:p>
        </w:tc>
        <w:tc>
          <w:tcPr>
            <w:tcW w:w="1416" w:type="dxa"/>
            <w:tcBorders>
              <w:top w:val="single" w:sz="4" w:space="0" w:color="auto"/>
            </w:tcBorders>
          </w:tcPr>
          <w:p w14:paraId="31CB27AC"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3</w:t>
            </w:r>
          </w:p>
        </w:tc>
        <w:tc>
          <w:tcPr>
            <w:tcW w:w="1034" w:type="dxa"/>
            <w:tcBorders>
              <w:top w:val="single" w:sz="4" w:space="0" w:color="auto"/>
            </w:tcBorders>
          </w:tcPr>
          <w:p w14:paraId="31CB27AD"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1</w:t>
            </w:r>
          </w:p>
        </w:tc>
        <w:tc>
          <w:tcPr>
            <w:tcW w:w="1284" w:type="dxa"/>
            <w:tcBorders>
              <w:top w:val="single" w:sz="4" w:space="0" w:color="auto"/>
            </w:tcBorders>
          </w:tcPr>
          <w:p w14:paraId="31CB27AE"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w:t>
            </w:r>
          </w:p>
        </w:tc>
        <w:tc>
          <w:tcPr>
            <w:tcW w:w="1146" w:type="dxa"/>
            <w:tcBorders>
              <w:top w:val="single" w:sz="4" w:space="0" w:color="auto"/>
            </w:tcBorders>
          </w:tcPr>
          <w:p w14:paraId="31CB27AF" w14:textId="77777777" w:rsidR="00F63126" w:rsidRPr="00906E03" w:rsidRDefault="00F63126" w:rsidP="00F63126">
            <w:pPr>
              <w:ind w:firstLine="0"/>
              <w:jc w:val="left"/>
              <w:rPr>
                <w:rFonts w:eastAsia="Times New Roman"/>
                <w:b/>
                <w:color w:val="000000"/>
                <w:szCs w:val="24"/>
                <w:lang w:eastAsia="tr-TR"/>
              </w:rPr>
            </w:pPr>
            <w:r w:rsidRPr="00906E03">
              <w:rPr>
                <w:rFonts w:eastAsia="Times New Roman"/>
                <w:b/>
                <w:color w:val="000000"/>
                <w:szCs w:val="24"/>
                <w:lang w:eastAsia="tr-TR"/>
              </w:rPr>
              <w:t>11 (45,9)</w:t>
            </w:r>
          </w:p>
        </w:tc>
      </w:tr>
      <w:tr w:rsidR="00F63126" w14:paraId="31CB27B9" w14:textId="77777777" w:rsidTr="00796992">
        <w:trPr>
          <w:trHeight w:val="230"/>
        </w:trPr>
        <w:tc>
          <w:tcPr>
            <w:tcW w:w="1216" w:type="dxa"/>
            <w:tcBorders>
              <w:bottom w:val="single" w:sz="4" w:space="0" w:color="auto"/>
            </w:tcBorders>
          </w:tcPr>
          <w:p w14:paraId="31CB27B1" w14:textId="77777777" w:rsidR="00F63126" w:rsidRPr="00BC2F70" w:rsidRDefault="00F63126" w:rsidP="00F63126">
            <w:pPr>
              <w:ind w:firstLine="0"/>
              <w:jc w:val="left"/>
              <w:rPr>
                <w:rFonts w:eastAsia="Times New Roman"/>
                <w:color w:val="000000"/>
                <w:szCs w:val="24"/>
                <w:lang w:eastAsia="tr-TR"/>
              </w:rPr>
            </w:pPr>
            <w:r w:rsidRPr="00BC2F70">
              <w:rPr>
                <w:rFonts w:eastAsia="Times New Roman"/>
                <w:color w:val="000000"/>
                <w:szCs w:val="24"/>
                <w:lang w:eastAsia="tr-TR"/>
              </w:rPr>
              <w:t>Erkek</w:t>
            </w:r>
          </w:p>
        </w:tc>
        <w:tc>
          <w:tcPr>
            <w:tcW w:w="939" w:type="dxa"/>
            <w:tcBorders>
              <w:bottom w:val="single" w:sz="4" w:space="0" w:color="auto"/>
            </w:tcBorders>
          </w:tcPr>
          <w:p w14:paraId="31CB27B2"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4</w:t>
            </w:r>
          </w:p>
        </w:tc>
        <w:tc>
          <w:tcPr>
            <w:tcW w:w="1603" w:type="dxa"/>
            <w:tcBorders>
              <w:bottom w:val="single" w:sz="4" w:space="0" w:color="auto"/>
            </w:tcBorders>
          </w:tcPr>
          <w:p w14:paraId="31CB27B3"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 xml:space="preserve"> 4*</w:t>
            </w:r>
          </w:p>
        </w:tc>
        <w:tc>
          <w:tcPr>
            <w:tcW w:w="1296" w:type="dxa"/>
            <w:tcBorders>
              <w:bottom w:val="single" w:sz="4" w:space="0" w:color="auto"/>
            </w:tcBorders>
          </w:tcPr>
          <w:p w14:paraId="31CB27B4"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4</w:t>
            </w:r>
          </w:p>
        </w:tc>
        <w:tc>
          <w:tcPr>
            <w:tcW w:w="1416" w:type="dxa"/>
            <w:tcBorders>
              <w:bottom w:val="single" w:sz="4" w:space="0" w:color="auto"/>
            </w:tcBorders>
          </w:tcPr>
          <w:p w14:paraId="31CB27B5"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w:t>
            </w:r>
          </w:p>
        </w:tc>
        <w:tc>
          <w:tcPr>
            <w:tcW w:w="1034" w:type="dxa"/>
            <w:tcBorders>
              <w:bottom w:val="single" w:sz="4" w:space="0" w:color="auto"/>
            </w:tcBorders>
          </w:tcPr>
          <w:p w14:paraId="31CB27B6"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w:t>
            </w:r>
          </w:p>
        </w:tc>
        <w:tc>
          <w:tcPr>
            <w:tcW w:w="1284" w:type="dxa"/>
            <w:tcBorders>
              <w:bottom w:val="single" w:sz="4" w:space="0" w:color="auto"/>
            </w:tcBorders>
          </w:tcPr>
          <w:p w14:paraId="31CB27B7"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1</w:t>
            </w:r>
          </w:p>
        </w:tc>
        <w:tc>
          <w:tcPr>
            <w:tcW w:w="1146" w:type="dxa"/>
            <w:tcBorders>
              <w:bottom w:val="single" w:sz="4" w:space="0" w:color="auto"/>
            </w:tcBorders>
          </w:tcPr>
          <w:p w14:paraId="31CB27B8" w14:textId="77777777" w:rsidR="00F63126" w:rsidRPr="00906E03" w:rsidRDefault="00F63126" w:rsidP="00F63126">
            <w:pPr>
              <w:ind w:firstLine="0"/>
              <w:jc w:val="left"/>
              <w:rPr>
                <w:rFonts w:eastAsia="Times New Roman"/>
                <w:b/>
                <w:color w:val="000000"/>
                <w:szCs w:val="24"/>
                <w:lang w:eastAsia="tr-TR"/>
              </w:rPr>
            </w:pPr>
            <w:r w:rsidRPr="00906E03">
              <w:rPr>
                <w:rFonts w:eastAsia="Times New Roman"/>
                <w:b/>
                <w:color w:val="000000"/>
                <w:szCs w:val="24"/>
                <w:lang w:eastAsia="tr-TR"/>
              </w:rPr>
              <w:t>13 (54,1)</w:t>
            </w:r>
          </w:p>
        </w:tc>
      </w:tr>
      <w:tr w:rsidR="00F63126" w14:paraId="31CB27C2" w14:textId="77777777" w:rsidTr="00796992">
        <w:trPr>
          <w:trHeight w:val="230"/>
        </w:trPr>
        <w:tc>
          <w:tcPr>
            <w:tcW w:w="1216" w:type="dxa"/>
            <w:tcBorders>
              <w:top w:val="single" w:sz="4" w:space="0" w:color="auto"/>
            </w:tcBorders>
          </w:tcPr>
          <w:p w14:paraId="31CB27BA" w14:textId="77777777" w:rsidR="00F63126" w:rsidRPr="00BC2F70" w:rsidRDefault="00F63126" w:rsidP="00F63126">
            <w:pPr>
              <w:ind w:firstLine="0"/>
              <w:jc w:val="left"/>
              <w:rPr>
                <w:rFonts w:eastAsia="Times New Roman"/>
                <w:color w:val="000000"/>
                <w:szCs w:val="24"/>
                <w:lang w:eastAsia="tr-TR"/>
              </w:rPr>
            </w:pPr>
            <w:r w:rsidRPr="00BC2F70">
              <w:rPr>
                <w:rFonts w:eastAsia="Times New Roman"/>
                <w:color w:val="000000"/>
                <w:szCs w:val="24"/>
                <w:lang w:eastAsia="tr-TR"/>
              </w:rPr>
              <w:t>Canlı</w:t>
            </w:r>
          </w:p>
        </w:tc>
        <w:tc>
          <w:tcPr>
            <w:tcW w:w="939" w:type="dxa"/>
            <w:tcBorders>
              <w:top w:val="single" w:sz="4" w:space="0" w:color="auto"/>
            </w:tcBorders>
          </w:tcPr>
          <w:p w14:paraId="31CB27BB"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10</w:t>
            </w:r>
          </w:p>
        </w:tc>
        <w:tc>
          <w:tcPr>
            <w:tcW w:w="1603" w:type="dxa"/>
            <w:tcBorders>
              <w:top w:val="single" w:sz="4" w:space="0" w:color="auto"/>
            </w:tcBorders>
          </w:tcPr>
          <w:p w14:paraId="31CB27BC"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6</w:t>
            </w:r>
          </w:p>
        </w:tc>
        <w:tc>
          <w:tcPr>
            <w:tcW w:w="1296" w:type="dxa"/>
            <w:tcBorders>
              <w:top w:val="single" w:sz="4" w:space="0" w:color="auto"/>
            </w:tcBorders>
          </w:tcPr>
          <w:p w14:paraId="31CB27BD"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5</w:t>
            </w:r>
          </w:p>
        </w:tc>
        <w:tc>
          <w:tcPr>
            <w:tcW w:w="1416" w:type="dxa"/>
            <w:tcBorders>
              <w:top w:val="single" w:sz="4" w:space="0" w:color="auto"/>
            </w:tcBorders>
          </w:tcPr>
          <w:p w14:paraId="31CB27BE"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3</w:t>
            </w:r>
          </w:p>
        </w:tc>
        <w:tc>
          <w:tcPr>
            <w:tcW w:w="1034" w:type="dxa"/>
            <w:tcBorders>
              <w:top w:val="single" w:sz="4" w:space="0" w:color="auto"/>
            </w:tcBorders>
          </w:tcPr>
          <w:p w14:paraId="31CB27BF"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1</w:t>
            </w:r>
          </w:p>
        </w:tc>
        <w:tc>
          <w:tcPr>
            <w:tcW w:w="1284" w:type="dxa"/>
            <w:tcBorders>
              <w:top w:val="single" w:sz="4" w:space="0" w:color="auto"/>
            </w:tcBorders>
          </w:tcPr>
          <w:p w14:paraId="31CB27C0"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w:t>
            </w:r>
          </w:p>
        </w:tc>
        <w:tc>
          <w:tcPr>
            <w:tcW w:w="1146" w:type="dxa"/>
            <w:tcBorders>
              <w:top w:val="single" w:sz="4" w:space="0" w:color="auto"/>
            </w:tcBorders>
          </w:tcPr>
          <w:p w14:paraId="31CB27C1" w14:textId="77777777" w:rsidR="00F63126" w:rsidRPr="00906E03" w:rsidRDefault="00F63126" w:rsidP="00F63126">
            <w:pPr>
              <w:ind w:firstLine="0"/>
              <w:jc w:val="left"/>
              <w:rPr>
                <w:rFonts w:eastAsia="Times New Roman"/>
                <w:b/>
                <w:color w:val="000000"/>
                <w:szCs w:val="24"/>
                <w:lang w:eastAsia="tr-TR"/>
              </w:rPr>
            </w:pPr>
            <w:r w:rsidRPr="00906E03">
              <w:rPr>
                <w:rFonts w:eastAsia="Times New Roman"/>
                <w:b/>
                <w:color w:val="000000"/>
                <w:szCs w:val="24"/>
                <w:lang w:eastAsia="tr-TR"/>
              </w:rPr>
              <w:t>23 (95,4)</w:t>
            </w:r>
          </w:p>
        </w:tc>
      </w:tr>
      <w:tr w:rsidR="00F63126" w14:paraId="31CB27CB" w14:textId="77777777" w:rsidTr="00796992">
        <w:trPr>
          <w:trHeight w:val="222"/>
        </w:trPr>
        <w:tc>
          <w:tcPr>
            <w:tcW w:w="1216" w:type="dxa"/>
          </w:tcPr>
          <w:p w14:paraId="31CB27C3" w14:textId="77777777" w:rsidR="00F63126" w:rsidRPr="00BC2F70" w:rsidRDefault="00F63126" w:rsidP="00F63126">
            <w:pPr>
              <w:ind w:firstLine="0"/>
              <w:jc w:val="left"/>
              <w:rPr>
                <w:rFonts w:eastAsia="Times New Roman"/>
                <w:color w:val="000000"/>
                <w:szCs w:val="24"/>
                <w:lang w:eastAsia="tr-TR"/>
              </w:rPr>
            </w:pPr>
            <w:r w:rsidRPr="00BC2F70">
              <w:rPr>
                <w:rFonts w:eastAsia="Times New Roman"/>
                <w:color w:val="000000"/>
                <w:szCs w:val="24"/>
                <w:lang w:eastAsia="tr-TR"/>
              </w:rPr>
              <w:t>Kadaverik</w:t>
            </w:r>
          </w:p>
        </w:tc>
        <w:tc>
          <w:tcPr>
            <w:tcW w:w="939" w:type="dxa"/>
          </w:tcPr>
          <w:p w14:paraId="31CB27C4"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w:t>
            </w:r>
          </w:p>
        </w:tc>
        <w:tc>
          <w:tcPr>
            <w:tcW w:w="1603" w:type="dxa"/>
          </w:tcPr>
          <w:p w14:paraId="31CB27C5"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w:t>
            </w:r>
          </w:p>
        </w:tc>
        <w:tc>
          <w:tcPr>
            <w:tcW w:w="1296" w:type="dxa"/>
          </w:tcPr>
          <w:p w14:paraId="31CB27C6"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w:t>
            </w:r>
          </w:p>
        </w:tc>
        <w:tc>
          <w:tcPr>
            <w:tcW w:w="1416" w:type="dxa"/>
          </w:tcPr>
          <w:p w14:paraId="31CB27C7"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w:t>
            </w:r>
          </w:p>
        </w:tc>
        <w:tc>
          <w:tcPr>
            <w:tcW w:w="1034" w:type="dxa"/>
          </w:tcPr>
          <w:p w14:paraId="31CB27C8"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w:t>
            </w:r>
          </w:p>
        </w:tc>
        <w:tc>
          <w:tcPr>
            <w:tcW w:w="1284" w:type="dxa"/>
          </w:tcPr>
          <w:p w14:paraId="31CB27C9" w14:textId="77777777" w:rsidR="00F63126" w:rsidRDefault="00F63126" w:rsidP="00F63126">
            <w:pPr>
              <w:ind w:firstLine="0"/>
              <w:jc w:val="center"/>
              <w:rPr>
                <w:rFonts w:eastAsia="Times New Roman"/>
                <w:color w:val="000000"/>
                <w:szCs w:val="24"/>
                <w:lang w:eastAsia="tr-TR"/>
              </w:rPr>
            </w:pPr>
            <w:r>
              <w:rPr>
                <w:rFonts w:eastAsia="Times New Roman"/>
                <w:color w:val="000000"/>
                <w:szCs w:val="24"/>
                <w:lang w:eastAsia="tr-TR"/>
              </w:rPr>
              <w:t>1</w:t>
            </w:r>
          </w:p>
        </w:tc>
        <w:tc>
          <w:tcPr>
            <w:tcW w:w="1146" w:type="dxa"/>
          </w:tcPr>
          <w:p w14:paraId="31CB27CA" w14:textId="77777777" w:rsidR="00F63126" w:rsidRPr="00906E03" w:rsidRDefault="00F63126" w:rsidP="00F63126">
            <w:pPr>
              <w:ind w:firstLine="0"/>
              <w:jc w:val="left"/>
              <w:rPr>
                <w:rFonts w:eastAsia="Times New Roman"/>
                <w:b/>
                <w:color w:val="000000"/>
                <w:szCs w:val="24"/>
                <w:lang w:eastAsia="tr-TR"/>
              </w:rPr>
            </w:pPr>
            <w:r w:rsidRPr="00906E03">
              <w:rPr>
                <w:rFonts w:eastAsia="Times New Roman"/>
                <w:b/>
                <w:color w:val="000000"/>
                <w:szCs w:val="24"/>
                <w:lang w:eastAsia="tr-TR"/>
              </w:rPr>
              <w:t xml:space="preserve"> 1  (4,1)</w:t>
            </w:r>
          </w:p>
        </w:tc>
      </w:tr>
    </w:tbl>
    <w:p w14:paraId="31CB27CC" w14:textId="77777777" w:rsidR="000D6070" w:rsidRDefault="000D6070" w:rsidP="00EB0996">
      <w:pPr>
        <w:spacing w:line="240" w:lineRule="auto"/>
        <w:ind w:firstLine="0"/>
        <w:jc w:val="left"/>
        <w:rPr>
          <w:rFonts w:eastAsia="Times New Roman"/>
          <w:color w:val="000000"/>
          <w:szCs w:val="24"/>
          <w:lang w:eastAsia="tr-TR"/>
        </w:rPr>
      </w:pPr>
    </w:p>
    <w:p w14:paraId="31CB27CD" w14:textId="77777777" w:rsidR="002E3CFB" w:rsidRPr="000D6070" w:rsidRDefault="00465D4F" w:rsidP="00EB0996">
      <w:pPr>
        <w:spacing w:line="240" w:lineRule="auto"/>
        <w:ind w:firstLine="0"/>
        <w:jc w:val="left"/>
        <w:rPr>
          <w:rFonts w:eastAsia="Times New Roman"/>
          <w:color w:val="000000"/>
          <w:sz w:val="22"/>
          <w:lang w:eastAsia="tr-TR"/>
        </w:rPr>
      </w:pPr>
      <w:r w:rsidRPr="002C2495">
        <w:rPr>
          <w:rFonts w:eastAsia="Times New Roman"/>
          <w:color w:val="000000"/>
          <w:sz w:val="20"/>
          <w:szCs w:val="20"/>
          <w:lang w:eastAsia="tr-TR"/>
        </w:rPr>
        <w:t xml:space="preserve">* </w:t>
      </w:r>
      <w:r w:rsidR="0036358A" w:rsidRPr="002C2495">
        <w:rPr>
          <w:rFonts w:eastAsia="Times New Roman"/>
          <w:color w:val="000000"/>
          <w:sz w:val="20"/>
          <w:szCs w:val="20"/>
          <w:lang w:eastAsia="tr-TR"/>
        </w:rPr>
        <w:t>Barsak p</w:t>
      </w:r>
      <w:r w:rsidRPr="002C2495">
        <w:rPr>
          <w:rFonts w:eastAsia="Times New Roman"/>
          <w:color w:val="000000"/>
          <w:sz w:val="20"/>
          <w:szCs w:val="20"/>
          <w:lang w:eastAsia="tr-TR"/>
        </w:rPr>
        <w:t>erfor</w:t>
      </w:r>
      <w:r w:rsidR="0036358A" w:rsidRPr="002C2495">
        <w:rPr>
          <w:rFonts w:eastAsia="Times New Roman"/>
          <w:color w:val="000000"/>
          <w:sz w:val="20"/>
          <w:szCs w:val="20"/>
          <w:lang w:eastAsia="tr-TR"/>
        </w:rPr>
        <w:t xml:space="preserve">asyonu olan </w:t>
      </w:r>
      <w:r w:rsidR="00F63126" w:rsidRPr="002C2495">
        <w:rPr>
          <w:rFonts w:eastAsia="Times New Roman"/>
          <w:color w:val="000000"/>
          <w:sz w:val="20"/>
          <w:szCs w:val="20"/>
          <w:lang w:eastAsia="tr-TR"/>
        </w:rPr>
        <w:t>1</w:t>
      </w:r>
      <w:r w:rsidRPr="002C2495">
        <w:rPr>
          <w:rFonts w:eastAsia="Times New Roman"/>
          <w:color w:val="000000"/>
          <w:sz w:val="20"/>
          <w:szCs w:val="20"/>
          <w:lang w:eastAsia="tr-TR"/>
        </w:rPr>
        <w:t xml:space="preserve"> erkek </w:t>
      </w:r>
      <w:r w:rsidR="00F63126" w:rsidRPr="002C2495">
        <w:rPr>
          <w:rFonts w:eastAsia="Times New Roman"/>
          <w:color w:val="000000"/>
          <w:sz w:val="20"/>
          <w:szCs w:val="20"/>
          <w:lang w:eastAsia="tr-TR"/>
        </w:rPr>
        <w:t xml:space="preserve">ve 1 kadın </w:t>
      </w:r>
      <w:r w:rsidRPr="002C2495">
        <w:rPr>
          <w:rFonts w:eastAsia="Times New Roman"/>
          <w:color w:val="000000"/>
          <w:sz w:val="20"/>
          <w:szCs w:val="20"/>
          <w:lang w:eastAsia="tr-TR"/>
        </w:rPr>
        <w:t>hasta</w:t>
      </w:r>
      <w:r w:rsidR="0036358A" w:rsidRPr="002C2495">
        <w:rPr>
          <w:rFonts w:eastAsia="Times New Roman"/>
          <w:color w:val="000000"/>
          <w:sz w:val="20"/>
          <w:szCs w:val="20"/>
          <w:lang w:eastAsia="tr-TR"/>
        </w:rPr>
        <w:t xml:space="preserve">da, aynı </w:t>
      </w:r>
      <w:r w:rsidRPr="002C2495">
        <w:rPr>
          <w:rFonts w:eastAsia="Times New Roman"/>
          <w:color w:val="000000"/>
          <w:sz w:val="20"/>
          <w:szCs w:val="20"/>
          <w:lang w:eastAsia="tr-TR"/>
        </w:rPr>
        <w:t>zamanda safra kaçağı mevcuttu</w:t>
      </w:r>
      <w:r w:rsidRPr="000D6070">
        <w:rPr>
          <w:rFonts w:eastAsia="Times New Roman"/>
          <w:color w:val="000000"/>
          <w:sz w:val="22"/>
          <w:lang w:eastAsia="tr-TR"/>
        </w:rPr>
        <w:t>.</w:t>
      </w:r>
    </w:p>
    <w:p w14:paraId="31CB27CE" w14:textId="77777777" w:rsidR="00833CFC" w:rsidRDefault="00833CFC">
      <w:pPr>
        <w:spacing w:after="160"/>
        <w:ind w:left="680" w:firstLine="0"/>
        <w:rPr>
          <w:highlight w:val="yellow"/>
        </w:rPr>
      </w:pPr>
    </w:p>
    <w:p w14:paraId="79578FE2" w14:textId="77777777" w:rsidR="00BF0F9A" w:rsidRDefault="00BF0F9A">
      <w:pPr>
        <w:spacing w:after="160"/>
        <w:ind w:left="680" w:firstLine="0"/>
        <w:rPr>
          <w:highlight w:val="yellow"/>
        </w:rPr>
      </w:pPr>
    </w:p>
    <w:p w14:paraId="3FD4E253" w14:textId="77777777" w:rsidR="00BF0F9A" w:rsidRDefault="00BF0F9A">
      <w:pPr>
        <w:spacing w:after="160"/>
        <w:ind w:left="680" w:firstLine="0"/>
        <w:rPr>
          <w:highlight w:val="yellow"/>
        </w:rPr>
      </w:pPr>
    </w:p>
    <w:p w14:paraId="31CB27CF" w14:textId="591CBC7B" w:rsidR="00B154F6" w:rsidRPr="009F195B" w:rsidRDefault="00B154F6" w:rsidP="00B154F6">
      <w:pPr>
        <w:pStyle w:val="ResimYazs"/>
        <w:rPr>
          <w:i w:val="0"/>
          <w:color w:val="auto"/>
          <w:sz w:val="24"/>
          <w:szCs w:val="24"/>
        </w:rPr>
      </w:pPr>
      <w:bookmarkStart w:id="547" w:name="_Toc45383396"/>
      <w:bookmarkStart w:id="548" w:name="_Toc49818019"/>
      <w:r w:rsidRPr="009F195B">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Pr="009F195B">
        <w:rPr>
          <w:i w:val="0"/>
          <w:color w:val="auto"/>
          <w:sz w:val="24"/>
          <w:szCs w:val="24"/>
        </w:rPr>
        <w:t xml:space="preserve"> Re</w:t>
      </w:r>
      <w:r w:rsidR="008A1F60">
        <w:rPr>
          <w:i w:val="0"/>
          <w:color w:val="auto"/>
          <w:sz w:val="24"/>
          <w:szCs w:val="24"/>
        </w:rPr>
        <w:t>laparot</w:t>
      </w:r>
      <w:r w:rsidRPr="009F195B">
        <w:rPr>
          <w:i w:val="0"/>
          <w:color w:val="auto"/>
          <w:sz w:val="24"/>
          <w:szCs w:val="24"/>
        </w:rPr>
        <w:t xml:space="preserve">omi Nedenleri ve </w:t>
      </w:r>
      <w:bookmarkEnd w:id="547"/>
      <w:r w:rsidR="00B83824">
        <w:rPr>
          <w:i w:val="0"/>
          <w:color w:val="auto"/>
          <w:sz w:val="24"/>
          <w:szCs w:val="24"/>
        </w:rPr>
        <w:t>Yapılan Ameliyat</w:t>
      </w:r>
      <w:bookmarkEnd w:id="548"/>
    </w:p>
    <w:tbl>
      <w:tblPr>
        <w:tblStyle w:val="DzTablo1"/>
        <w:tblW w:w="8010" w:type="dxa"/>
        <w:jc w:val="center"/>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1261"/>
        <w:gridCol w:w="650"/>
        <w:gridCol w:w="1138"/>
        <w:gridCol w:w="2050"/>
        <w:gridCol w:w="2911"/>
      </w:tblGrid>
      <w:tr w:rsidR="00B154F6" w14:paraId="31CB27D6" w14:textId="77777777" w:rsidTr="00E87DDD">
        <w:trPr>
          <w:cnfStyle w:val="100000000000" w:firstRow="1" w:lastRow="0" w:firstColumn="0" w:lastColumn="0" w:oddVBand="0" w:evenVBand="0" w:oddHBand="0" w:evenHBand="0" w:firstRowFirstColumn="0" w:firstRowLastColumn="0" w:lastRowFirstColumn="0" w:lastRowLastColumn="0"/>
          <w:trHeight w:val="159"/>
          <w:jc w:val="center"/>
        </w:trPr>
        <w:tc>
          <w:tcPr>
            <w:cnfStyle w:val="001000000000" w:firstRow="0" w:lastRow="0" w:firstColumn="1" w:lastColumn="0" w:oddVBand="0" w:evenVBand="0" w:oddHBand="0" w:evenHBand="0" w:firstRowFirstColumn="0" w:firstRowLastColumn="0" w:lastRowFirstColumn="0" w:lastRowLastColumn="0"/>
            <w:tcW w:w="0" w:type="auto"/>
          </w:tcPr>
          <w:p w14:paraId="31CB27D0" w14:textId="77777777" w:rsidR="00B154F6" w:rsidRPr="004257A7" w:rsidRDefault="00B154F6" w:rsidP="001828DF">
            <w:pPr>
              <w:ind w:firstLine="0"/>
            </w:pPr>
            <w:r>
              <w:t>Hasta No</w:t>
            </w:r>
          </w:p>
        </w:tc>
        <w:tc>
          <w:tcPr>
            <w:tcW w:w="0" w:type="auto"/>
          </w:tcPr>
          <w:p w14:paraId="31CB27D1" w14:textId="77777777" w:rsidR="00B154F6" w:rsidRPr="004257A7" w:rsidRDefault="00B154F6" w:rsidP="001828DF">
            <w:pPr>
              <w:ind w:firstLine="0"/>
              <w:cnfStyle w:val="100000000000" w:firstRow="1" w:lastRow="0" w:firstColumn="0" w:lastColumn="0" w:oddVBand="0" w:evenVBand="0" w:oddHBand="0" w:evenHBand="0" w:firstRowFirstColumn="0" w:firstRowLastColumn="0" w:lastRowFirstColumn="0" w:lastRowLastColumn="0"/>
            </w:pPr>
            <w:r>
              <w:t>Yaş</w:t>
            </w:r>
          </w:p>
        </w:tc>
        <w:tc>
          <w:tcPr>
            <w:tcW w:w="0" w:type="auto"/>
          </w:tcPr>
          <w:p w14:paraId="31CB27D2" w14:textId="77777777" w:rsidR="00B154F6" w:rsidRPr="004257A7" w:rsidRDefault="00B154F6" w:rsidP="001828DF">
            <w:pPr>
              <w:ind w:firstLine="0"/>
              <w:cnfStyle w:val="100000000000" w:firstRow="1" w:lastRow="0" w:firstColumn="0" w:lastColumn="0" w:oddVBand="0" w:evenVBand="0" w:oddHBand="0" w:evenHBand="0" w:firstRowFirstColumn="0" w:firstRowLastColumn="0" w:lastRowFirstColumn="0" w:lastRowLastColumn="0"/>
            </w:pPr>
            <w:r>
              <w:t>Cinsiyet</w:t>
            </w:r>
          </w:p>
        </w:tc>
        <w:tc>
          <w:tcPr>
            <w:tcW w:w="0" w:type="auto"/>
          </w:tcPr>
          <w:p w14:paraId="31CB27D3" w14:textId="77777777" w:rsidR="00B154F6" w:rsidRPr="004257A7" w:rsidRDefault="00B154F6" w:rsidP="001828DF">
            <w:pPr>
              <w:ind w:firstLine="0"/>
              <w:cnfStyle w:val="100000000000" w:firstRow="1" w:lastRow="0" w:firstColumn="0" w:lastColumn="0" w:oddVBand="0" w:evenVBand="0" w:oddHBand="0" w:evenHBand="0" w:firstRowFirstColumn="0" w:firstRowLastColumn="0" w:lastRowFirstColumn="0" w:lastRowLastColumn="0"/>
            </w:pPr>
            <w:r>
              <w:t>Sepsis Nedenleri</w:t>
            </w:r>
          </w:p>
        </w:tc>
        <w:tc>
          <w:tcPr>
            <w:tcW w:w="0" w:type="auto"/>
          </w:tcPr>
          <w:p w14:paraId="31CB27D4" w14:textId="77777777" w:rsidR="00B154F6" w:rsidRDefault="00B154F6" w:rsidP="001828DF">
            <w:pPr>
              <w:ind w:firstLine="0"/>
              <w:cnfStyle w:val="100000000000" w:firstRow="1" w:lastRow="0" w:firstColumn="0" w:lastColumn="0" w:oddVBand="0" w:evenVBand="0" w:oddHBand="0" w:evenHBand="0" w:firstRowFirstColumn="0" w:firstRowLastColumn="0" w:lastRowFirstColumn="0" w:lastRowLastColumn="0"/>
              <w:rPr>
                <w:rFonts w:ascii="Calibri" w:hAnsi="Calibri"/>
                <w:bCs w:val="0"/>
                <w:color w:val="000000"/>
              </w:rPr>
            </w:pPr>
            <w:r>
              <w:rPr>
                <w:rFonts w:ascii="Calibri" w:hAnsi="Calibri"/>
                <w:bCs w:val="0"/>
                <w:color w:val="000000"/>
              </w:rPr>
              <w:t>Yapılan Ameliyat</w:t>
            </w:r>
          </w:p>
          <w:p w14:paraId="31CB27D5" w14:textId="77777777" w:rsidR="00B154F6" w:rsidRPr="004257A7" w:rsidRDefault="00B154F6" w:rsidP="001828DF">
            <w:pPr>
              <w:cnfStyle w:val="100000000000" w:firstRow="1" w:lastRow="0" w:firstColumn="0" w:lastColumn="0" w:oddVBand="0" w:evenVBand="0" w:oddHBand="0" w:evenHBand="0" w:firstRowFirstColumn="0" w:firstRowLastColumn="0" w:lastRowFirstColumn="0" w:lastRowLastColumn="0"/>
              <w:rPr>
                <w:rFonts w:ascii="Calibri" w:hAnsi="Calibri"/>
                <w:bCs w:val="0"/>
                <w:color w:val="000000"/>
              </w:rPr>
            </w:pPr>
          </w:p>
        </w:tc>
      </w:tr>
      <w:tr w:rsidR="00B154F6" w14:paraId="31CB27DC" w14:textId="77777777" w:rsidTr="00E87DD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tcPr>
          <w:p w14:paraId="31CB27D7" w14:textId="77777777" w:rsidR="00B154F6" w:rsidRDefault="00B154F6" w:rsidP="001828DF">
            <w:pPr>
              <w:pStyle w:val="ListeParagraf"/>
              <w:numPr>
                <w:ilvl w:val="0"/>
                <w:numId w:val="15"/>
              </w:numPr>
              <w:jc w:val="left"/>
            </w:pPr>
          </w:p>
        </w:tc>
        <w:tc>
          <w:tcPr>
            <w:tcW w:w="0" w:type="auto"/>
          </w:tcPr>
          <w:p w14:paraId="31CB27D8"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8</w:t>
            </w:r>
          </w:p>
        </w:tc>
        <w:tc>
          <w:tcPr>
            <w:tcW w:w="0" w:type="auto"/>
          </w:tcPr>
          <w:p w14:paraId="31CB27D9"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E</w:t>
            </w:r>
          </w:p>
        </w:tc>
        <w:tc>
          <w:tcPr>
            <w:tcW w:w="0" w:type="auto"/>
            <w:vAlign w:val="bottom"/>
          </w:tcPr>
          <w:p w14:paraId="31CB27DA"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HAT</w:t>
            </w:r>
          </w:p>
        </w:tc>
        <w:tc>
          <w:tcPr>
            <w:tcW w:w="0" w:type="auto"/>
            <w:vAlign w:val="bottom"/>
          </w:tcPr>
          <w:p w14:paraId="31CB27DB"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Retransplantasyon</w:t>
            </w:r>
          </w:p>
        </w:tc>
      </w:tr>
      <w:tr w:rsidR="00B154F6" w14:paraId="31CB27E2" w14:textId="77777777" w:rsidTr="00E87DDD">
        <w:trPr>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7DD" w14:textId="77777777" w:rsidR="00B154F6" w:rsidRDefault="00B154F6" w:rsidP="001828DF">
            <w:pPr>
              <w:pStyle w:val="ListeParagraf"/>
              <w:numPr>
                <w:ilvl w:val="0"/>
                <w:numId w:val="15"/>
              </w:numPr>
              <w:jc w:val="left"/>
            </w:pPr>
          </w:p>
        </w:tc>
        <w:tc>
          <w:tcPr>
            <w:tcW w:w="0" w:type="auto"/>
          </w:tcPr>
          <w:p w14:paraId="31CB27DE"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15</w:t>
            </w:r>
          </w:p>
        </w:tc>
        <w:tc>
          <w:tcPr>
            <w:tcW w:w="0" w:type="auto"/>
          </w:tcPr>
          <w:p w14:paraId="31CB27DF"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K</w:t>
            </w:r>
          </w:p>
        </w:tc>
        <w:tc>
          <w:tcPr>
            <w:tcW w:w="0" w:type="auto"/>
            <w:vAlign w:val="bottom"/>
          </w:tcPr>
          <w:p w14:paraId="31CB27E0"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HAT</w:t>
            </w:r>
          </w:p>
        </w:tc>
        <w:tc>
          <w:tcPr>
            <w:tcW w:w="0" w:type="auto"/>
            <w:vAlign w:val="bottom"/>
          </w:tcPr>
          <w:p w14:paraId="31CB27E1"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Retransplantasyon</w:t>
            </w:r>
          </w:p>
        </w:tc>
      </w:tr>
      <w:tr w:rsidR="00B154F6" w14:paraId="31CB27E8" w14:textId="77777777" w:rsidTr="00E87DDD">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7E3" w14:textId="77777777" w:rsidR="00B154F6" w:rsidRDefault="00B154F6" w:rsidP="001828DF">
            <w:pPr>
              <w:pStyle w:val="ListeParagraf"/>
              <w:numPr>
                <w:ilvl w:val="0"/>
                <w:numId w:val="15"/>
              </w:numPr>
              <w:jc w:val="left"/>
            </w:pPr>
          </w:p>
        </w:tc>
        <w:tc>
          <w:tcPr>
            <w:tcW w:w="0" w:type="auto"/>
          </w:tcPr>
          <w:p w14:paraId="31CB27E4"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28</w:t>
            </w:r>
          </w:p>
        </w:tc>
        <w:tc>
          <w:tcPr>
            <w:tcW w:w="0" w:type="auto"/>
          </w:tcPr>
          <w:p w14:paraId="31CB27E5"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E</w:t>
            </w:r>
          </w:p>
        </w:tc>
        <w:tc>
          <w:tcPr>
            <w:tcW w:w="0" w:type="auto"/>
            <w:vAlign w:val="bottom"/>
          </w:tcPr>
          <w:p w14:paraId="31CB27E6"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Non-Fonksiyon</w:t>
            </w:r>
          </w:p>
        </w:tc>
        <w:tc>
          <w:tcPr>
            <w:tcW w:w="0" w:type="auto"/>
            <w:vAlign w:val="bottom"/>
          </w:tcPr>
          <w:p w14:paraId="31CB27E7"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Retransplantasyon</w:t>
            </w:r>
          </w:p>
        </w:tc>
      </w:tr>
      <w:tr w:rsidR="00B154F6" w14:paraId="31CB27EE" w14:textId="77777777" w:rsidTr="00E87DD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tcPr>
          <w:p w14:paraId="31CB27E9" w14:textId="77777777" w:rsidR="00B154F6" w:rsidRDefault="00B154F6" w:rsidP="001828DF">
            <w:pPr>
              <w:pStyle w:val="ListeParagraf"/>
              <w:numPr>
                <w:ilvl w:val="0"/>
                <w:numId w:val="15"/>
              </w:numPr>
              <w:jc w:val="left"/>
            </w:pPr>
          </w:p>
        </w:tc>
        <w:tc>
          <w:tcPr>
            <w:tcW w:w="0" w:type="auto"/>
          </w:tcPr>
          <w:p w14:paraId="31CB27EA"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5</w:t>
            </w:r>
          </w:p>
        </w:tc>
        <w:tc>
          <w:tcPr>
            <w:tcW w:w="0" w:type="auto"/>
          </w:tcPr>
          <w:p w14:paraId="31CB27EB"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E</w:t>
            </w:r>
          </w:p>
        </w:tc>
        <w:tc>
          <w:tcPr>
            <w:tcW w:w="0" w:type="auto"/>
            <w:vAlign w:val="bottom"/>
          </w:tcPr>
          <w:p w14:paraId="31CB27EC"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HAT</w:t>
            </w:r>
          </w:p>
        </w:tc>
        <w:tc>
          <w:tcPr>
            <w:tcW w:w="0" w:type="auto"/>
            <w:vAlign w:val="bottom"/>
          </w:tcPr>
          <w:p w14:paraId="31CB27ED"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Retransplantasyon</w:t>
            </w:r>
          </w:p>
        </w:tc>
      </w:tr>
      <w:tr w:rsidR="00B154F6" w14:paraId="31CB27F4" w14:textId="77777777" w:rsidTr="00E87DDD">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7EF" w14:textId="77777777" w:rsidR="00B154F6" w:rsidRDefault="00B154F6" w:rsidP="001828DF">
            <w:pPr>
              <w:pStyle w:val="ListeParagraf"/>
              <w:numPr>
                <w:ilvl w:val="0"/>
                <w:numId w:val="15"/>
              </w:numPr>
              <w:jc w:val="left"/>
            </w:pPr>
          </w:p>
        </w:tc>
        <w:tc>
          <w:tcPr>
            <w:tcW w:w="0" w:type="auto"/>
          </w:tcPr>
          <w:p w14:paraId="31CB27F0"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2</w:t>
            </w:r>
          </w:p>
        </w:tc>
        <w:tc>
          <w:tcPr>
            <w:tcW w:w="0" w:type="auto"/>
          </w:tcPr>
          <w:p w14:paraId="31CB27F1"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K</w:t>
            </w:r>
          </w:p>
        </w:tc>
        <w:tc>
          <w:tcPr>
            <w:tcW w:w="0" w:type="auto"/>
            <w:vAlign w:val="bottom"/>
          </w:tcPr>
          <w:p w14:paraId="31CB27F2"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Safra kaçağı</w:t>
            </w:r>
          </w:p>
        </w:tc>
        <w:tc>
          <w:tcPr>
            <w:tcW w:w="0" w:type="auto"/>
            <w:vAlign w:val="bottom"/>
          </w:tcPr>
          <w:p w14:paraId="31CB27F3"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Primer onarım</w:t>
            </w:r>
          </w:p>
        </w:tc>
      </w:tr>
      <w:tr w:rsidR="00B154F6" w14:paraId="31CB27FA" w14:textId="77777777" w:rsidTr="00E87DDD">
        <w:trPr>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7F5" w14:textId="77777777" w:rsidR="00B154F6" w:rsidRDefault="00B154F6" w:rsidP="001828DF">
            <w:pPr>
              <w:pStyle w:val="ListeParagraf"/>
              <w:numPr>
                <w:ilvl w:val="0"/>
                <w:numId w:val="15"/>
              </w:numPr>
              <w:jc w:val="left"/>
            </w:pPr>
          </w:p>
        </w:tc>
        <w:tc>
          <w:tcPr>
            <w:tcW w:w="0" w:type="auto"/>
          </w:tcPr>
          <w:p w14:paraId="31CB27F6"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5</w:t>
            </w:r>
          </w:p>
        </w:tc>
        <w:tc>
          <w:tcPr>
            <w:tcW w:w="0" w:type="auto"/>
          </w:tcPr>
          <w:p w14:paraId="31CB27F7"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E</w:t>
            </w:r>
          </w:p>
        </w:tc>
        <w:tc>
          <w:tcPr>
            <w:tcW w:w="0" w:type="auto"/>
            <w:vAlign w:val="bottom"/>
          </w:tcPr>
          <w:p w14:paraId="31CB27F8"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 xml:space="preserve">Perforasyon </w:t>
            </w:r>
          </w:p>
        </w:tc>
        <w:tc>
          <w:tcPr>
            <w:tcW w:w="0" w:type="auto"/>
            <w:vAlign w:val="bottom"/>
          </w:tcPr>
          <w:p w14:paraId="31CB27F9"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Ostomi açılması</w:t>
            </w:r>
          </w:p>
        </w:tc>
      </w:tr>
      <w:tr w:rsidR="00B154F6" w14:paraId="31CB2800" w14:textId="77777777" w:rsidTr="00E87DD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tcPr>
          <w:p w14:paraId="31CB27FB" w14:textId="77777777" w:rsidR="00B154F6" w:rsidRDefault="00B154F6" w:rsidP="001828DF">
            <w:pPr>
              <w:pStyle w:val="ListeParagraf"/>
              <w:numPr>
                <w:ilvl w:val="0"/>
                <w:numId w:val="15"/>
              </w:numPr>
              <w:jc w:val="left"/>
            </w:pPr>
          </w:p>
        </w:tc>
        <w:tc>
          <w:tcPr>
            <w:tcW w:w="0" w:type="auto"/>
          </w:tcPr>
          <w:p w14:paraId="31CB27FC"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57</w:t>
            </w:r>
          </w:p>
        </w:tc>
        <w:tc>
          <w:tcPr>
            <w:tcW w:w="0" w:type="auto"/>
          </w:tcPr>
          <w:p w14:paraId="31CB27FD"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E</w:t>
            </w:r>
          </w:p>
        </w:tc>
        <w:tc>
          <w:tcPr>
            <w:tcW w:w="0" w:type="auto"/>
            <w:vAlign w:val="bottom"/>
          </w:tcPr>
          <w:p w14:paraId="31CB27FE"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 xml:space="preserve">Perforasyon </w:t>
            </w:r>
          </w:p>
        </w:tc>
        <w:tc>
          <w:tcPr>
            <w:tcW w:w="0" w:type="auto"/>
            <w:vAlign w:val="bottom"/>
          </w:tcPr>
          <w:p w14:paraId="31CB27FF"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Ostomi açılması</w:t>
            </w:r>
          </w:p>
        </w:tc>
      </w:tr>
      <w:tr w:rsidR="00B154F6" w14:paraId="31CB2806" w14:textId="77777777" w:rsidTr="00E87DDD">
        <w:trPr>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01" w14:textId="77777777" w:rsidR="00B154F6" w:rsidRDefault="00B154F6" w:rsidP="001828DF">
            <w:pPr>
              <w:pStyle w:val="ListeParagraf"/>
              <w:numPr>
                <w:ilvl w:val="0"/>
                <w:numId w:val="15"/>
              </w:numPr>
              <w:jc w:val="left"/>
            </w:pPr>
          </w:p>
        </w:tc>
        <w:tc>
          <w:tcPr>
            <w:tcW w:w="0" w:type="auto"/>
          </w:tcPr>
          <w:p w14:paraId="31CB2802"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2</w:t>
            </w:r>
          </w:p>
        </w:tc>
        <w:tc>
          <w:tcPr>
            <w:tcW w:w="0" w:type="auto"/>
          </w:tcPr>
          <w:p w14:paraId="31CB2803"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K</w:t>
            </w:r>
          </w:p>
        </w:tc>
        <w:tc>
          <w:tcPr>
            <w:tcW w:w="0" w:type="auto"/>
            <w:vAlign w:val="bottom"/>
          </w:tcPr>
          <w:p w14:paraId="31CB2804"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 xml:space="preserve">Perforasyon </w:t>
            </w:r>
          </w:p>
        </w:tc>
        <w:tc>
          <w:tcPr>
            <w:tcW w:w="0" w:type="auto"/>
            <w:vAlign w:val="bottom"/>
          </w:tcPr>
          <w:p w14:paraId="31CB2805"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Ostomi açılması</w:t>
            </w:r>
          </w:p>
        </w:tc>
      </w:tr>
      <w:tr w:rsidR="00B154F6" w14:paraId="31CB280C" w14:textId="77777777" w:rsidTr="00E87DDD">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07" w14:textId="77777777" w:rsidR="00B154F6" w:rsidRDefault="00B154F6" w:rsidP="001828DF">
            <w:pPr>
              <w:pStyle w:val="ListeParagraf"/>
              <w:numPr>
                <w:ilvl w:val="0"/>
                <w:numId w:val="15"/>
              </w:numPr>
              <w:jc w:val="left"/>
            </w:pPr>
          </w:p>
        </w:tc>
        <w:tc>
          <w:tcPr>
            <w:tcW w:w="0" w:type="auto"/>
          </w:tcPr>
          <w:p w14:paraId="31CB2808"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2</w:t>
            </w:r>
          </w:p>
        </w:tc>
        <w:tc>
          <w:tcPr>
            <w:tcW w:w="0" w:type="auto"/>
          </w:tcPr>
          <w:p w14:paraId="31CB2809"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E</w:t>
            </w:r>
          </w:p>
        </w:tc>
        <w:tc>
          <w:tcPr>
            <w:tcW w:w="0" w:type="auto"/>
            <w:vAlign w:val="bottom"/>
          </w:tcPr>
          <w:p w14:paraId="31CB280A"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Safra kaçağı</w:t>
            </w:r>
          </w:p>
        </w:tc>
        <w:tc>
          <w:tcPr>
            <w:tcW w:w="0" w:type="auto"/>
            <w:vAlign w:val="bottom"/>
          </w:tcPr>
          <w:p w14:paraId="31CB280B"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Primer onarım</w:t>
            </w:r>
          </w:p>
        </w:tc>
      </w:tr>
      <w:tr w:rsidR="00B154F6" w14:paraId="31CB2812" w14:textId="77777777" w:rsidTr="00E87DD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0D" w14:textId="77777777" w:rsidR="00B154F6" w:rsidRDefault="00B154F6" w:rsidP="001828DF">
            <w:pPr>
              <w:pStyle w:val="ListeParagraf"/>
              <w:numPr>
                <w:ilvl w:val="0"/>
                <w:numId w:val="15"/>
              </w:numPr>
              <w:jc w:val="left"/>
            </w:pPr>
          </w:p>
        </w:tc>
        <w:tc>
          <w:tcPr>
            <w:tcW w:w="0" w:type="auto"/>
          </w:tcPr>
          <w:p w14:paraId="31CB280E"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59</w:t>
            </w:r>
          </w:p>
        </w:tc>
        <w:tc>
          <w:tcPr>
            <w:tcW w:w="0" w:type="auto"/>
          </w:tcPr>
          <w:p w14:paraId="31CB280F"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K</w:t>
            </w:r>
          </w:p>
        </w:tc>
        <w:tc>
          <w:tcPr>
            <w:tcW w:w="0" w:type="auto"/>
            <w:vAlign w:val="bottom"/>
          </w:tcPr>
          <w:p w14:paraId="31CB2810" w14:textId="37BC5F85"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 xml:space="preserve">Perihepatik </w:t>
            </w:r>
            <w:r w:rsidR="0053611A">
              <w:rPr>
                <w:rFonts w:ascii="Calibri" w:hAnsi="Calibri"/>
                <w:color w:val="000000"/>
              </w:rPr>
              <w:t>apse</w:t>
            </w:r>
          </w:p>
        </w:tc>
        <w:tc>
          <w:tcPr>
            <w:tcW w:w="0" w:type="auto"/>
            <w:vAlign w:val="bottom"/>
          </w:tcPr>
          <w:p w14:paraId="31CB2811"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Batın içi yıkama ve drenaj</w:t>
            </w:r>
          </w:p>
        </w:tc>
      </w:tr>
      <w:tr w:rsidR="00B154F6" w14:paraId="31CB2818" w14:textId="77777777" w:rsidTr="00E87DDD">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13" w14:textId="77777777" w:rsidR="00B154F6" w:rsidRDefault="00B154F6" w:rsidP="001828DF">
            <w:pPr>
              <w:pStyle w:val="ListeParagraf"/>
              <w:numPr>
                <w:ilvl w:val="0"/>
                <w:numId w:val="15"/>
              </w:numPr>
              <w:jc w:val="left"/>
            </w:pPr>
          </w:p>
        </w:tc>
        <w:tc>
          <w:tcPr>
            <w:tcW w:w="0" w:type="auto"/>
          </w:tcPr>
          <w:p w14:paraId="31CB2814"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55</w:t>
            </w:r>
          </w:p>
        </w:tc>
        <w:tc>
          <w:tcPr>
            <w:tcW w:w="0" w:type="auto"/>
          </w:tcPr>
          <w:p w14:paraId="31CB2815"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K</w:t>
            </w:r>
          </w:p>
        </w:tc>
        <w:tc>
          <w:tcPr>
            <w:tcW w:w="0" w:type="auto"/>
            <w:vAlign w:val="bottom"/>
          </w:tcPr>
          <w:p w14:paraId="31CB2816" w14:textId="0A086B75"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 xml:space="preserve">Perihepatik </w:t>
            </w:r>
            <w:r w:rsidR="0053611A">
              <w:rPr>
                <w:rFonts w:ascii="Calibri" w:hAnsi="Calibri"/>
                <w:color w:val="000000"/>
              </w:rPr>
              <w:t>apse</w:t>
            </w:r>
          </w:p>
        </w:tc>
        <w:tc>
          <w:tcPr>
            <w:tcW w:w="0" w:type="auto"/>
            <w:vAlign w:val="bottom"/>
          </w:tcPr>
          <w:p w14:paraId="31CB2817"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Batın içi yıkama ve drenaj</w:t>
            </w:r>
          </w:p>
        </w:tc>
      </w:tr>
      <w:tr w:rsidR="00B154F6" w14:paraId="31CB281E" w14:textId="77777777" w:rsidTr="00E87DD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19" w14:textId="77777777" w:rsidR="00B154F6" w:rsidRDefault="00B154F6" w:rsidP="001828DF">
            <w:pPr>
              <w:pStyle w:val="ListeParagraf"/>
              <w:numPr>
                <w:ilvl w:val="0"/>
                <w:numId w:val="15"/>
              </w:numPr>
              <w:jc w:val="left"/>
            </w:pPr>
          </w:p>
        </w:tc>
        <w:tc>
          <w:tcPr>
            <w:tcW w:w="0" w:type="auto"/>
          </w:tcPr>
          <w:p w14:paraId="31CB281A"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16</w:t>
            </w:r>
          </w:p>
        </w:tc>
        <w:tc>
          <w:tcPr>
            <w:tcW w:w="0" w:type="auto"/>
          </w:tcPr>
          <w:p w14:paraId="31CB281B"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E</w:t>
            </w:r>
          </w:p>
        </w:tc>
        <w:tc>
          <w:tcPr>
            <w:tcW w:w="0" w:type="auto"/>
            <w:vAlign w:val="bottom"/>
          </w:tcPr>
          <w:p w14:paraId="31CB281C"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HAT</w:t>
            </w:r>
          </w:p>
        </w:tc>
        <w:tc>
          <w:tcPr>
            <w:tcW w:w="0" w:type="auto"/>
            <w:vAlign w:val="bottom"/>
          </w:tcPr>
          <w:p w14:paraId="31CB281D"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Retransplantasyon</w:t>
            </w:r>
          </w:p>
        </w:tc>
      </w:tr>
      <w:tr w:rsidR="00B154F6" w14:paraId="31CB2824" w14:textId="77777777" w:rsidTr="00E87DDD">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1F" w14:textId="77777777" w:rsidR="00B154F6" w:rsidRDefault="00B154F6" w:rsidP="001828DF">
            <w:pPr>
              <w:pStyle w:val="ListeParagraf"/>
              <w:numPr>
                <w:ilvl w:val="0"/>
                <w:numId w:val="15"/>
              </w:numPr>
              <w:jc w:val="left"/>
            </w:pPr>
          </w:p>
        </w:tc>
        <w:tc>
          <w:tcPr>
            <w:tcW w:w="0" w:type="auto"/>
          </w:tcPr>
          <w:p w14:paraId="31CB2820"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57</w:t>
            </w:r>
          </w:p>
        </w:tc>
        <w:tc>
          <w:tcPr>
            <w:tcW w:w="0" w:type="auto"/>
          </w:tcPr>
          <w:p w14:paraId="31CB2821"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K</w:t>
            </w:r>
          </w:p>
        </w:tc>
        <w:tc>
          <w:tcPr>
            <w:tcW w:w="0" w:type="auto"/>
            <w:vAlign w:val="bottom"/>
          </w:tcPr>
          <w:p w14:paraId="31CB2822" w14:textId="5DD00943"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 xml:space="preserve">Perihepatik </w:t>
            </w:r>
            <w:r w:rsidR="0053611A">
              <w:rPr>
                <w:rFonts w:ascii="Calibri" w:hAnsi="Calibri"/>
                <w:color w:val="000000"/>
              </w:rPr>
              <w:t>apse</w:t>
            </w:r>
          </w:p>
        </w:tc>
        <w:tc>
          <w:tcPr>
            <w:tcW w:w="0" w:type="auto"/>
            <w:vAlign w:val="bottom"/>
          </w:tcPr>
          <w:p w14:paraId="31CB2823"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Batın içi yıkama ve drenaj</w:t>
            </w:r>
          </w:p>
        </w:tc>
      </w:tr>
      <w:tr w:rsidR="00B154F6" w14:paraId="31CB282A" w14:textId="77777777" w:rsidTr="00E87DDD">
        <w:trPr>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25" w14:textId="77777777" w:rsidR="00B154F6" w:rsidRDefault="00B154F6" w:rsidP="001828DF">
            <w:pPr>
              <w:pStyle w:val="ListeParagraf"/>
              <w:numPr>
                <w:ilvl w:val="0"/>
                <w:numId w:val="15"/>
              </w:numPr>
              <w:jc w:val="left"/>
            </w:pPr>
          </w:p>
        </w:tc>
        <w:tc>
          <w:tcPr>
            <w:tcW w:w="0" w:type="auto"/>
          </w:tcPr>
          <w:p w14:paraId="31CB2826"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60</w:t>
            </w:r>
          </w:p>
        </w:tc>
        <w:tc>
          <w:tcPr>
            <w:tcW w:w="0" w:type="auto"/>
          </w:tcPr>
          <w:p w14:paraId="31CB2827"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E</w:t>
            </w:r>
          </w:p>
        </w:tc>
        <w:tc>
          <w:tcPr>
            <w:tcW w:w="0" w:type="auto"/>
            <w:vAlign w:val="bottom"/>
          </w:tcPr>
          <w:p w14:paraId="31CB2828"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Safra kaçağı</w:t>
            </w:r>
          </w:p>
        </w:tc>
        <w:tc>
          <w:tcPr>
            <w:tcW w:w="0" w:type="auto"/>
            <w:vAlign w:val="bottom"/>
          </w:tcPr>
          <w:p w14:paraId="31CB2829"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Batın içi yıkama ve drenaj</w:t>
            </w:r>
          </w:p>
        </w:tc>
      </w:tr>
      <w:tr w:rsidR="00B154F6" w14:paraId="31CB2830" w14:textId="77777777" w:rsidTr="00E87DD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2B" w14:textId="77777777" w:rsidR="00B154F6" w:rsidRDefault="00B154F6" w:rsidP="001828DF">
            <w:pPr>
              <w:pStyle w:val="ListeParagraf"/>
              <w:numPr>
                <w:ilvl w:val="0"/>
                <w:numId w:val="15"/>
              </w:numPr>
              <w:jc w:val="left"/>
            </w:pPr>
          </w:p>
        </w:tc>
        <w:tc>
          <w:tcPr>
            <w:tcW w:w="0" w:type="auto"/>
          </w:tcPr>
          <w:p w14:paraId="31CB282C"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1</w:t>
            </w:r>
          </w:p>
        </w:tc>
        <w:tc>
          <w:tcPr>
            <w:tcW w:w="0" w:type="auto"/>
          </w:tcPr>
          <w:p w14:paraId="31CB282D"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K</w:t>
            </w:r>
          </w:p>
        </w:tc>
        <w:tc>
          <w:tcPr>
            <w:tcW w:w="0" w:type="auto"/>
            <w:vAlign w:val="bottom"/>
          </w:tcPr>
          <w:p w14:paraId="31CB282E"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Safra kaçağı</w:t>
            </w:r>
          </w:p>
        </w:tc>
        <w:tc>
          <w:tcPr>
            <w:tcW w:w="0" w:type="auto"/>
            <w:vAlign w:val="bottom"/>
          </w:tcPr>
          <w:p w14:paraId="31CB282F"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Primer onarım</w:t>
            </w:r>
          </w:p>
        </w:tc>
      </w:tr>
      <w:tr w:rsidR="00B154F6" w14:paraId="31CB2836" w14:textId="77777777" w:rsidTr="00E87DDD">
        <w:trPr>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31" w14:textId="77777777" w:rsidR="00B154F6" w:rsidRDefault="00B154F6" w:rsidP="001828DF">
            <w:pPr>
              <w:pStyle w:val="ListeParagraf"/>
              <w:numPr>
                <w:ilvl w:val="0"/>
                <w:numId w:val="15"/>
              </w:numPr>
              <w:jc w:val="left"/>
            </w:pPr>
          </w:p>
        </w:tc>
        <w:tc>
          <w:tcPr>
            <w:tcW w:w="0" w:type="auto"/>
          </w:tcPr>
          <w:p w14:paraId="31CB2832"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1</w:t>
            </w:r>
          </w:p>
        </w:tc>
        <w:tc>
          <w:tcPr>
            <w:tcW w:w="0" w:type="auto"/>
          </w:tcPr>
          <w:p w14:paraId="31CB2833"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E</w:t>
            </w:r>
          </w:p>
        </w:tc>
        <w:tc>
          <w:tcPr>
            <w:tcW w:w="0" w:type="auto"/>
            <w:vAlign w:val="bottom"/>
          </w:tcPr>
          <w:p w14:paraId="31CB2834"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 xml:space="preserve">Perforasyon </w:t>
            </w:r>
          </w:p>
        </w:tc>
        <w:tc>
          <w:tcPr>
            <w:tcW w:w="0" w:type="auto"/>
            <w:vAlign w:val="bottom"/>
          </w:tcPr>
          <w:p w14:paraId="31CB2835"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Ostomi açılması</w:t>
            </w:r>
          </w:p>
        </w:tc>
      </w:tr>
      <w:tr w:rsidR="00B154F6" w14:paraId="31CB283C" w14:textId="77777777" w:rsidTr="00E87DDD">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37" w14:textId="77777777" w:rsidR="00B154F6" w:rsidRDefault="00B154F6" w:rsidP="001828DF">
            <w:pPr>
              <w:pStyle w:val="ListeParagraf"/>
              <w:numPr>
                <w:ilvl w:val="0"/>
                <w:numId w:val="15"/>
              </w:numPr>
              <w:jc w:val="left"/>
            </w:pPr>
          </w:p>
        </w:tc>
        <w:tc>
          <w:tcPr>
            <w:tcW w:w="0" w:type="auto"/>
          </w:tcPr>
          <w:p w14:paraId="31CB2838"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4</w:t>
            </w:r>
          </w:p>
        </w:tc>
        <w:tc>
          <w:tcPr>
            <w:tcW w:w="0" w:type="auto"/>
          </w:tcPr>
          <w:p w14:paraId="31CB2839"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E</w:t>
            </w:r>
          </w:p>
        </w:tc>
        <w:tc>
          <w:tcPr>
            <w:tcW w:w="0" w:type="auto"/>
            <w:vAlign w:val="bottom"/>
          </w:tcPr>
          <w:p w14:paraId="31CB283A"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Safra kaçağı</w:t>
            </w:r>
          </w:p>
        </w:tc>
        <w:tc>
          <w:tcPr>
            <w:tcW w:w="0" w:type="auto"/>
            <w:vAlign w:val="bottom"/>
          </w:tcPr>
          <w:p w14:paraId="31CB283B"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Hepatikojejunostomi</w:t>
            </w:r>
          </w:p>
        </w:tc>
      </w:tr>
      <w:tr w:rsidR="00B154F6" w14:paraId="31CB2842" w14:textId="77777777" w:rsidTr="00E87DD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3D" w14:textId="77777777" w:rsidR="00B154F6" w:rsidRDefault="00B154F6" w:rsidP="001828DF">
            <w:pPr>
              <w:pStyle w:val="ListeParagraf"/>
              <w:numPr>
                <w:ilvl w:val="0"/>
                <w:numId w:val="15"/>
              </w:numPr>
              <w:jc w:val="left"/>
            </w:pPr>
          </w:p>
        </w:tc>
        <w:tc>
          <w:tcPr>
            <w:tcW w:w="0" w:type="auto"/>
          </w:tcPr>
          <w:p w14:paraId="31CB283E"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8</w:t>
            </w:r>
          </w:p>
        </w:tc>
        <w:tc>
          <w:tcPr>
            <w:tcW w:w="0" w:type="auto"/>
          </w:tcPr>
          <w:p w14:paraId="31CB283F"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E</w:t>
            </w:r>
          </w:p>
        </w:tc>
        <w:tc>
          <w:tcPr>
            <w:tcW w:w="0" w:type="auto"/>
            <w:vAlign w:val="bottom"/>
          </w:tcPr>
          <w:p w14:paraId="31CB2840"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HAT</w:t>
            </w:r>
          </w:p>
        </w:tc>
        <w:tc>
          <w:tcPr>
            <w:tcW w:w="0" w:type="auto"/>
            <w:vAlign w:val="bottom"/>
          </w:tcPr>
          <w:p w14:paraId="31CB2841"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Retransplantasyon</w:t>
            </w:r>
          </w:p>
        </w:tc>
      </w:tr>
      <w:tr w:rsidR="00B154F6" w14:paraId="31CB2848" w14:textId="77777777" w:rsidTr="00E87DDD">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43" w14:textId="77777777" w:rsidR="00B154F6" w:rsidRDefault="00B154F6" w:rsidP="001828DF">
            <w:pPr>
              <w:pStyle w:val="ListeParagraf"/>
              <w:numPr>
                <w:ilvl w:val="0"/>
                <w:numId w:val="15"/>
              </w:numPr>
              <w:jc w:val="left"/>
            </w:pPr>
          </w:p>
        </w:tc>
        <w:tc>
          <w:tcPr>
            <w:tcW w:w="0" w:type="auto"/>
          </w:tcPr>
          <w:p w14:paraId="31CB2844"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59</w:t>
            </w:r>
          </w:p>
        </w:tc>
        <w:tc>
          <w:tcPr>
            <w:tcW w:w="0" w:type="auto"/>
          </w:tcPr>
          <w:p w14:paraId="31CB2845"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K</w:t>
            </w:r>
          </w:p>
        </w:tc>
        <w:tc>
          <w:tcPr>
            <w:tcW w:w="0" w:type="auto"/>
            <w:vAlign w:val="bottom"/>
          </w:tcPr>
          <w:p w14:paraId="31CB2846" w14:textId="4E0D8AF6"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 xml:space="preserve">Dalakta </w:t>
            </w:r>
            <w:r w:rsidR="0053611A">
              <w:rPr>
                <w:rFonts w:ascii="Calibri" w:hAnsi="Calibri"/>
                <w:color w:val="000000"/>
              </w:rPr>
              <w:t>apse</w:t>
            </w:r>
          </w:p>
        </w:tc>
        <w:tc>
          <w:tcPr>
            <w:tcW w:w="0" w:type="auto"/>
            <w:vAlign w:val="bottom"/>
          </w:tcPr>
          <w:p w14:paraId="31CB2847"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Splenektomi</w:t>
            </w:r>
          </w:p>
        </w:tc>
      </w:tr>
      <w:tr w:rsidR="00B154F6" w14:paraId="31CB284E" w14:textId="77777777" w:rsidTr="00E87DDD">
        <w:trPr>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49" w14:textId="77777777" w:rsidR="00B154F6" w:rsidRDefault="00B154F6" w:rsidP="001828DF">
            <w:pPr>
              <w:pStyle w:val="ListeParagraf"/>
              <w:numPr>
                <w:ilvl w:val="0"/>
                <w:numId w:val="15"/>
              </w:numPr>
              <w:jc w:val="left"/>
            </w:pPr>
          </w:p>
        </w:tc>
        <w:tc>
          <w:tcPr>
            <w:tcW w:w="0" w:type="auto"/>
          </w:tcPr>
          <w:p w14:paraId="31CB284A"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25</w:t>
            </w:r>
          </w:p>
        </w:tc>
        <w:tc>
          <w:tcPr>
            <w:tcW w:w="0" w:type="auto"/>
          </w:tcPr>
          <w:p w14:paraId="31CB284B"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K</w:t>
            </w:r>
          </w:p>
        </w:tc>
        <w:tc>
          <w:tcPr>
            <w:tcW w:w="0" w:type="auto"/>
            <w:vAlign w:val="bottom"/>
          </w:tcPr>
          <w:p w14:paraId="31CB284C"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Safra kaçağı</w:t>
            </w:r>
          </w:p>
        </w:tc>
        <w:tc>
          <w:tcPr>
            <w:tcW w:w="0" w:type="auto"/>
            <w:vAlign w:val="bottom"/>
          </w:tcPr>
          <w:p w14:paraId="31CB284D"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Batın içi yıkama ve drenaj</w:t>
            </w:r>
          </w:p>
        </w:tc>
      </w:tr>
      <w:tr w:rsidR="00B154F6" w14:paraId="31CB2854" w14:textId="77777777" w:rsidTr="00E87DD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4F" w14:textId="77777777" w:rsidR="00B154F6" w:rsidRDefault="00B154F6" w:rsidP="001828DF">
            <w:pPr>
              <w:pStyle w:val="ListeParagraf"/>
              <w:numPr>
                <w:ilvl w:val="0"/>
                <w:numId w:val="15"/>
              </w:numPr>
              <w:jc w:val="left"/>
            </w:pPr>
          </w:p>
        </w:tc>
        <w:tc>
          <w:tcPr>
            <w:tcW w:w="0" w:type="auto"/>
          </w:tcPr>
          <w:p w14:paraId="31CB2850"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50</w:t>
            </w:r>
          </w:p>
        </w:tc>
        <w:tc>
          <w:tcPr>
            <w:tcW w:w="0" w:type="auto"/>
          </w:tcPr>
          <w:p w14:paraId="31CB2851"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K</w:t>
            </w:r>
          </w:p>
        </w:tc>
        <w:tc>
          <w:tcPr>
            <w:tcW w:w="0" w:type="auto"/>
            <w:vAlign w:val="bottom"/>
          </w:tcPr>
          <w:p w14:paraId="31CB2852"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 xml:space="preserve">Perforasyon </w:t>
            </w:r>
          </w:p>
        </w:tc>
        <w:tc>
          <w:tcPr>
            <w:tcW w:w="0" w:type="auto"/>
            <w:vAlign w:val="bottom"/>
          </w:tcPr>
          <w:p w14:paraId="31CB2853"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Ostomi açılması</w:t>
            </w:r>
          </w:p>
        </w:tc>
      </w:tr>
      <w:tr w:rsidR="00B154F6" w14:paraId="31CB285A" w14:textId="77777777" w:rsidTr="00E87DDD">
        <w:trPr>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55" w14:textId="77777777" w:rsidR="00B154F6" w:rsidRDefault="00B154F6" w:rsidP="001828DF">
            <w:pPr>
              <w:pStyle w:val="ListeParagraf"/>
              <w:numPr>
                <w:ilvl w:val="0"/>
                <w:numId w:val="15"/>
              </w:numPr>
              <w:jc w:val="left"/>
            </w:pPr>
          </w:p>
        </w:tc>
        <w:tc>
          <w:tcPr>
            <w:tcW w:w="0" w:type="auto"/>
          </w:tcPr>
          <w:p w14:paraId="31CB2856"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35</w:t>
            </w:r>
          </w:p>
        </w:tc>
        <w:tc>
          <w:tcPr>
            <w:tcW w:w="0" w:type="auto"/>
          </w:tcPr>
          <w:p w14:paraId="31CB2857"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E</w:t>
            </w:r>
          </w:p>
        </w:tc>
        <w:tc>
          <w:tcPr>
            <w:tcW w:w="0" w:type="auto"/>
            <w:vAlign w:val="bottom"/>
          </w:tcPr>
          <w:p w14:paraId="31CB2858"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Safra kaçağı</w:t>
            </w:r>
          </w:p>
        </w:tc>
        <w:tc>
          <w:tcPr>
            <w:tcW w:w="0" w:type="auto"/>
            <w:vAlign w:val="bottom"/>
          </w:tcPr>
          <w:p w14:paraId="31CB2859"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Batın içi yıkama ve drenaj</w:t>
            </w:r>
          </w:p>
        </w:tc>
      </w:tr>
      <w:tr w:rsidR="00B154F6" w14:paraId="31CB2860" w14:textId="77777777" w:rsidTr="00E87DD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5B" w14:textId="77777777" w:rsidR="00B154F6" w:rsidRDefault="00B154F6" w:rsidP="001828DF">
            <w:pPr>
              <w:pStyle w:val="ListeParagraf"/>
              <w:numPr>
                <w:ilvl w:val="0"/>
                <w:numId w:val="15"/>
              </w:numPr>
              <w:jc w:val="left"/>
            </w:pPr>
          </w:p>
        </w:tc>
        <w:tc>
          <w:tcPr>
            <w:tcW w:w="0" w:type="auto"/>
          </w:tcPr>
          <w:p w14:paraId="31CB285C"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60</w:t>
            </w:r>
          </w:p>
        </w:tc>
        <w:tc>
          <w:tcPr>
            <w:tcW w:w="0" w:type="auto"/>
          </w:tcPr>
          <w:p w14:paraId="31CB285D" w14:textId="77777777" w:rsidR="00B154F6" w:rsidRDefault="00B154F6" w:rsidP="001828DF">
            <w:pPr>
              <w:ind w:firstLine="0"/>
              <w:jc w:val="center"/>
              <w:cnfStyle w:val="000000100000" w:firstRow="0" w:lastRow="0" w:firstColumn="0" w:lastColumn="0" w:oddVBand="0" w:evenVBand="0" w:oddHBand="1" w:evenHBand="0" w:firstRowFirstColumn="0" w:firstRowLastColumn="0" w:lastRowFirstColumn="0" w:lastRowLastColumn="0"/>
            </w:pPr>
            <w:r>
              <w:t>E</w:t>
            </w:r>
          </w:p>
        </w:tc>
        <w:tc>
          <w:tcPr>
            <w:tcW w:w="0" w:type="auto"/>
            <w:vAlign w:val="bottom"/>
          </w:tcPr>
          <w:p w14:paraId="31CB285E"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 xml:space="preserve">Perforasyon </w:t>
            </w:r>
          </w:p>
        </w:tc>
        <w:tc>
          <w:tcPr>
            <w:tcW w:w="0" w:type="auto"/>
            <w:vAlign w:val="bottom"/>
          </w:tcPr>
          <w:p w14:paraId="31CB285F" w14:textId="77777777" w:rsidR="00B154F6" w:rsidRDefault="00B154F6" w:rsidP="001828DF">
            <w:pPr>
              <w:ind w:firstLine="0"/>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Ostomi açılması</w:t>
            </w:r>
          </w:p>
        </w:tc>
      </w:tr>
      <w:tr w:rsidR="00B154F6" w14:paraId="31CB2866" w14:textId="77777777" w:rsidTr="00E87DDD">
        <w:trPr>
          <w:trHeight w:val="231"/>
          <w:jc w:val="center"/>
        </w:trPr>
        <w:tc>
          <w:tcPr>
            <w:cnfStyle w:val="001000000000" w:firstRow="0" w:lastRow="0" w:firstColumn="1" w:lastColumn="0" w:oddVBand="0" w:evenVBand="0" w:oddHBand="0" w:evenHBand="0" w:firstRowFirstColumn="0" w:firstRowLastColumn="0" w:lastRowFirstColumn="0" w:lastRowLastColumn="0"/>
            <w:tcW w:w="0" w:type="auto"/>
          </w:tcPr>
          <w:p w14:paraId="31CB2861" w14:textId="77777777" w:rsidR="00B154F6" w:rsidRDefault="00B154F6" w:rsidP="001828DF">
            <w:pPr>
              <w:pStyle w:val="ListeParagraf"/>
              <w:numPr>
                <w:ilvl w:val="0"/>
                <w:numId w:val="15"/>
              </w:numPr>
              <w:jc w:val="left"/>
            </w:pPr>
          </w:p>
        </w:tc>
        <w:tc>
          <w:tcPr>
            <w:tcW w:w="0" w:type="auto"/>
          </w:tcPr>
          <w:p w14:paraId="31CB2862"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18</w:t>
            </w:r>
          </w:p>
        </w:tc>
        <w:tc>
          <w:tcPr>
            <w:tcW w:w="0" w:type="auto"/>
          </w:tcPr>
          <w:p w14:paraId="31CB2863" w14:textId="77777777" w:rsidR="00B154F6" w:rsidRDefault="00B154F6" w:rsidP="001828DF">
            <w:pPr>
              <w:ind w:firstLine="0"/>
              <w:jc w:val="center"/>
              <w:cnfStyle w:val="000000000000" w:firstRow="0" w:lastRow="0" w:firstColumn="0" w:lastColumn="0" w:oddVBand="0" w:evenVBand="0" w:oddHBand="0" w:evenHBand="0" w:firstRowFirstColumn="0" w:firstRowLastColumn="0" w:lastRowFirstColumn="0" w:lastRowLastColumn="0"/>
            </w:pPr>
            <w:r>
              <w:t>K</w:t>
            </w:r>
          </w:p>
        </w:tc>
        <w:tc>
          <w:tcPr>
            <w:tcW w:w="0" w:type="auto"/>
            <w:vAlign w:val="bottom"/>
          </w:tcPr>
          <w:p w14:paraId="31CB2864"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Safra kaçağı</w:t>
            </w:r>
          </w:p>
        </w:tc>
        <w:tc>
          <w:tcPr>
            <w:tcW w:w="0" w:type="auto"/>
            <w:vAlign w:val="bottom"/>
          </w:tcPr>
          <w:p w14:paraId="31CB2865" w14:textId="77777777" w:rsidR="00B154F6" w:rsidRDefault="00B154F6" w:rsidP="001828DF">
            <w:pPr>
              <w:ind w:firstLine="0"/>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Batın içi yıkama ve drenaj</w:t>
            </w:r>
          </w:p>
        </w:tc>
      </w:tr>
    </w:tbl>
    <w:p w14:paraId="31CB2867" w14:textId="77777777" w:rsidR="007F1D7D" w:rsidRDefault="007F1D7D" w:rsidP="007F1D7D">
      <w:pPr>
        <w:rPr>
          <w:highlight w:val="yellow"/>
        </w:rPr>
      </w:pPr>
    </w:p>
    <w:p w14:paraId="5B6F977C" w14:textId="0B52B921" w:rsidR="00CB12A7" w:rsidRDefault="00CB12A7" w:rsidP="00250B92">
      <w:pPr>
        <w:rPr>
          <w:lang w:eastAsia="tr-TR"/>
        </w:rPr>
      </w:pPr>
      <w:r>
        <w:rPr>
          <w:lang w:eastAsia="tr-TR"/>
        </w:rPr>
        <w:lastRenderedPageBreak/>
        <w:t xml:space="preserve">Çalışmaya </w:t>
      </w:r>
      <w:r w:rsidR="00DD2A8F">
        <w:rPr>
          <w:lang w:eastAsia="tr-TR"/>
        </w:rPr>
        <w:t>dâhil</w:t>
      </w:r>
      <w:r>
        <w:rPr>
          <w:lang w:eastAsia="tr-TR"/>
        </w:rPr>
        <w:t xml:space="preserve"> olan hastaların 8 (%33,3) tanesinde mortalite gerçekleşti. Reoperasyondan sonra ortanca exitus süresi 13 gün (1-74) olarak belirle</w:t>
      </w:r>
      <w:r w:rsidR="00DD2A8F">
        <w:rPr>
          <w:lang w:eastAsia="tr-TR"/>
        </w:rPr>
        <w:t>ndi.  Exitus gelişen hastaların</w:t>
      </w:r>
      <w:r>
        <w:rPr>
          <w:lang w:eastAsia="tr-TR"/>
        </w:rPr>
        <w:t xml:space="preserve"> 4</w:t>
      </w:r>
      <w:r w:rsidR="00B0144B">
        <w:rPr>
          <w:lang w:eastAsia="tr-TR"/>
        </w:rPr>
        <w:t>’</w:t>
      </w:r>
      <w:r>
        <w:rPr>
          <w:lang w:eastAsia="tr-TR"/>
        </w:rPr>
        <w:t>ünde (%50) hepatik arter trombozu ve beraberinde gelişen abdominal sepsis, 3</w:t>
      </w:r>
      <w:r w:rsidR="00B0144B">
        <w:rPr>
          <w:lang w:eastAsia="tr-TR"/>
        </w:rPr>
        <w:t>’ünde</w:t>
      </w:r>
      <w:r>
        <w:rPr>
          <w:lang w:eastAsia="tr-TR"/>
        </w:rPr>
        <w:t xml:space="preserve"> (</w:t>
      </w:r>
      <w:r w:rsidR="00B0144B">
        <w:rPr>
          <w:lang w:eastAsia="tr-TR"/>
        </w:rPr>
        <w:t>%</w:t>
      </w:r>
      <w:r>
        <w:rPr>
          <w:lang w:eastAsia="tr-TR"/>
        </w:rPr>
        <w:t>37,5) barsak perforasyonu, 1</w:t>
      </w:r>
      <w:r w:rsidR="00B0144B">
        <w:rPr>
          <w:lang w:eastAsia="tr-TR"/>
        </w:rPr>
        <w:t>’inde</w:t>
      </w:r>
      <w:r>
        <w:rPr>
          <w:lang w:eastAsia="tr-TR"/>
        </w:rPr>
        <w:t xml:space="preserve"> (%12,5)</w:t>
      </w:r>
      <w:r w:rsidR="00B0144B">
        <w:rPr>
          <w:lang w:eastAsia="tr-TR"/>
        </w:rPr>
        <w:t xml:space="preserve"> </w:t>
      </w:r>
      <w:r>
        <w:rPr>
          <w:lang w:eastAsia="tr-TR"/>
        </w:rPr>
        <w:t>ise safra kaçağı mevcut</w:t>
      </w:r>
      <w:r w:rsidR="00BF0F9A">
        <w:rPr>
          <w:lang w:eastAsia="tr-TR"/>
        </w:rPr>
        <w:t>tu</w:t>
      </w:r>
      <w:r>
        <w:rPr>
          <w:lang w:eastAsia="tr-TR"/>
        </w:rPr>
        <w:t xml:space="preserve">. </w:t>
      </w:r>
    </w:p>
    <w:p w14:paraId="78A13D21" w14:textId="215FD77F" w:rsidR="00CB12A7" w:rsidRDefault="00CB12A7" w:rsidP="00CB12A7">
      <w:pPr>
        <w:rPr>
          <w:lang w:eastAsia="tr-TR"/>
        </w:rPr>
      </w:pPr>
      <w:r>
        <w:rPr>
          <w:lang w:eastAsia="tr-TR"/>
        </w:rPr>
        <w:t xml:space="preserve">Septik tabloda olup karaciğer yetmezliği gelişen hastalardan 5’ine (%20,8) MARS </w:t>
      </w:r>
      <w:r w:rsidR="00972878">
        <w:rPr>
          <w:lang w:eastAsia="tr-TR"/>
        </w:rPr>
        <w:t>ve plazmaferez işlemi, 9</w:t>
      </w:r>
      <w:r>
        <w:rPr>
          <w:lang w:eastAsia="tr-TR"/>
        </w:rPr>
        <w:t>’</w:t>
      </w:r>
      <w:r w:rsidR="00972878">
        <w:rPr>
          <w:lang w:eastAsia="tr-TR"/>
        </w:rPr>
        <w:t>u</w:t>
      </w:r>
      <w:r>
        <w:rPr>
          <w:lang w:eastAsia="tr-TR"/>
        </w:rPr>
        <w:t>n</w:t>
      </w:r>
      <w:r w:rsidR="00972878">
        <w:rPr>
          <w:lang w:eastAsia="tr-TR"/>
        </w:rPr>
        <w:t>a (%37,5) da sadece</w:t>
      </w:r>
      <w:r>
        <w:rPr>
          <w:lang w:eastAsia="tr-TR"/>
        </w:rPr>
        <w:t xml:space="preserve"> plazmaferez işlemi destek tedavi amacıyla yapılmıştır.</w:t>
      </w:r>
    </w:p>
    <w:p w14:paraId="3A453E26" w14:textId="0930DE9A" w:rsidR="00972878" w:rsidRDefault="00972878" w:rsidP="003A4709">
      <w:bookmarkStart w:id="549" w:name="_Toc45265948"/>
    </w:p>
    <w:p w14:paraId="31CB2869" w14:textId="72890AC9" w:rsidR="004A3864" w:rsidRDefault="00BF0F9A" w:rsidP="004A3864">
      <w:pPr>
        <w:pStyle w:val="Balk2"/>
        <w:numPr>
          <w:ilvl w:val="0"/>
          <w:numId w:val="0"/>
        </w:numPr>
        <w:ind w:left="576"/>
      </w:pPr>
      <w:bookmarkStart w:id="550" w:name="_Toc55727847"/>
      <w:r w:rsidRPr="003A4709">
        <w:t>Çal</w:t>
      </w:r>
      <w:r w:rsidRPr="003A4709">
        <w:rPr>
          <w:rStyle w:val="Balk2Char"/>
          <w:b/>
        </w:rPr>
        <w:t xml:space="preserve">ışma </w:t>
      </w:r>
      <w:r w:rsidR="000A58F7">
        <w:rPr>
          <w:rStyle w:val="Balk2Char"/>
          <w:b/>
        </w:rPr>
        <w:t>Gruplarının</w:t>
      </w:r>
      <w:r w:rsidR="000A58F7" w:rsidRPr="003A4709">
        <w:rPr>
          <w:rStyle w:val="Balk2Char"/>
          <w:b/>
        </w:rPr>
        <w:t xml:space="preserve"> </w:t>
      </w:r>
      <w:r w:rsidR="000A58F7">
        <w:rPr>
          <w:rStyle w:val="Balk2Char"/>
          <w:b/>
        </w:rPr>
        <w:t>L</w:t>
      </w:r>
      <w:r w:rsidR="000A58F7" w:rsidRPr="00447927">
        <w:t>aboratuvar</w:t>
      </w:r>
      <w:r w:rsidR="000A58F7">
        <w:t>, Klinik ve Demografik Verilerinin</w:t>
      </w:r>
      <w:r w:rsidR="000A58F7" w:rsidRPr="00447927">
        <w:t xml:space="preserve"> Değerlendirilmesi</w:t>
      </w:r>
      <w:bookmarkEnd w:id="550"/>
      <w:r w:rsidR="000A58F7">
        <w:t xml:space="preserve"> </w:t>
      </w:r>
    </w:p>
    <w:p w14:paraId="7FFF7BCE" w14:textId="36D31869" w:rsidR="006B285C" w:rsidRDefault="00437A8F" w:rsidP="003A4709">
      <w:pPr>
        <w:ind w:firstLine="708"/>
      </w:pPr>
      <w:r>
        <w:t>Çalışmaya alınan h</w:t>
      </w:r>
      <w:r w:rsidR="00796992">
        <w:t>astalar 3</w:t>
      </w:r>
      <w:r w:rsidR="00BF0F9A">
        <w:t xml:space="preserve"> alt grup şeklinde</w:t>
      </w:r>
      <w:r w:rsidR="008945C5">
        <w:t xml:space="preserve"> incelen</w:t>
      </w:r>
      <w:r w:rsidR="00FA4538">
        <w:t>di</w:t>
      </w:r>
      <w:r w:rsidR="008945C5">
        <w:t>.</w:t>
      </w:r>
    </w:p>
    <w:p w14:paraId="26EB8E21" w14:textId="6E5279B0" w:rsidR="006B285C" w:rsidRDefault="008945C5" w:rsidP="003A4709">
      <w:pPr>
        <w:ind w:firstLine="708"/>
      </w:pPr>
      <w:r w:rsidRPr="003A4709">
        <w:rPr>
          <w:b/>
        </w:rPr>
        <w:t>Birinci grupta</w:t>
      </w:r>
      <w:r>
        <w:t>, kültürde üreme ol</w:t>
      </w:r>
      <w:r w:rsidR="006B285C">
        <w:t>may</w:t>
      </w:r>
      <w:r>
        <w:t>an ve kültürde üreme o</w:t>
      </w:r>
      <w:r w:rsidR="006B285C">
        <w:t>lan</w:t>
      </w:r>
      <w:r>
        <w:t>lar</w:t>
      </w:r>
      <w:r w:rsidR="00FA4538">
        <w:t>;</w:t>
      </w:r>
      <w:r>
        <w:t xml:space="preserve"> </w:t>
      </w:r>
      <w:r w:rsidR="00DA26D7">
        <w:t>(Grup 1)</w:t>
      </w:r>
    </w:p>
    <w:p w14:paraId="7D9F12E8" w14:textId="174933C3" w:rsidR="006B285C" w:rsidRDefault="006B285C" w:rsidP="003A4709">
      <w:pPr>
        <w:ind w:firstLine="708"/>
      </w:pPr>
      <w:r w:rsidRPr="003A4709">
        <w:rPr>
          <w:b/>
        </w:rPr>
        <w:t>İ</w:t>
      </w:r>
      <w:r w:rsidR="008945C5" w:rsidRPr="003A4709">
        <w:rPr>
          <w:b/>
        </w:rPr>
        <w:t>kinci grupta</w:t>
      </w:r>
      <w:r w:rsidR="008945C5">
        <w:t>, mortalite gelişen ve yaşayanlar</w:t>
      </w:r>
      <w:r w:rsidR="00FA4538">
        <w:t xml:space="preserve">; </w:t>
      </w:r>
      <w:r w:rsidR="00DA26D7">
        <w:t>(Grup 2)</w:t>
      </w:r>
    </w:p>
    <w:p w14:paraId="14CE1878" w14:textId="64BB4FA0" w:rsidR="008945C5" w:rsidRDefault="006B285C" w:rsidP="003A4709">
      <w:pPr>
        <w:ind w:firstLine="708"/>
      </w:pPr>
      <w:r w:rsidRPr="003A4709">
        <w:rPr>
          <w:b/>
        </w:rPr>
        <w:t>Ü</w:t>
      </w:r>
      <w:r w:rsidR="00796992" w:rsidRPr="003A4709">
        <w:rPr>
          <w:b/>
        </w:rPr>
        <w:t>çüncü grupta</w:t>
      </w:r>
      <w:r w:rsidR="00796992">
        <w:t xml:space="preserve"> ise kadın ve erkek</w:t>
      </w:r>
      <w:r>
        <w:t xml:space="preserve"> cinsiyet</w:t>
      </w:r>
      <w:r w:rsidR="00796992">
        <w:t xml:space="preserve"> kendi aralarında kıyaslandı.</w:t>
      </w:r>
      <w:r w:rsidR="00DA26D7">
        <w:t xml:space="preserve"> (Grup 3)</w:t>
      </w:r>
    </w:p>
    <w:p w14:paraId="09E3349F" w14:textId="78985CCB" w:rsidR="00FA4538" w:rsidRDefault="008945C5" w:rsidP="008945C5">
      <w:r>
        <w:t xml:space="preserve">Her </w:t>
      </w:r>
      <w:r w:rsidR="00FA4538">
        <w:t xml:space="preserve">bir </w:t>
      </w:r>
      <w:r>
        <w:t>gru</w:t>
      </w:r>
      <w:r w:rsidR="00FA4538">
        <w:t xml:space="preserve">p; yaş, </w:t>
      </w:r>
      <w:r w:rsidR="006F4279">
        <w:t xml:space="preserve">cinsiyet, mortalite, </w:t>
      </w:r>
      <w:r w:rsidR="00FA4538">
        <w:t xml:space="preserve">acil operasyon durumu, nakledilen greft tipi, </w:t>
      </w:r>
      <w:r w:rsidR="006B285C">
        <w:t xml:space="preserve">kültürde üreme, </w:t>
      </w:r>
      <w:r w:rsidR="00FA4538">
        <w:t>retransplantasyon varlığı, sepsis etiyolojisi, plazmaferez/MARS uygulamaları ve takip süreleri açısından</w:t>
      </w:r>
      <w:r>
        <w:t xml:space="preserve"> kendi içinde</w:t>
      </w:r>
      <w:r w:rsidR="00FA4538">
        <w:t xml:space="preserve"> ayrı ayrı değerlendirildi.</w:t>
      </w:r>
    </w:p>
    <w:p w14:paraId="1904EF94" w14:textId="77777777" w:rsidR="00F2610F" w:rsidRDefault="00F2610F" w:rsidP="008945C5"/>
    <w:p w14:paraId="7B888620" w14:textId="210314EA" w:rsidR="006B285C" w:rsidRDefault="0054678D" w:rsidP="00F2610F">
      <w:bookmarkStart w:id="551" w:name="_Toc49815787"/>
      <w:r w:rsidRPr="00FE6C1A">
        <w:rPr>
          <w:b/>
        </w:rPr>
        <w:t>1.Grup:</w:t>
      </w:r>
      <w:bookmarkEnd w:id="551"/>
      <w:r>
        <w:t xml:space="preserve"> </w:t>
      </w:r>
      <w:r w:rsidR="006B285C" w:rsidRPr="003A4709">
        <w:t xml:space="preserve">Kültür sonucuna göre </w:t>
      </w:r>
      <w:r w:rsidR="00E00F85" w:rsidRPr="003A4709">
        <w:t>oluşturulan</w:t>
      </w:r>
      <w:r w:rsidR="006B285C" w:rsidRPr="003A4709">
        <w:t xml:space="preserve"> b</w:t>
      </w:r>
      <w:r w:rsidR="00EE6B7C" w:rsidRPr="003A4709">
        <w:t>irinci gruptaki</w:t>
      </w:r>
      <w:r w:rsidR="00EE6B7C">
        <w:rPr>
          <w:b/>
        </w:rPr>
        <w:t xml:space="preserve"> </w:t>
      </w:r>
      <w:r w:rsidR="00EE6B7C" w:rsidRPr="003A4709">
        <w:t>hastaların 16’sında</w:t>
      </w:r>
      <w:r w:rsidR="00EE6B7C">
        <w:t xml:space="preserve"> (%66.6)</w:t>
      </w:r>
      <w:r w:rsidR="00EE6B7C" w:rsidRPr="003A4709">
        <w:t xml:space="preserve"> kültürde üreme varken, 8’inde</w:t>
      </w:r>
      <w:r w:rsidR="00EE6B7C">
        <w:t xml:space="preserve"> (%33.3)</w:t>
      </w:r>
      <w:r w:rsidR="00EE6B7C" w:rsidRPr="003A4709">
        <w:t xml:space="preserve"> ise kültürde üreme yoktu. </w:t>
      </w:r>
    </w:p>
    <w:p w14:paraId="5511B1A4" w14:textId="3F8E7F5F" w:rsidR="008C5C02" w:rsidRDefault="00EE6B7C" w:rsidP="00F2610F">
      <w:r>
        <w:t xml:space="preserve">Bu </w:t>
      </w:r>
      <w:r w:rsidR="00F2610F" w:rsidRPr="003A4709">
        <w:t>grup</w:t>
      </w:r>
      <w:r w:rsidR="008C5C02" w:rsidRPr="003A4709">
        <w:t>taki</w:t>
      </w:r>
      <w:r w:rsidR="00F2610F" w:rsidRPr="00EE6B7C">
        <w:t xml:space="preserve"> </w:t>
      </w:r>
      <w:r w:rsidR="00F2610F">
        <w:t xml:space="preserve">“kültürde üremesi olan ve olmayan” </w:t>
      </w:r>
      <w:r w:rsidR="00F2610F" w:rsidRPr="006D478C">
        <w:t>has</w:t>
      </w:r>
      <w:r>
        <w:t>ta grupları arasında</w:t>
      </w:r>
      <w:r w:rsidR="00F2610F">
        <w:t xml:space="preserve">; cinsiyet, yaş, acil şartlarda gerçekleştirilen karaciğer nakli operasyonu, kullanılan greft tipi, </w:t>
      </w:r>
      <w:r w:rsidR="008C5C02">
        <w:t xml:space="preserve">mortalite, </w:t>
      </w:r>
      <w:r w:rsidR="00F2610F">
        <w:t xml:space="preserve">sepsis etiyolojileri, plazmaferez/MARS uygulamaları ve takip süreleri dağılımında istatistiksel olarak anlamlı farklılık izlenmedi. </w:t>
      </w:r>
    </w:p>
    <w:p w14:paraId="42407FB9" w14:textId="22D8B6BF" w:rsidR="00F2610F" w:rsidRDefault="00F2610F" w:rsidP="00F2610F">
      <w:r>
        <w:t xml:space="preserve">Ancak </w:t>
      </w:r>
      <w:r w:rsidRPr="003A4709">
        <w:rPr>
          <w:b/>
        </w:rPr>
        <w:t>retransplantasyon</w:t>
      </w:r>
      <w:r w:rsidRPr="006D478C">
        <w:t xml:space="preserve"> oranı anlamlı olarak farklıydı. Üreme olan hastalara retransplantasyon daha az yapılmıştır</w:t>
      </w:r>
      <w:r>
        <w:t xml:space="preserve"> (p=0.046)</w:t>
      </w:r>
      <w:r w:rsidRPr="006D478C">
        <w:t xml:space="preserve">. </w:t>
      </w:r>
      <w:r>
        <w:t xml:space="preserve">Kültürde üreme olan hastalarda istatistiksel olarak anlamlı olmasa da </w:t>
      </w:r>
      <w:r w:rsidRPr="00BB5FD7">
        <w:rPr>
          <w:b/>
        </w:rPr>
        <w:t>mortalite</w:t>
      </w:r>
      <w:r>
        <w:t xml:space="preserve"> daha fazlaydı (p=0.54). </w:t>
      </w:r>
    </w:p>
    <w:p w14:paraId="7C1A8998" w14:textId="30F23B62" w:rsidR="005336E5" w:rsidRDefault="00FA4538" w:rsidP="008945C5">
      <w:r w:rsidRPr="006B285C">
        <w:t>Birinci grup</w:t>
      </w:r>
      <w:r w:rsidR="006F4279" w:rsidRPr="006B285C">
        <w:t>taki</w:t>
      </w:r>
      <w:r>
        <w:t xml:space="preserve"> </w:t>
      </w:r>
      <w:r w:rsidR="006F4279">
        <w:t>“</w:t>
      </w:r>
      <w:r>
        <w:t>kültürde üreme olan ve olmayan</w:t>
      </w:r>
      <w:r w:rsidR="006F4279">
        <w:t>”</w:t>
      </w:r>
      <w:r>
        <w:t xml:space="preserve"> hastaların </w:t>
      </w:r>
      <w:r w:rsidR="00796992">
        <w:t xml:space="preserve">demografik ve </w:t>
      </w:r>
      <w:r>
        <w:t xml:space="preserve">klinik özellikleri </w:t>
      </w:r>
      <w:r w:rsidR="00F2610F">
        <w:t>T</w:t>
      </w:r>
      <w:r>
        <w:t>ablo</w:t>
      </w:r>
      <w:r w:rsidR="00F2610F">
        <w:t xml:space="preserve"> 4.</w:t>
      </w:r>
      <w:r w:rsidR="00BB5FD7">
        <w:t xml:space="preserve">5 </w:t>
      </w:r>
      <w:r w:rsidR="00F2610F">
        <w:t>te</w:t>
      </w:r>
      <w:r>
        <w:t xml:space="preserve"> </w:t>
      </w:r>
      <w:r w:rsidR="008945C5">
        <w:t>gösterilmiştir</w:t>
      </w:r>
      <w:r w:rsidR="00796992">
        <w:t>.</w:t>
      </w:r>
      <w:r w:rsidR="008945C5">
        <w:t xml:space="preserve"> </w:t>
      </w:r>
    </w:p>
    <w:p w14:paraId="56D79FEB" w14:textId="72779936" w:rsidR="008C5C02" w:rsidRDefault="008C5C02">
      <w:pPr>
        <w:spacing w:after="160"/>
        <w:ind w:left="680" w:firstLine="0"/>
      </w:pPr>
      <w:r>
        <w:br w:type="page"/>
      </w:r>
    </w:p>
    <w:p w14:paraId="31CB28C8" w14:textId="785BE528" w:rsidR="004A3864" w:rsidRDefault="008945C5" w:rsidP="004A3864">
      <w:pPr>
        <w:ind w:firstLine="0"/>
      </w:pPr>
      <w:r>
        <w:lastRenderedPageBreak/>
        <w:t xml:space="preserve">       </w:t>
      </w:r>
      <w:bookmarkStart w:id="552" w:name="_Toc49818020"/>
      <w:r w:rsidR="00594591" w:rsidRPr="00594591">
        <w:t xml:space="preserve">Tablo </w:t>
      </w:r>
      <w:r w:rsidR="00C07B3D">
        <w:rPr>
          <w:noProof/>
        </w:rPr>
        <w:fldChar w:fldCharType="begin"/>
      </w:r>
      <w:r w:rsidR="00C07B3D">
        <w:rPr>
          <w:noProof/>
        </w:rPr>
        <w:instrText xml:space="preserve"> STYLEREF 1 \s </w:instrText>
      </w:r>
      <w:r w:rsidR="00C07B3D">
        <w:rPr>
          <w:noProof/>
        </w:rPr>
        <w:fldChar w:fldCharType="separate"/>
      </w:r>
      <w:r w:rsidR="00063441">
        <w:rPr>
          <w:noProof/>
        </w:rPr>
        <w:t>4</w:t>
      </w:r>
      <w:r w:rsidR="00C07B3D">
        <w:rPr>
          <w:noProof/>
        </w:rPr>
        <w:fldChar w:fldCharType="end"/>
      </w:r>
      <w:r w:rsidR="002B4CBE">
        <w:t>.</w:t>
      </w:r>
      <w:r w:rsidR="00C07B3D">
        <w:rPr>
          <w:noProof/>
        </w:rPr>
        <w:fldChar w:fldCharType="begin"/>
      </w:r>
      <w:r w:rsidR="00C07B3D">
        <w:rPr>
          <w:noProof/>
        </w:rPr>
        <w:instrText xml:space="preserve"> SEQ Tablo \* ARABIC \s 1 </w:instrText>
      </w:r>
      <w:r w:rsidR="00C07B3D">
        <w:rPr>
          <w:noProof/>
        </w:rPr>
        <w:fldChar w:fldCharType="separate"/>
      </w:r>
      <w:r w:rsidR="00063441">
        <w:rPr>
          <w:noProof/>
        </w:rPr>
        <w:t>5</w:t>
      </w:r>
      <w:r w:rsidR="00C07B3D">
        <w:rPr>
          <w:noProof/>
        </w:rPr>
        <w:fldChar w:fldCharType="end"/>
      </w:r>
      <w:r w:rsidR="00594591" w:rsidRPr="00594591">
        <w:t xml:space="preserve"> </w:t>
      </w:r>
      <w:r w:rsidR="00E87DDD">
        <w:t xml:space="preserve">Kültürde </w:t>
      </w:r>
      <w:r w:rsidR="0048467D">
        <w:t>Üreme Durumuna Göre Demografik v</w:t>
      </w:r>
      <w:r w:rsidR="0048467D" w:rsidRPr="00594591">
        <w:t>e Klinik Veriler</w:t>
      </w:r>
      <w:r w:rsidR="008C5C02">
        <w:t xml:space="preserve"> (grup-1)</w:t>
      </w:r>
      <w:bookmarkEnd w:id="552"/>
    </w:p>
    <w:tbl>
      <w:tblPr>
        <w:tblStyle w:val="TabloKlavuzu"/>
        <w:tblW w:w="7481" w:type="dxa"/>
        <w:jc w:val="center"/>
        <w:tblLook w:val="04A0" w:firstRow="1" w:lastRow="0" w:firstColumn="1" w:lastColumn="0" w:noHBand="0" w:noVBand="1"/>
      </w:tblPr>
      <w:tblGrid>
        <w:gridCol w:w="2550"/>
        <w:gridCol w:w="1794"/>
        <w:gridCol w:w="1825"/>
        <w:gridCol w:w="1312"/>
      </w:tblGrid>
      <w:tr w:rsidR="005336E5" w:rsidRPr="005E017D" w14:paraId="774077AF" w14:textId="77777777" w:rsidTr="008945C5">
        <w:trPr>
          <w:trHeight w:val="515"/>
          <w:jc w:val="center"/>
        </w:trPr>
        <w:tc>
          <w:tcPr>
            <w:tcW w:w="0" w:type="auto"/>
            <w:vMerge w:val="restart"/>
          </w:tcPr>
          <w:p w14:paraId="3E4ACB7D" w14:textId="77777777" w:rsidR="005336E5" w:rsidRPr="005E017D" w:rsidRDefault="005336E5" w:rsidP="005336E5">
            <w:pPr>
              <w:spacing w:line="360" w:lineRule="auto"/>
              <w:rPr>
                <w:rFonts w:eastAsia="Times New Roman"/>
                <w:b/>
                <w:bCs/>
                <w:color w:val="000000" w:themeColor="text1"/>
                <w:sz w:val="22"/>
              </w:rPr>
            </w:pPr>
            <w:bookmarkStart w:id="553" w:name="_Hlk45688224"/>
            <w:r w:rsidRPr="005E017D">
              <w:rPr>
                <w:rFonts w:eastAsia="Times New Roman"/>
                <w:b/>
                <w:bCs/>
                <w:color w:val="000000" w:themeColor="text1"/>
                <w:sz w:val="22"/>
              </w:rPr>
              <w:t> </w:t>
            </w:r>
          </w:p>
        </w:tc>
        <w:tc>
          <w:tcPr>
            <w:tcW w:w="0" w:type="auto"/>
            <w:gridSpan w:val="2"/>
            <w:hideMark/>
          </w:tcPr>
          <w:p w14:paraId="566D457D" w14:textId="77777777" w:rsidR="005336E5" w:rsidRPr="005E017D" w:rsidRDefault="005336E5" w:rsidP="005336E5">
            <w:pPr>
              <w:spacing w:line="360" w:lineRule="auto"/>
              <w:rPr>
                <w:rFonts w:eastAsia="Times New Roman"/>
                <w:b/>
                <w:bCs/>
                <w:color w:val="000000" w:themeColor="text1"/>
                <w:sz w:val="22"/>
              </w:rPr>
            </w:pPr>
            <w:r w:rsidRPr="005E017D">
              <w:rPr>
                <w:rFonts w:eastAsia="Times New Roman"/>
                <w:b/>
                <w:bCs/>
                <w:color w:val="000000" w:themeColor="text1"/>
                <w:sz w:val="22"/>
              </w:rPr>
              <w:t> </w:t>
            </w:r>
          </w:p>
          <w:p w14:paraId="390FA666" w14:textId="77777777" w:rsidR="005336E5" w:rsidRPr="005E017D" w:rsidRDefault="005336E5" w:rsidP="005336E5">
            <w:pPr>
              <w:spacing w:line="360" w:lineRule="auto"/>
              <w:ind w:firstLine="0"/>
              <w:jc w:val="center"/>
              <w:rPr>
                <w:rFonts w:eastAsia="Times New Roman"/>
                <w:b/>
                <w:bCs/>
                <w:color w:val="000000" w:themeColor="text1"/>
                <w:sz w:val="22"/>
              </w:rPr>
            </w:pPr>
            <w:r w:rsidRPr="005E017D">
              <w:rPr>
                <w:rFonts w:eastAsia="Times New Roman"/>
                <w:b/>
                <w:bCs/>
                <w:color w:val="000000" w:themeColor="text1"/>
                <w:sz w:val="22"/>
              </w:rPr>
              <w:t>KÜLTÜR SONUCU</w:t>
            </w:r>
          </w:p>
          <w:p w14:paraId="286F76AA" w14:textId="77777777" w:rsidR="005336E5" w:rsidRPr="005E017D" w:rsidRDefault="005336E5" w:rsidP="005336E5">
            <w:pPr>
              <w:spacing w:line="360" w:lineRule="auto"/>
              <w:jc w:val="center"/>
              <w:rPr>
                <w:rFonts w:eastAsia="Times New Roman"/>
                <w:b/>
                <w:bCs/>
                <w:color w:val="000000" w:themeColor="text1"/>
                <w:sz w:val="22"/>
              </w:rPr>
            </w:pPr>
            <w:r w:rsidRPr="005E017D">
              <w:rPr>
                <w:rFonts w:eastAsia="Times New Roman"/>
                <w:b/>
                <w:bCs/>
                <w:color w:val="000000" w:themeColor="text1"/>
                <w:sz w:val="22"/>
              </w:rPr>
              <w:t> </w:t>
            </w:r>
          </w:p>
        </w:tc>
        <w:tc>
          <w:tcPr>
            <w:tcW w:w="0" w:type="auto"/>
          </w:tcPr>
          <w:p w14:paraId="572828E7" w14:textId="77777777" w:rsidR="005336E5" w:rsidRPr="005E017D" w:rsidRDefault="005336E5" w:rsidP="005336E5">
            <w:pPr>
              <w:spacing w:line="360" w:lineRule="auto"/>
              <w:rPr>
                <w:rFonts w:eastAsia="Times New Roman"/>
                <w:b/>
                <w:bCs/>
                <w:color w:val="000000" w:themeColor="text1"/>
                <w:sz w:val="22"/>
              </w:rPr>
            </w:pPr>
          </w:p>
          <w:p w14:paraId="3AB61B42" w14:textId="77777777" w:rsidR="005336E5" w:rsidRPr="005E017D" w:rsidRDefault="005336E5" w:rsidP="005336E5">
            <w:pPr>
              <w:spacing w:line="360" w:lineRule="auto"/>
              <w:jc w:val="center"/>
              <w:rPr>
                <w:rFonts w:eastAsia="Times New Roman"/>
                <w:b/>
                <w:bCs/>
                <w:color w:val="000000" w:themeColor="text1"/>
                <w:sz w:val="22"/>
              </w:rPr>
            </w:pPr>
          </w:p>
        </w:tc>
      </w:tr>
      <w:tr w:rsidR="005336E5" w:rsidRPr="005E017D" w14:paraId="203684C5" w14:textId="77777777" w:rsidTr="008945C5">
        <w:trPr>
          <w:trHeight w:val="178"/>
          <w:jc w:val="center"/>
        </w:trPr>
        <w:tc>
          <w:tcPr>
            <w:tcW w:w="0" w:type="auto"/>
            <w:vMerge/>
            <w:hideMark/>
          </w:tcPr>
          <w:p w14:paraId="7F3C6410" w14:textId="77777777" w:rsidR="005336E5" w:rsidRPr="005E017D" w:rsidRDefault="005336E5" w:rsidP="005336E5">
            <w:pPr>
              <w:spacing w:line="360" w:lineRule="auto"/>
              <w:rPr>
                <w:rFonts w:eastAsia="Times New Roman"/>
                <w:b/>
                <w:bCs/>
                <w:color w:val="000000" w:themeColor="text1"/>
                <w:sz w:val="22"/>
              </w:rPr>
            </w:pPr>
          </w:p>
        </w:tc>
        <w:tc>
          <w:tcPr>
            <w:tcW w:w="0" w:type="auto"/>
            <w:hideMark/>
          </w:tcPr>
          <w:p w14:paraId="4AD7C4CE" w14:textId="7F8D2C84" w:rsidR="005336E5" w:rsidRPr="005E017D" w:rsidRDefault="005336E5">
            <w:pPr>
              <w:spacing w:line="360" w:lineRule="auto"/>
              <w:ind w:firstLine="0"/>
              <w:rPr>
                <w:rFonts w:eastAsia="Times New Roman"/>
                <w:b/>
                <w:bCs/>
                <w:color w:val="000000" w:themeColor="text1"/>
                <w:sz w:val="22"/>
              </w:rPr>
            </w:pPr>
            <w:r w:rsidRPr="005E017D">
              <w:rPr>
                <w:rFonts w:eastAsia="Times New Roman"/>
                <w:b/>
                <w:bCs/>
                <w:color w:val="000000" w:themeColor="text1"/>
                <w:sz w:val="22"/>
              </w:rPr>
              <w:t>Üreme yok</w:t>
            </w:r>
            <w:r>
              <w:rPr>
                <w:rFonts w:eastAsia="Times New Roman"/>
                <w:b/>
                <w:bCs/>
                <w:color w:val="000000" w:themeColor="text1"/>
                <w:sz w:val="22"/>
              </w:rPr>
              <w:t xml:space="preserve">  n</w:t>
            </w:r>
            <w:r w:rsidR="00EE6B7C">
              <w:rPr>
                <w:rFonts w:eastAsia="Times New Roman"/>
                <w:b/>
                <w:bCs/>
                <w:color w:val="000000" w:themeColor="text1"/>
                <w:sz w:val="22"/>
              </w:rPr>
              <w:t>=8</w:t>
            </w:r>
          </w:p>
        </w:tc>
        <w:tc>
          <w:tcPr>
            <w:tcW w:w="0" w:type="auto"/>
            <w:hideMark/>
          </w:tcPr>
          <w:p w14:paraId="52A5EA93" w14:textId="65F1C2E1" w:rsidR="005336E5" w:rsidRPr="005E017D" w:rsidRDefault="005336E5">
            <w:pPr>
              <w:spacing w:line="360" w:lineRule="auto"/>
              <w:ind w:firstLine="0"/>
              <w:rPr>
                <w:rFonts w:eastAsia="Times New Roman"/>
                <w:b/>
                <w:bCs/>
                <w:color w:val="000000" w:themeColor="text1"/>
                <w:sz w:val="22"/>
              </w:rPr>
            </w:pPr>
            <w:r w:rsidRPr="005E017D">
              <w:rPr>
                <w:rFonts w:eastAsia="Times New Roman"/>
                <w:b/>
                <w:bCs/>
                <w:color w:val="000000" w:themeColor="text1"/>
                <w:sz w:val="22"/>
              </w:rPr>
              <w:t>Üreme var</w:t>
            </w:r>
            <w:r>
              <w:rPr>
                <w:rFonts w:eastAsia="Times New Roman"/>
                <w:b/>
                <w:bCs/>
                <w:color w:val="000000" w:themeColor="text1"/>
                <w:sz w:val="22"/>
              </w:rPr>
              <w:t xml:space="preserve"> n</w:t>
            </w:r>
            <w:r w:rsidR="00EE6B7C">
              <w:rPr>
                <w:rFonts w:eastAsia="Times New Roman"/>
                <w:b/>
                <w:bCs/>
                <w:color w:val="000000" w:themeColor="text1"/>
                <w:sz w:val="22"/>
              </w:rPr>
              <w:t>=16</w:t>
            </w:r>
          </w:p>
        </w:tc>
        <w:tc>
          <w:tcPr>
            <w:tcW w:w="0" w:type="auto"/>
          </w:tcPr>
          <w:p w14:paraId="4224FE24" w14:textId="77777777" w:rsidR="005336E5" w:rsidRPr="005E017D" w:rsidRDefault="005336E5" w:rsidP="005336E5">
            <w:pPr>
              <w:spacing w:line="360" w:lineRule="auto"/>
              <w:ind w:firstLine="0"/>
              <w:rPr>
                <w:rFonts w:eastAsia="Times New Roman"/>
                <w:b/>
                <w:bCs/>
                <w:color w:val="000000" w:themeColor="text1"/>
                <w:sz w:val="22"/>
              </w:rPr>
            </w:pPr>
            <w:r>
              <w:rPr>
                <w:rFonts w:eastAsia="Times New Roman"/>
                <w:b/>
                <w:bCs/>
                <w:color w:val="000000" w:themeColor="text1"/>
                <w:sz w:val="22"/>
              </w:rPr>
              <w:t>p&lt;0,05</w:t>
            </w:r>
          </w:p>
        </w:tc>
      </w:tr>
      <w:tr w:rsidR="005336E5" w:rsidRPr="005E017D" w14:paraId="7B905386" w14:textId="77777777" w:rsidTr="008945C5">
        <w:trPr>
          <w:trHeight w:val="481"/>
          <w:jc w:val="center"/>
        </w:trPr>
        <w:tc>
          <w:tcPr>
            <w:tcW w:w="0" w:type="auto"/>
            <w:vAlign w:val="center"/>
            <w:hideMark/>
          </w:tcPr>
          <w:p w14:paraId="66903D4D" w14:textId="77777777" w:rsidR="005336E5" w:rsidRPr="005E017D" w:rsidRDefault="005336E5" w:rsidP="005336E5">
            <w:pPr>
              <w:ind w:firstLine="0"/>
              <w:jc w:val="left"/>
              <w:rPr>
                <w:rFonts w:eastAsia="Times New Roman"/>
                <w:b/>
                <w:bCs/>
                <w:color w:val="000000" w:themeColor="text1"/>
                <w:sz w:val="22"/>
              </w:rPr>
            </w:pPr>
            <w:r w:rsidRPr="005E017D">
              <w:rPr>
                <w:rFonts w:eastAsia="Times New Roman"/>
                <w:b/>
                <w:bCs/>
                <w:color w:val="000000" w:themeColor="text1"/>
                <w:sz w:val="22"/>
              </w:rPr>
              <w:t>Cinsiyet</w:t>
            </w:r>
          </w:p>
          <w:p w14:paraId="468C949B" w14:textId="77777777" w:rsidR="005336E5" w:rsidRPr="005E017D" w:rsidRDefault="005336E5" w:rsidP="005336E5">
            <w:pPr>
              <w:jc w:val="left"/>
              <w:rPr>
                <w:rFonts w:eastAsia="Times New Roman"/>
                <w:bCs/>
                <w:color w:val="000000" w:themeColor="text1"/>
                <w:sz w:val="22"/>
              </w:rPr>
            </w:pPr>
            <w:r w:rsidRPr="005E017D">
              <w:rPr>
                <w:rFonts w:eastAsia="Times New Roman"/>
                <w:bCs/>
                <w:color w:val="000000" w:themeColor="text1"/>
                <w:sz w:val="22"/>
              </w:rPr>
              <w:t>Erkek</w:t>
            </w:r>
          </w:p>
          <w:p w14:paraId="1A2DCBC9" w14:textId="77777777" w:rsidR="005336E5" w:rsidRPr="005E017D" w:rsidRDefault="005336E5" w:rsidP="005336E5">
            <w:pPr>
              <w:jc w:val="left"/>
              <w:rPr>
                <w:rFonts w:eastAsia="Times New Roman"/>
                <w:b/>
                <w:bCs/>
                <w:color w:val="000000" w:themeColor="text1"/>
                <w:sz w:val="22"/>
              </w:rPr>
            </w:pPr>
            <w:r w:rsidRPr="005E017D">
              <w:rPr>
                <w:rFonts w:eastAsia="Times New Roman"/>
                <w:bCs/>
                <w:color w:val="000000" w:themeColor="text1"/>
                <w:sz w:val="22"/>
              </w:rPr>
              <w:t>Kadın</w:t>
            </w:r>
          </w:p>
        </w:tc>
        <w:tc>
          <w:tcPr>
            <w:tcW w:w="0" w:type="auto"/>
            <w:noWrap/>
            <w:vAlign w:val="center"/>
            <w:hideMark/>
          </w:tcPr>
          <w:p w14:paraId="69EFB0D0" w14:textId="77777777" w:rsidR="005336E5" w:rsidRPr="005E017D" w:rsidRDefault="005336E5" w:rsidP="005336E5">
            <w:pPr>
              <w:jc w:val="center"/>
              <w:rPr>
                <w:rFonts w:eastAsia="Times New Roman"/>
                <w:color w:val="000000" w:themeColor="text1"/>
                <w:sz w:val="22"/>
              </w:rPr>
            </w:pPr>
          </w:p>
          <w:p w14:paraId="2B5F10C0"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5 (62.5%)</w:t>
            </w:r>
          </w:p>
          <w:p w14:paraId="791272E2"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3 (37.5%)</w:t>
            </w:r>
          </w:p>
        </w:tc>
        <w:tc>
          <w:tcPr>
            <w:tcW w:w="0" w:type="auto"/>
            <w:noWrap/>
            <w:vAlign w:val="center"/>
            <w:hideMark/>
          </w:tcPr>
          <w:p w14:paraId="53CE3FD6" w14:textId="77777777" w:rsidR="005336E5" w:rsidRPr="005E017D" w:rsidRDefault="005336E5" w:rsidP="005336E5">
            <w:pPr>
              <w:jc w:val="center"/>
              <w:rPr>
                <w:rFonts w:eastAsia="Times New Roman"/>
                <w:color w:val="000000" w:themeColor="text1"/>
                <w:sz w:val="22"/>
              </w:rPr>
            </w:pPr>
          </w:p>
          <w:p w14:paraId="2A73D8C6"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8 (50%)</w:t>
            </w:r>
          </w:p>
          <w:p w14:paraId="394FEA37"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8 (50%)</w:t>
            </w:r>
          </w:p>
        </w:tc>
        <w:tc>
          <w:tcPr>
            <w:tcW w:w="0" w:type="auto"/>
            <w:vAlign w:val="center"/>
          </w:tcPr>
          <w:p w14:paraId="49D901FE" w14:textId="77777777" w:rsidR="005336E5" w:rsidRPr="005E017D" w:rsidRDefault="005336E5" w:rsidP="005336E5">
            <w:pPr>
              <w:ind w:right="360"/>
              <w:rPr>
                <w:rFonts w:eastAsia="Times New Roman"/>
                <w:color w:val="000000" w:themeColor="text1"/>
                <w:sz w:val="22"/>
              </w:rPr>
            </w:pPr>
          </w:p>
          <w:p w14:paraId="252E4817" w14:textId="77777777" w:rsidR="005336E5" w:rsidRPr="005E017D" w:rsidRDefault="005336E5" w:rsidP="005336E5">
            <w:pPr>
              <w:ind w:right="360" w:firstLine="0"/>
              <w:rPr>
                <w:rFonts w:eastAsia="Times New Roman"/>
                <w:color w:val="000000" w:themeColor="text1"/>
                <w:sz w:val="22"/>
              </w:rPr>
            </w:pPr>
            <w:r w:rsidRPr="005E017D">
              <w:rPr>
                <w:rFonts w:eastAsia="Times New Roman"/>
                <w:color w:val="000000" w:themeColor="text1"/>
                <w:sz w:val="22"/>
              </w:rPr>
              <w:t>0.56</w:t>
            </w:r>
          </w:p>
        </w:tc>
      </w:tr>
      <w:tr w:rsidR="005336E5" w:rsidRPr="005E017D" w14:paraId="2A1D5662" w14:textId="77777777" w:rsidTr="008945C5">
        <w:trPr>
          <w:trHeight w:val="315"/>
          <w:jc w:val="center"/>
        </w:trPr>
        <w:tc>
          <w:tcPr>
            <w:tcW w:w="0" w:type="auto"/>
            <w:vAlign w:val="center"/>
          </w:tcPr>
          <w:p w14:paraId="6AE12C38" w14:textId="77777777" w:rsidR="005336E5" w:rsidRPr="005E017D" w:rsidRDefault="005336E5" w:rsidP="005336E5">
            <w:pPr>
              <w:ind w:firstLine="0"/>
              <w:jc w:val="left"/>
              <w:rPr>
                <w:rFonts w:eastAsia="Times New Roman"/>
                <w:b/>
                <w:bCs/>
                <w:color w:val="000000" w:themeColor="text1"/>
                <w:sz w:val="22"/>
              </w:rPr>
            </w:pPr>
            <w:r w:rsidRPr="005E017D">
              <w:rPr>
                <w:rFonts w:eastAsia="Times New Roman"/>
                <w:b/>
                <w:bCs/>
                <w:color w:val="000000" w:themeColor="text1"/>
                <w:sz w:val="22"/>
              </w:rPr>
              <w:t>Yaş</w:t>
            </w:r>
          </w:p>
        </w:tc>
        <w:tc>
          <w:tcPr>
            <w:tcW w:w="0" w:type="auto"/>
            <w:noWrap/>
            <w:vAlign w:val="center"/>
          </w:tcPr>
          <w:p w14:paraId="5B6A59F3" w14:textId="30168AD7" w:rsidR="005336E5" w:rsidRPr="005E017D" w:rsidRDefault="00E00F85" w:rsidP="005336E5">
            <w:pPr>
              <w:ind w:firstLine="0"/>
              <w:rPr>
                <w:rFonts w:eastAsia="Times New Roman"/>
                <w:color w:val="000000" w:themeColor="text1"/>
                <w:sz w:val="22"/>
              </w:rPr>
            </w:pPr>
            <w:r>
              <w:rPr>
                <w:rFonts w:eastAsia="Times New Roman"/>
                <w:color w:val="000000" w:themeColor="text1"/>
                <w:sz w:val="22"/>
              </w:rPr>
              <w:t>15.5 (2-57)</w:t>
            </w:r>
          </w:p>
        </w:tc>
        <w:tc>
          <w:tcPr>
            <w:tcW w:w="0" w:type="auto"/>
            <w:noWrap/>
            <w:vAlign w:val="center"/>
          </w:tcPr>
          <w:p w14:paraId="1A09B7FD"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21.5 (1-60)</w:t>
            </w:r>
          </w:p>
        </w:tc>
        <w:tc>
          <w:tcPr>
            <w:tcW w:w="0" w:type="auto"/>
            <w:vAlign w:val="center"/>
          </w:tcPr>
          <w:p w14:paraId="01E4304B" w14:textId="77777777" w:rsidR="005336E5" w:rsidRPr="005E017D" w:rsidRDefault="005336E5" w:rsidP="005336E5">
            <w:pPr>
              <w:ind w:right="360" w:firstLine="0"/>
              <w:rPr>
                <w:rFonts w:eastAsia="Times New Roman"/>
                <w:color w:val="000000" w:themeColor="text1"/>
                <w:sz w:val="22"/>
              </w:rPr>
            </w:pPr>
            <w:r w:rsidRPr="005E017D">
              <w:rPr>
                <w:rFonts w:eastAsia="Times New Roman"/>
                <w:color w:val="000000" w:themeColor="text1"/>
                <w:sz w:val="22"/>
              </w:rPr>
              <w:t>0.78</w:t>
            </w:r>
          </w:p>
        </w:tc>
      </w:tr>
      <w:tr w:rsidR="005336E5" w:rsidRPr="005E017D" w14:paraId="11BB594F" w14:textId="77777777" w:rsidTr="008945C5">
        <w:trPr>
          <w:trHeight w:val="315"/>
          <w:jc w:val="center"/>
        </w:trPr>
        <w:tc>
          <w:tcPr>
            <w:tcW w:w="0" w:type="auto"/>
            <w:vAlign w:val="center"/>
          </w:tcPr>
          <w:p w14:paraId="4287BCBA" w14:textId="77777777" w:rsidR="005336E5" w:rsidRPr="005E017D" w:rsidRDefault="005336E5" w:rsidP="005336E5">
            <w:pPr>
              <w:ind w:firstLine="0"/>
              <w:jc w:val="left"/>
              <w:rPr>
                <w:rFonts w:eastAsia="Times New Roman"/>
                <w:b/>
                <w:bCs/>
                <w:color w:val="000000" w:themeColor="text1"/>
                <w:sz w:val="22"/>
              </w:rPr>
            </w:pPr>
            <w:r w:rsidRPr="005E017D">
              <w:rPr>
                <w:rFonts w:eastAsia="Times New Roman"/>
                <w:b/>
                <w:bCs/>
                <w:color w:val="000000" w:themeColor="text1"/>
                <w:sz w:val="22"/>
              </w:rPr>
              <w:t>Acil operasyon durumu</w:t>
            </w:r>
          </w:p>
        </w:tc>
        <w:tc>
          <w:tcPr>
            <w:tcW w:w="0" w:type="auto"/>
            <w:noWrap/>
            <w:vAlign w:val="center"/>
          </w:tcPr>
          <w:p w14:paraId="6C601538"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2 (25%)</w:t>
            </w:r>
          </w:p>
        </w:tc>
        <w:tc>
          <w:tcPr>
            <w:tcW w:w="0" w:type="auto"/>
            <w:noWrap/>
            <w:vAlign w:val="center"/>
          </w:tcPr>
          <w:p w14:paraId="3D1AE387"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1 (6.3%)</w:t>
            </w:r>
          </w:p>
        </w:tc>
        <w:tc>
          <w:tcPr>
            <w:tcW w:w="0" w:type="auto"/>
            <w:vAlign w:val="center"/>
          </w:tcPr>
          <w:p w14:paraId="4B979852"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0.19</w:t>
            </w:r>
          </w:p>
        </w:tc>
      </w:tr>
      <w:tr w:rsidR="005336E5" w:rsidRPr="005E017D" w14:paraId="335EF628" w14:textId="77777777" w:rsidTr="008945C5">
        <w:trPr>
          <w:trHeight w:val="315"/>
          <w:jc w:val="center"/>
        </w:trPr>
        <w:tc>
          <w:tcPr>
            <w:tcW w:w="0" w:type="auto"/>
            <w:vAlign w:val="center"/>
          </w:tcPr>
          <w:p w14:paraId="5B5DE52B" w14:textId="77777777" w:rsidR="005336E5" w:rsidRPr="005E017D" w:rsidRDefault="005336E5" w:rsidP="005336E5">
            <w:pPr>
              <w:ind w:firstLine="0"/>
              <w:jc w:val="left"/>
              <w:rPr>
                <w:rFonts w:eastAsia="Times New Roman"/>
                <w:b/>
                <w:bCs/>
                <w:color w:val="000000" w:themeColor="text1"/>
                <w:sz w:val="22"/>
              </w:rPr>
            </w:pPr>
            <w:r w:rsidRPr="005E017D">
              <w:rPr>
                <w:rFonts w:eastAsia="Times New Roman"/>
                <w:b/>
                <w:bCs/>
                <w:color w:val="000000" w:themeColor="text1"/>
                <w:sz w:val="22"/>
              </w:rPr>
              <w:t>Greft tipi</w:t>
            </w:r>
          </w:p>
          <w:p w14:paraId="3C2D88AD" w14:textId="77777777" w:rsidR="005336E5" w:rsidRPr="005E017D" w:rsidRDefault="005336E5" w:rsidP="005336E5">
            <w:pPr>
              <w:ind w:left="720" w:firstLine="0"/>
              <w:jc w:val="left"/>
              <w:rPr>
                <w:rFonts w:eastAsia="Times New Roman"/>
                <w:bCs/>
                <w:color w:val="000000" w:themeColor="text1"/>
                <w:sz w:val="22"/>
              </w:rPr>
            </w:pPr>
            <w:r w:rsidRPr="005E017D">
              <w:rPr>
                <w:rFonts w:eastAsia="Times New Roman"/>
                <w:bCs/>
                <w:color w:val="000000" w:themeColor="text1"/>
                <w:sz w:val="22"/>
              </w:rPr>
              <w:t>Kadaverik</w:t>
            </w:r>
          </w:p>
          <w:p w14:paraId="39E11776" w14:textId="77777777" w:rsidR="005336E5" w:rsidRPr="005E017D" w:rsidRDefault="005336E5" w:rsidP="005336E5">
            <w:pPr>
              <w:ind w:left="720" w:firstLine="0"/>
              <w:jc w:val="left"/>
              <w:rPr>
                <w:rFonts w:eastAsia="Times New Roman"/>
                <w:bCs/>
                <w:color w:val="000000" w:themeColor="text1"/>
                <w:sz w:val="22"/>
              </w:rPr>
            </w:pPr>
            <w:r w:rsidRPr="005E017D">
              <w:rPr>
                <w:rFonts w:eastAsia="Times New Roman"/>
                <w:bCs/>
                <w:color w:val="000000" w:themeColor="text1"/>
                <w:sz w:val="22"/>
              </w:rPr>
              <w:t>S2-3</w:t>
            </w:r>
          </w:p>
          <w:p w14:paraId="0B4DCFB4" w14:textId="77777777" w:rsidR="005336E5" w:rsidRPr="005E017D" w:rsidRDefault="005336E5" w:rsidP="005336E5">
            <w:pPr>
              <w:ind w:left="720" w:firstLine="0"/>
              <w:jc w:val="left"/>
              <w:rPr>
                <w:rFonts w:eastAsia="Times New Roman"/>
                <w:bCs/>
                <w:color w:val="000000" w:themeColor="text1"/>
                <w:sz w:val="22"/>
              </w:rPr>
            </w:pPr>
            <w:r w:rsidRPr="005E017D">
              <w:rPr>
                <w:rFonts w:eastAsia="Times New Roman"/>
                <w:bCs/>
                <w:color w:val="000000" w:themeColor="text1"/>
                <w:sz w:val="22"/>
              </w:rPr>
              <w:t>Sol</w:t>
            </w:r>
          </w:p>
          <w:p w14:paraId="4325EAF5" w14:textId="77777777" w:rsidR="005336E5" w:rsidRPr="005E017D" w:rsidRDefault="005336E5" w:rsidP="005336E5">
            <w:pPr>
              <w:ind w:left="720" w:firstLine="0"/>
              <w:jc w:val="left"/>
              <w:rPr>
                <w:rFonts w:eastAsia="Times New Roman"/>
                <w:b/>
                <w:bCs/>
                <w:color w:val="000000" w:themeColor="text1"/>
                <w:sz w:val="22"/>
              </w:rPr>
            </w:pPr>
            <w:r w:rsidRPr="005E017D">
              <w:rPr>
                <w:rFonts w:eastAsia="Times New Roman"/>
                <w:bCs/>
                <w:color w:val="000000" w:themeColor="text1"/>
                <w:sz w:val="22"/>
              </w:rPr>
              <w:t>Sağ</w:t>
            </w:r>
          </w:p>
        </w:tc>
        <w:tc>
          <w:tcPr>
            <w:tcW w:w="0" w:type="auto"/>
            <w:noWrap/>
            <w:vAlign w:val="center"/>
          </w:tcPr>
          <w:p w14:paraId="20B3862F" w14:textId="77777777" w:rsidR="005336E5" w:rsidRPr="005E017D" w:rsidRDefault="005336E5" w:rsidP="005336E5">
            <w:pPr>
              <w:jc w:val="center"/>
              <w:rPr>
                <w:rFonts w:eastAsia="Times New Roman"/>
                <w:color w:val="000000" w:themeColor="text1"/>
                <w:sz w:val="22"/>
              </w:rPr>
            </w:pPr>
          </w:p>
          <w:p w14:paraId="222F7000"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0</w:t>
            </w:r>
          </w:p>
          <w:p w14:paraId="10E868F3"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3 (37.5%)</w:t>
            </w:r>
          </w:p>
          <w:p w14:paraId="3F0EE78D"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2 (35%)</w:t>
            </w:r>
          </w:p>
          <w:p w14:paraId="39D5EBAF"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3 (37.5%)</w:t>
            </w:r>
          </w:p>
        </w:tc>
        <w:tc>
          <w:tcPr>
            <w:tcW w:w="0" w:type="auto"/>
            <w:noWrap/>
            <w:vAlign w:val="center"/>
          </w:tcPr>
          <w:p w14:paraId="5EBF5BC9" w14:textId="77777777" w:rsidR="005336E5" w:rsidRPr="005E017D" w:rsidRDefault="005336E5" w:rsidP="005336E5">
            <w:pPr>
              <w:jc w:val="center"/>
              <w:rPr>
                <w:rFonts w:eastAsia="Times New Roman"/>
                <w:color w:val="000000" w:themeColor="text1"/>
                <w:sz w:val="22"/>
              </w:rPr>
            </w:pPr>
          </w:p>
          <w:p w14:paraId="6E31053C"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1 (6.3)</w:t>
            </w:r>
          </w:p>
          <w:p w14:paraId="69A2B91E"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6 (37.5%)</w:t>
            </w:r>
          </w:p>
          <w:p w14:paraId="22A4AA83"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4 (25%)</w:t>
            </w:r>
          </w:p>
          <w:p w14:paraId="222E2BAC" w14:textId="77777777" w:rsidR="005336E5" w:rsidRPr="005E017D" w:rsidRDefault="005336E5" w:rsidP="005336E5">
            <w:pPr>
              <w:ind w:firstLine="0"/>
              <w:rPr>
                <w:rFonts w:eastAsia="Times New Roman"/>
                <w:color w:val="000000" w:themeColor="text1"/>
                <w:sz w:val="22"/>
              </w:rPr>
            </w:pPr>
            <w:r w:rsidRPr="005E017D">
              <w:rPr>
                <w:rFonts w:eastAsia="Times New Roman"/>
                <w:color w:val="000000" w:themeColor="text1"/>
                <w:sz w:val="22"/>
              </w:rPr>
              <w:t>5 (31.3%)</w:t>
            </w:r>
          </w:p>
        </w:tc>
        <w:tc>
          <w:tcPr>
            <w:tcW w:w="0" w:type="auto"/>
            <w:vAlign w:val="center"/>
          </w:tcPr>
          <w:p w14:paraId="604E3548" w14:textId="77777777" w:rsidR="005336E5" w:rsidRPr="005E017D" w:rsidRDefault="005336E5" w:rsidP="005336E5">
            <w:pPr>
              <w:ind w:right="360" w:firstLine="0"/>
              <w:rPr>
                <w:rFonts w:eastAsia="Times New Roman"/>
                <w:color w:val="000000" w:themeColor="text1"/>
                <w:sz w:val="22"/>
              </w:rPr>
            </w:pPr>
            <w:r w:rsidRPr="005E017D">
              <w:rPr>
                <w:rFonts w:eastAsia="Times New Roman"/>
                <w:color w:val="000000" w:themeColor="text1"/>
                <w:sz w:val="22"/>
              </w:rPr>
              <w:t>0.9</w:t>
            </w:r>
          </w:p>
        </w:tc>
      </w:tr>
      <w:tr w:rsidR="005336E5" w:rsidRPr="005E017D" w14:paraId="442D12A7" w14:textId="77777777" w:rsidTr="008945C5">
        <w:trPr>
          <w:trHeight w:val="150"/>
          <w:jc w:val="center"/>
        </w:trPr>
        <w:tc>
          <w:tcPr>
            <w:tcW w:w="0" w:type="auto"/>
            <w:vAlign w:val="center"/>
          </w:tcPr>
          <w:p w14:paraId="5D161EB1" w14:textId="77777777" w:rsidR="005336E5" w:rsidRPr="005E017D" w:rsidRDefault="005336E5" w:rsidP="005336E5">
            <w:pPr>
              <w:ind w:firstLine="0"/>
              <w:jc w:val="left"/>
              <w:rPr>
                <w:rFonts w:eastAsia="Times New Roman"/>
                <w:b/>
                <w:bCs/>
                <w:color w:val="000000" w:themeColor="text1"/>
                <w:sz w:val="22"/>
              </w:rPr>
            </w:pPr>
            <w:r w:rsidRPr="005E017D">
              <w:rPr>
                <w:rFonts w:eastAsia="Times New Roman"/>
                <w:b/>
                <w:bCs/>
                <w:color w:val="000000" w:themeColor="text1"/>
                <w:sz w:val="22"/>
              </w:rPr>
              <w:t>Mortalite</w:t>
            </w:r>
          </w:p>
        </w:tc>
        <w:tc>
          <w:tcPr>
            <w:tcW w:w="0" w:type="auto"/>
            <w:noWrap/>
          </w:tcPr>
          <w:p w14:paraId="34A4550D" w14:textId="77777777" w:rsidR="005336E5" w:rsidRPr="005E017D" w:rsidRDefault="005336E5" w:rsidP="005336E5">
            <w:pPr>
              <w:ind w:firstLine="0"/>
              <w:rPr>
                <w:rFonts w:eastAsia="Times New Roman"/>
                <w:b/>
                <w:bCs/>
                <w:color w:val="000000" w:themeColor="text1"/>
                <w:sz w:val="22"/>
              </w:rPr>
            </w:pPr>
            <w:r w:rsidRPr="005E017D">
              <w:rPr>
                <w:color w:val="000000" w:themeColor="text1"/>
                <w:sz w:val="22"/>
              </w:rPr>
              <w:t>2 (25%)</w:t>
            </w:r>
          </w:p>
        </w:tc>
        <w:tc>
          <w:tcPr>
            <w:tcW w:w="0" w:type="auto"/>
            <w:noWrap/>
          </w:tcPr>
          <w:p w14:paraId="1F5FAB04" w14:textId="77777777" w:rsidR="005336E5" w:rsidRPr="005E017D" w:rsidRDefault="005336E5" w:rsidP="005336E5">
            <w:pPr>
              <w:ind w:firstLine="0"/>
              <w:rPr>
                <w:rFonts w:eastAsia="Times New Roman"/>
                <w:b/>
                <w:bCs/>
                <w:color w:val="000000" w:themeColor="text1"/>
                <w:sz w:val="22"/>
              </w:rPr>
            </w:pPr>
            <w:r w:rsidRPr="005E017D">
              <w:rPr>
                <w:color w:val="000000" w:themeColor="text1"/>
                <w:sz w:val="22"/>
              </w:rPr>
              <w:t>6 (37.5%)</w:t>
            </w:r>
          </w:p>
        </w:tc>
        <w:tc>
          <w:tcPr>
            <w:tcW w:w="0" w:type="auto"/>
            <w:vAlign w:val="center"/>
          </w:tcPr>
          <w:p w14:paraId="34308362" w14:textId="77777777" w:rsidR="005336E5" w:rsidRPr="005E017D" w:rsidRDefault="005336E5" w:rsidP="005336E5">
            <w:pPr>
              <w:ind w:right="360" w:firstLine="0"/>
              <w:rPr>
                <w:rFonts w:eastAsia="Times New Roman"/>
                <w:color w:val="000000" w:themeColor="text1"/>
                <w:sz w:val="22"/>
              </w:rPr>
            </w:pPr>
            <w:r w:rsidRPr="005E017D">
              <w:rPr>
                <w:rFonts w:eastAsia="Times New Roman"/>
                <w:color w:val="000000" w:themeColor="text1"/>
                <w:sz w:val="22"/>
              </w:rPr>
              <w:t>0.54</w:t>
            </w:r>
          </w:p>
        </w:tc>
      </w:tr>
      <w:tr w:rsidR="005336E5" w:rsidRPr="005E017D" w14:paraId="5343E2D5" w14:textId="77777777" w:rsidTr="008945C5">
        <w:trPr>
          <w:trHeight w:val="150"/>
          <w:jc w:val="center"/>
        </w:trPr>
        <w:tc>
          <w:tcPr>
            <w:tcW w:w="0" w:type="auto"/>
            <w:vAlign w:val="center"/>
          </w:tcPr>
          <w:p w14:paraId="10317886" w14:textId="77777777" w:rsidR="005336E5" w:rsidRPr="005E017D" w:rsidRDefault="005336E5" w:rsidP="005336E5">
            <w:pPr>
              <w:ind w:firstLine="0"/>
              <w:jc w:val="left"/>
              <w:rPr>
                <w:rFonts w:eastAsia="Times New Roman"/>
                <w:b/>
                <w:bCs/>
                <w:color w:val="000000" w:themeColor="text1"/>
                <w:sz w:val="22"/>
              </w:rPr>
            </w:pPr>
            <w:r w:rsidRPr="005E017D">
              <w:rPr>
                <w:rFonts w:eastAsia="Times New Roman"/>
                <w:b/>
                <w:bCs/>
                <w:color w:val="000000" w:themeColor="text1"/>
                <w:sz w:val="22"/>
              </w:rPr>
              <w:t xml:space="preserve">Retransplantasyon </w:t>
            </w:r>
          </w:p>
        </w:tc>
        <w:tc>
          <w:tcPr>
            <w:tcW w:w="0" w:type="auto"/>
            <w:noWrap/>
          </w:tcPr>
          <w:p w14:paraId="54E956B7" w14:textId="77777777" w:rsidR="005336E5" w:rsidRPr="005E017D" w:rsidRDefault="005336E5" w:rsidP="005336E5">
            <w:pPr>
              <w:ind w:firstLine="0"/>
              <w:rPr>
                <w:color w:val="000000" w:themeColor="text1"/>
                <w:sz w:val="22"/>
              </w:rPr>
            </w:pPr>
            <w:r w:rsidRPr="005E017D">
              <w:rPr>
                <w:color w:val="000000" w:themeColor="text1"/>
                <w:sz w:val="22"/>
              </w:rPr>
              <w:t>4 (50%)</w:t>
            </w:r>
          </w:p>
        </w:tc>
        <w:tc>
          <w:tcPr>
            <w:tcW w:w="0" w:type="auto"/>
            <w:noWrap/>
          </w:tcPr>
          <w:p w14:paraId="16B08080" w14:textId="77777777" w:rsidR="005336E5" w:rsidRPr="005E017D" w:rsidRDefault="005336E5" w:rsidP="005336E5">
            <w:pPr>
              <w:ind w:firstLine="0"/>
              <w:rPr>
                <w:color w:val="000000" w:themeColor="text1"/>
                <w:sz w:val="22"/>
              </w:rPr>
            </w:pPr>
            <w:r w:rsidRPr="005E017D">
              <w:rPr>
                <w:color w:val="000000" w:themeColor="text1"/>
                <w:sz w:val="22"/>
              </w:rPr>
              <w:t>2 (12.5%)</w:t>
            </w:r>
          </w:p>
        </w:tc>
        <w:tc>
          <w:tcPr>
            <w:tcW w:w="0" w:type="auto"/>
            <w:vAlign w:val="center"/>
          </w:tcPr>
          <w:p w14:paraId="0C3E760F" w14:textId="77777777" w:rsidR="005336E5" w:rsidRPr="005E017D" w:rsidRDefault="005336E5" w:rsidP="005336E5">
            <w:pPr>
              <w:ind w:right="360" w:firstLine="0"/>
              <w:rPr>
                <w:rFonts w:eastAsia="Times New Roman"/>
                <w:b/>
                <w:bCs/>
                <w:color w:val="000000" w:themeColor="text1"/>
                <w:sz w:val="22"/>
              </w:rPr>
            </w:pPr>
            <w:r w:rsidRPr="005E017D">
              <w:rPr>
                <w:rFonts w:eastAsia="Times New Roman"/>
                <w:b/>
                <w:bCs/>
                <w:color w:val="000000" w:themeColor="text1"/>
                <w:sz w:val="22"/>
              </w:rPr>
              <w:t>0.046</w:t>
            </w:r>
          </w:p>
        </w:tc>
      </w:tr>
      <w:tr w:rsidR="005336E5" w:rsidRPr="005E017D" w14:paraId="29ED99B8" w14:textId="77777777" w:rsidTr="008945C5">
        <w:trPr>
          <w:trHeight w:val="150"/>
          <w:jc w:val="center"/>
        </w:trPr>
        <w:tc>
          <w:tcPr>
            <w:tcW w:w="0" w:type="auto"/>
            <w:vAlign w:val="center"/>
          </w:tcPr>
          <w:p w14:paraId="6E61E6DC" w14:textId="77777777" w:rsidR="005336E5" w:rsidRPr="005E017D" w:rsidRDefault="005336E5" w:rsidP="005336E5">
            <w:pPr>
              <w:ind w:firstLine="0"/>
              <w:jc w:val="left"/>
              <w:rPr>
                <w:rFonts w:eastAsia="Times New Roman"/>
                <w:b/>
                <w:bCs/>
                <w:color w:val="000000" w:themeColor="text1"/>
                <w:sz w:val="22"/>
              </w:rPr>
            </w:pPr>
            <w:r w:rsidRPr="005E017D">
              <w:rPr>
                <w:rFonts w:eastAsia="Times New Roman"/>
                <w:b/>
                <w:bCs/>
                <w:color w:val="000000" w:themeColor="text1"/>
                <w:sz w:val="22"/>
              </w:rPr>
              <w:t>Sepsis etiyolojileri</w:t>
            </w:r>
          </w:p>
          <w:p w14:paraId="3CE26BD3" w14:textId="77777777" w:rsidR="005336E5" w:rsidRPr="005E017D" w:rsidRDefault="005336E5" w:rsidP="005336E5">
            <w:pPr>
              <w:jc w:val="left"/>
              <w:rPr>
                <w:rFonts w:eastAsia="Times New Roman"/>
                <w:bCs/>
                <w:color w:val="000000" w:themeColor="text1"/>
                <w:sz w:val="22"/>
              </w:rPr>
            </w:pPr>
            <w:r>
              <w:rPr>
                <w:rFonts w:eastAsia="Times New Roman"/>
                <w:bCs/>
                <w:color w:val="000000" w:themeColor="text1"/>
                <w:sz w:val="22"/>
              </w:rPr>
              <w:t>HAT</w:t>
            </w:r>
          </w:p>
          <w:p w14:paraId="554F58B0" w14:textId="29445D27" w:rsidR="005336E5" w:rsidRPr="005E017D" w:rsidRDefault="00E00F85" w:rsidP="005336E5">
            <w:pPr>
              <w:jc w:val="left"/>
              <w:rPr>
                <w:rFonts w:eastAsia="Times New Roman"/>
                <w:bCs/>
                <w:color w:val="000000" w:themeColor="text1"/>
                <w:sz w:val="22"/>
              </w:rPr>
            </w:pPr>
            <w:r w:rsidRPr="005E017D">
              <w:rPr>
                <w:rFonts w:eastAsia="Times New Roman"/>
                <w:bCs/>
                <w:color w:val="000000" w:themeColor="text1"/>
                <w:sz w:val="22"/>
              </w:rPr>
              <w:t>Biliyer</w:t>
            </w:r>
            <w:r w:rsidR="005336E5" w:rsidRPr="005E017D">
              <w:rPr>
                <w:rFonts w:eastAsia="Times New Roman"/>
                <w:bCs/>
                <w:color w:val="000000" w:themeColor="text1"/>
                <w:sz w:val="22"/>
              </w:rPr>
              <w:t xml:space="preserve"> kaçak </w:t>
            </w:r>
          </w:p>
          <w:p w14:paraId="600A4C60" w14:textId="77777777" w:rsidR="005336E5" w:rsidRPr="005E017D" w:rsidRDefault="005336E5" w:rsidP="005336E5">
            <w:pPr>
              <w:jc w:val="left"/>
              <w:rPr>
                <w:rFonts w:eastAsia="Times New Roman"/>
                <w:bCs/>
                <w:color w:val="000000" w:themeColor="text1"/>
                <w:sz w:val="22"/>
              </w:rPr>
            </w:pPr>
            <w:r w:rsidRPr="005E017D">
              <w:rPr>
                <w:rFonts w:eastAsia="Times New Roman"/>
                <w:bCs/>
                <w:color w:val="000000" w:themeColor="text1"/>
                <w:sz w:val="22"/>
              </w:rPr>
              <w:t>Perforasyon</w:t>
            </w:r>
          </w:p>
          <w:p w14:paraId="0620E30F" w14:textId="77777777" w:rsidR="005336E5" w:rsidRPr="005E017D" w:rsidRDefault="005336E5" w:rsidP="005336E5">
            <w:pPr>
              <w:jc w:val="left"/>
              <w:rPr>
                <w:rFonts w:eastAsia="Times New Roman"/>
                <w:b/>
                <w:bCs/>
                <w:color w:val="000000" w:themeColor="text1"/>
                <w:sz w:val="22"/>
              </w:rPr>
            </w:pPr>
            <w:r w:rsidRPr="005E017D">
              <w:rPr>
                <w:rFonts w:eastAsia="Times New Roman"/>
                <w:bCs/>
                <w:color w:val="000000" w:themeColor="text1"/>
                <w:sz w:val="22"/>
              </w:rPr>
              <w:t>Diğer</w:t>
            </w:r>
            <w:r w:rsidRPr="005E017D">
              <w:rPr>
                <w:rFonts w:eastAsia="Times New Roman"/>
                <w:b/>
                <w:bCs/>
                <w:color w:val="000000" w:themeColor="text1"/>
                <w:sz w:val="22"/>
              </w:rPr>
              <w:t xml:space="preserve"> </w:t>
            </w:r>
          </w:p>
        </w:tc>
        <w:tc>
          <w:tcPr>
            <w:tcW w:w="0" w:type="auto"/>
            <w:noWrap/>
          </w:tcPr>
          <w:p w14:paraId="36B3644E" w14:textId="77777777" w:rsidR="005336E5" w:rsidRPr="005E017D" w:rsidRDefault="005336E5" w:rsidP="005336E5">
            <w:pPr>
              <w:jc w:val="center"/>
              <w:rPr>
                <w:color w:val="000000" w:themeColor="text1"/>
                <w:sz w:val="22"/>
              </w:rPr>
            </w:pPr>
          </w:p>
          <w:p w14:paraId="1B1BE479" w14:textId="77777777" w:rsidR="005336E5" w:rsidRPr="005E017D" w:rsidRDefault="005336E5" w:rsidP="005336E5">
            <w:pPr>
              <w:ind w:firstLine="0"/>
              <w:rPr>
                <w:color w:val="000000" w:themeColor="text1"/>
                <w:sz w:val="22"/>
              </w:rPr>
            </w:pPr>
            <w:r w:rsidRPr="005E017D">
              <w:rPr>
                <w:color w:val="000000" w:themeColor="text1"/>
                <w:sz w:val="22"/>
              </w:rPr>
              <w:t>4 (50%)</w:t>
            </w:r>
          </w:p>
          <w:p w14:paraId="1818AB29" w14:textId="77777777" w:rsidR="005336E5" w:rsidRPr="005E017D" w:rsidRDefault="005336E5" w:rsidP="005336E5">
            <w:pPr>
              <w:ind w:firstLine="0"/>
              <w:rPr>
                <w:color w:val="000000" w:themeColor="text1"/>
                <w:sz w:val="22"/>
              </w:rPr>
            </w:pPr>
            <w:r w:rsidRPr="005E017D">
              <w:rPr>
                <w:color w:val="000000" w:themeColor="text1"/>
                <w:sz w:val="22"/>
              </w:rPr>
              <w:t>1 (12.5%)</w:t>
            </w:r>
          </w:p>
          <w:p w14:paraId="056AF607" w14:textId="77777777" w:rsidR="005336E5" w:rsidRPr="005E017D" w:rsidRDefault="005336E5" w:rsidP="005336E5">
            <w:pPr>
              <w:ind w:firstLine="0"/>
              <w:rPr>
                <w:color w:val="000000" w:themeColor="text1"/>
                <w:sz w:val="22"/>
              </w:rPr>
            </w:pPr>
            <w:r w:rsidRPr="005E017D">
              <w:rPr>
                <w:color w:val="000000" w:themeColor="text1"/>
                <w:sz w:val="22"/>
              </w:rPr>
              <w:t>3 (37.5%)</w:t>
            </w:r>
          </w:p>
          <w:p w14:paraId="736D0B82" w14:textId="77777777" w:rsidR="005336E5" w:rsidRPr="005E017D" w:rsidRDefault="005336E5" w:rsidP="005336E5">
            <w:pPr>
              <w:ind w:firstLine="0"/>
              <w:rPr>
                <w:color w:val="000000" w:themeColor="text1"/>
                <w:sz w:val="22"/>
              </w:rPr>
            </w:pPr>
            <w:r w:rsidRPr="005E017D">
              <w:rPr>
                <w:color w:val="000000" w:themeColor="text1"/>
                <w:sz w:val="22"/>
              </w:rPr>
              <w:t>0</w:t>
            </w:r>
          </w:p>
        </w:tc>
        <w:tc>
          <w:tcPr>
            <w:tcW w:w="0" w:type="auto"/>
            <w:noWrap/>
          </w:tcPr>
          <w:p w14:paraId="395F776F" w14:textId="77777777" w:rsidR="005336E5" w:rsidRPr="005E017D" w:rsidRDefault="005336E5" w:rsidP="005336E5">
            <w:pPr>
              <w:jc w:val="center"/>
              <w:rPr>
                <w:color w:val="000000" w:themeColor="text1"/>
                <w:sz w:val="22"/>
              </w:rPr>
            </w:pPr>
          </w:p>
          <w:p w14:paraId="1E75A4E2" w14:textId="77777777" w:rsidR="005336E5" w:rsidRPr="005E017D" w:rsidRDefault="005336E5" w:rsidP="005336E5">
            <w:pPr>
              <w:ind w:firstLine="0"/>
              <w:rPr>
                <w:color w:val="000000" w:themeColor="text1"/>
                <w:sz w:val="22"/>
              </w:rPr>
            </w:pPr>
            <w:r w:rsidRPr="005E017D">
              <w:rPr>
                <w:color w:val="000000" w:themeColor="text1"/>
                <w:sz w:val="22"/>
              </w:rPr>
              <w:t>2 (12.5%)</w:t>
            </w:r>
          </w:p>
          <w:p w14:paraId="2243377D" w14:textId="77777777" w:rsidR="005336E5" w:rsidRPr="005E017D" w:rsidRDefault="005336E5" w:rsidP="005336E5">
            <w:pPr>
              <w:ind w:firstLine="0"/>
              <w:rPr>
                <w:color w:val="000000" w:themeColor="text1"/>
                <w:sz w:val="22"/>
              </w:rPr>
            </w:pPr>
            <w:r w:rsidRPr="005E017D">
              <w:rPr>
                <w:color w:val="000000" w:themeColor="text1"/>
                <w:sz w:val="22"/>
              </w:rPr>
              <w:t>7 (43.8%)</w:t>
            </w:r>
          </w:p>
          <w:p w14:paraId="07B47188" w14:textId="77777777" w:rsidR="005336E5" w:rsidRPr="005E017D" w:rsidRDefault="005336E5" w:rsidP="005336E5">
            <w:pPr>
              <w:ind w:firstLine="0"/>
              <w:rPr>
                <w:color w:val="000000" w:themeColor="text1"/>
                <w:sz w:val="22"/>
              </w:rPr>
            </w:pPr>
            <w:r w:rsidRPr="005E017D">
              <w:rPr>
                <w:color w:val="000000" w:themeColor="text1"/>
                <w:sz w:val="22"/>
              </w:rPr>
              <w:t>3 (18.8%)</w:t>
            </w:r>
          </w:p>
          <w:p w14:paraId="30742DF2" w14:textId="77777777" w:rsidR="005336E5" w:rsidRPr="005E017D" w:rsidRDefault="005336E5" w:rsidP="005336E5">
            <w:pPr>
              <w:ind w:firstLine="0"/>
              <w:rPr>
                <w:color w:val="000000" w:themeColor="text1"/>
                <w:sz w:val="22"/>
              </w:rPr>
            </w:pPr>
            <w:r w:rsidRPr="005E017D">
              <w:rPr>
                <w:color w:val="000000" w:themeColor="text1"/>
                <w:sz w:val="22"/>
              </w:rPr>
              <w:t>4 (25%)</w:t>
            </w:r>
          </w:p>
        </w:tc>
        <w:tc>
          <w:tcPr>
            <w:tcW w:w="0" w:type="auto"/>
            <w:vAlign w:val="center"/>
          </w:tcPr>
          <w:p w14:paraId="741377F3" w14:textId="77777777" w:rsidR="005336E5" w:rsidRPr="005E017D" w:rsidRDefault="005336E5" w:rsidP="005336E5">
            <w:pPr>
              <w:ind w:right="360" w:firstLine="0"/>
              <w:rPr>
                <w:rFonts w:eastAsia="Times New Roman"/>
                <w:color w:val="000000" w:themeColor="text1"/>
                <w:sz w:val="22"/>
              </w:rPr>
            </w:pPr>
            <w:r w:rsidRPr="005E017D">
              <w:rPr>
                <w:rFonts w:eastAsia="Times New Roman"/>
                <w:color w:val="000000" w:themeColor="text1"/>
                <w:sz w:val="22"/>
              </w:rPr>
              <w:t>0.063</w:t>
            </w:r>
          </w:p>
        </w:tc>
      </w:tr>
      <w:tr w:rsidR="005336E5" w:rsidRPr="005E017D" w14:paraId="0F0C022D" w14:textId="77777777" w:rsidTr="008945C5">
        <w:trPr>
          <w:trHeight w:val="150"/>
          <w:jc w:val="center"/>
        </w:trPr>
        <w:tc>
          <w:tcPr>
            <w:tcW w:w="0" w:type="auto"/>
            <w:vAlign w:val="center"/>
          </w:tcPr>
          <w:p w14:paraId="1B2EE5D0" w14:textId="77777777" w:rsidR="005336E5" w:rsidRPr="005E017D" w:rsidRDefault="005336E5" w:rsidP="005336E5">
            <w:pPr>
              <w:ind w:firstLine="0"/>
              <w:jc w:val="left"/>
              <w:rPr>
                <w:rFonts w:eastAsia="Times New Roman"/>
                <w:b/>
                <w:bCs/>
                <w:color w:val="000000" w:themeColor="text1"/>
                <w:sz w:val="22"/>
              </w:rPr>
            </w:pPr>
            <w:r w:rsidRPr="005E017D">
              <w:rPr>
                <w:rFonts w:eastAsia="Times New Roman"/>
                <w:b/>
                <w:bCs/>
                <w:color w:val="000000" w:themeColor="text1"/>
                <w:sz w:val="22"/>
              </w:rPr>
              <w:t>Plazmaferez</w:t>
            </w:r>
          </w:p>
        </w:tc>
        <w:tc>
          <w:tcPr>
            <w:tcW w:w="0" w:type="auto"/>
            <w:noWrap/>
          </w:tcPr>
          <w:p w14:paraId="7133185A" w14:textId="77777777" w:rsidR="005336E5" w:rsidRPr="005E017D" w:rsidRDefault="005336E5" w:rsidP="005336E5">
            <w:pPr>
              <w:ind w:firstLine="0"/>
              <w:rPr>
                <w:color w:val="000000" w:themeColor="text1"/>
                <w:sz w:val="22"/>
              </w:rPr>
            </w:pPr>
            <w:r w:rsidRPr="005E017D">
              <w:rPr>
                <w:color w:val="000000" w:themeColor="text1"/>
                <w:sz w:val="22"/>
              </w:rPr>
              <w:t>6 (75%)</w:t>
            </w:r>
          </w:p>
        </w:tc>
        <w:tc>
          <w:tcPr>
            <w:tcW w:w="0" w:type="auto"/>
            <w:noWrap/>
          </w:tcPr>
          <w:p w14:paraId="503A32F3" w14:textId="77777777" w:rsidR="005336E5" w:rsidRPr="005E017D" w:rsidRDefault="005336E5" w:rsidP="005336E5">
            <w:pPr>
              <w:ind w:firstLine="0"/>
              <w:rPr>
                <w:color w:val="000000" w:themeColor="text1"/>
                <w:sz w:val="22"/>
              </w:rPr>
            </w:pPr>
            <w:r w:rsidRPr="005E017D">
              <w:rPr>
                <w:color w:val="000000" w:themeColor="text1"/>
                <w:sz w:val="22"/>
              </w:rPr>
              <w:t>8 (50%)</w:t>
            </w:r>
          </w:p>
        </w:tc>
        <w:tc>
          <w:tcPr>
            <w:tcW w:w="0" w:type="auto"/>
            <w:vAlign w:val="center"/>
          </w:tcPr>
          <w:p w14:paraId="63C170A9" w14:textId="77777777" w:rsidR="005336E5" w:rsidRPr="005E017D" w:rsidRDefault="005336E5" w:rsidP="005336E5">
            <w:pPr>
              <w:ind w:right="360" w:firstLine="0"/>
              <w:rPr>
                <w:rFonts w:eastAsia="Times New Roman"/>
                <w:color w:val="000000" w:themeColor="text1"/>
                <w:sz w:val="22"/>
              </w:rPr>
            </w:pPr>
            <w:r w:rsidRPr="005E017D">
              <w:rPr>
                <w:rFonts w:eastAsia="Times New Roman"/>
                <w:color w:val="000000" w:themeColor="text1"/>
                <w:sz w:val="22"/>
              </w:rPr>
              <w:t>0.24</w:t>
            </w:r>
          </w:p>
        </w:tc>
      </w:tr>
      <w:tr w:rsidR="005336E5" w:rsidRPr="005E017D" w14:paraId="0986C56F" w14:textId="77777777" w:rsidTr="008945C5">
        <w:trPr>
          <w:trHeight w:val="150"/>
          <w:jc w:val="center"/>
        </w:trPr>
        <w:tc>
          <w:tcPr>
            <w:tcW w:w="0" w:type="auto"/>
            <w:vAlign w:val="center"/>
          </w:tcPr>
          <w:p w14:paraId="5ABC38B6" w14:textId="77777777" w:rsidR="005336E5" w:rsidRPr="005E017D" w:rsidRDefault="005336E5" w:rsidP="005336E5">
            <w:pPr>
              <w:ind w:firstLine="0"/>
              <w:jc w:val="left"/>
              <w:rPr>
                <w:rFonts w:eastAsia="Times New Roman"/>
                <w:b/>
                <w:bCs/>
                <w:color w:val="000000" w:themeColor="text1"/>
                <w:sz w:val="22"/>
              </w:rPr>
            </w:pPr>
            <w:r>
              <w:rPr>
                <w:rFonts w:eastAsia="Times New Roman"/>
                <w:b/>
                <w:bCs/>
                <w:color w:val="000000" w:themeColor="text1"/>
                <w:sz w:val="22"/>
              </w:rPr>
              <w:t>MARS</w:t>
            </w:r>
          </w:p>
        </w:tc>
        <w:tc>
          <w:tcPr>
            <w:tcW w:w="0" w:type="auto"/>
            <w:noWrap/>
          </w:tcPr>
          <w:p w14:paraId="01D87916" w14:textId="77777777" w:rsidR="005336E5" w:rsidRPr="005E017D" w:rsidRDefault="005336E5" w:rsidP="005336E5">
            <w:pPr>
              <w:ind w:firstLine="0"/>
              <w:rPr>
                <w:color w:val="000000" w:themeColor="text1"/>
                <w:sz w:val="22"/>
              </w:rPr>
            </w:pPr>
            <w:r w:rsidRPr="005E017D">
              <w:rPr>
                <w:color w:val="000000" w:themeColor="text1"/>
                <w:sz w:val="22"/>
              </w:rPr>
              <w:t>1 (12.5%)</w:t>
            </w:r>
          </w:p>
        </w:tc>
        <w:tc>
          <w:tcPr>
            <w:tcW w:w="0" w:type="auto"/>
            <w:noWrap/>
          </w:tcPr>
          <w:p w14:paraId="68A9E1BC" w14:textId="77777777" w:rsidR="005336E5" w:rsidRPr="005E017D" w:rsidRDefault="005336E5" w:rsidP="005336E5">
            <w:pPr>
              <w:ind w:firstLine="0"/>
              <w:rPr>
                <w:color w:val="000000" w:themeColor="text1"/>
                <w:sz w:val="22"/>
              </w:rPr>
            </w:pPr>
            <w:r w:rsidRPr="005E017D">
              <w:rPr>
                <w:color w:val="000000" w:themeColor="text1"/>
                <w:sz w:val="22"/>
              </w:rPr>
              <w:t>4 (25%)</w:t>
            </w:r>
          </w:p>
        </w:tc>
        <w:tc>
          <w:tcPr>
            <w:tcW w:w="0" w:type="auto"/>
            <w:vAlign w:val="center"/>
          </w:tcPr>
          <w:p w14:paraId="5845D199" w14:textId="77777777" w:rsidR="005336E5" w:rsidRPr="005E017D" w:rsidRDefault="005336E5" w:rsidP="005336E5">
            <w:pPr>
              <w:ind w:right="360" w:firstLine="0"/>
              <w:rPr>
                <w:rFonts w:eastAsia="Times New Roman"/>
                <w:color w:val="000000" w:themeColor="text1"/>
                <w:sz w:val="22"/>
              </w:rPr>
            </w:pPr>
            <w:r w:rsidRPr="005E017D">
              <w:rPr>
                <w:rFonts w:eastAsia="Times New Roman"/>
                <w:color w:val="000000" w:themeColor="text1"/>
                <w:sz w:val="22"/>
              </w:rPr>
              <w:t>0.47</w:t>
            </w:r>
          </w:p>
        </w:tc>
      </w:tr>
      <w:tr w:rsidR="005336E5" w:rsidRPr="005E017D" w14:paraId="5BA5A0E6" w14:textId="77777777" w:rsidTr="008945C5">
        <w:trPr>
          <w:trHeight w:val="150"/>
          <w:jc w:val="center"/>
        </w:trPr>
        <w:tc>
          <w:tcPr>
            <w:tcW w:w="0" w:type="auto"/>
            <w:vAlign w:val="center"/>
          </w:tcPr>
          <w:p w14:paraId="1250E78D" w14:textId="77777777" w:rsidR="005336E5" w:rsidRPr="005E017D" w:rsidRDefault="005336E5" w:rsidP="005336E5">
            <w:pPr>
              <w:ind w:firstLine="0"/>
              <w:jc w:val="left"/>
              <w:rPr>
                <w:rFonts w:eastAsia="Times New Roman"/>
                <w:b/>
                <w:bCs/>
                <w:color w:val="000000" w:themeColor="text1"/>
                <w:sz w:val="22"/>
              </w:rPr>
            </w:pPr>
            <w:r w:rsidRPr="005E017D">
              <w:rPr>
                <w:rFonts w:eastAsia="Times New Roman"/>
                <w:b/>
                <w:bCs/>
                <w:color w:val="000000" w:themeColor="text1"/>
                <w:sz w:val="22"/>
              </w:rPr>
              <w:t>Takip süreleri (gün)</w:t>
            </w:r>
          </w:p>
        </w:tc>
        <w:tc>
          <w:tcPr>
            <w:tcW w:w="0" w:type="auto"/>
            <w:noWrap/>
          </w:tcPr>
          <w:p w14:paraId="44CFD6DA" w14:textId="77777777" w:rsidR="005336E5" w:rsidRPr="005E017D" w:rsidRDefault="005336E5" w:rsidP="005336E5">
            <w:pPr>
              <w:ind w:firstLine="0"/>
              <w:rPr>
                <w:color w:val="000000" w:themeColor="text1"/>
                <w:sz w:val="22"/>
              </w:rPr>
            </w:pPr>
            <w:r w:rsidRPr="005E017D">
              <w:rPr>
                <w:color w:val="000000" w:themeColor="text1"/>
                <w:sz w:val="22"/>
              </w:rPr>
              <w:t>265 (34-444)</w:t>
            </w:r>
          </w:p>
        </w:tc>
        <w:tc>
          <w:tcPr>
            <w:tcW w:w="0" w:type="auto"/>
            <w:noWrap/>
          </w:tcPr>
          <w:p w14:paraId="74723FBC" w14:textId="77777777" w:rsidR="005336E5" w:rsidRPr="005E017D" w:rsidRDefault="005336E5" w:rsidP="005336E5">
            <w:pPr>
              <w:ind w:firstLine="0"/>
              <w:rPr>
                <w:color w:val="000000" w:themeColor="text1"/>
                <w:sz w:val="22"/>
              </w:rPr>
            </w:pPr>
            <w:r w:rsidRPr="005E017D">
              <w:rPr>
                <w:color w:val="000000" w:themeColor="text1"/>
                <w:sz w:val="22"/>
              </w:rPr>
              <w:t>155 (1-348)</w:t>
            </w:r>
          </w:p>
        </w:tc>
        <w:tc>
          <w:tcPr>
            <w:tcW w:w="0" w:type="auto"/>
            <w:vAlign w:val="center"/>
          </w:tcPr>
          <w:p w14:paraId="5E0407A1" w14:textId="77777777" w:rsidR="005336E5" w:rsidRPr="005E017D" w:rsidRDefault="005336E5" w:rsidP="005336E5">
            <w:pPr>
              <w:ind w:right="360" w:firstLine="0"/>
              <w:rPr>
                <w:rFonts w:eastAsia="Times New Roman"/>
                <w:color w:val="000000" w:themeColor="text1"/>
                <w:sz w:val="22"/>
              </w:rPr>
            </w:pPr>
            <w:r w:rsidRPr="005E017D">
              <w:rPr>
                <w:rFonts w:eastAsia="Times New Roman"/>
                <w:color w:val="000000" w:themeColor="text1"/>
                <w:sz w:val="22"/>
              </w:rPr>
              <w:t>0.07</w:t>
            </w:r>
          </w:p>
        </w:tc>
      </w:tr>
    </w:tbl>
    <w:bookmarkEnd w:id="553"/>
    <w:p w14:paraId="4D31C06D" w14:textId="13A214AB" w:rsidR="00812F82" w:rsidRDefault="008945C5" w:rsidP="005336E5">
      <w:pPr>
        <w:ind w:firstLine="0"/>
      </w:pPr>
      <w:r>
        <w:t xml:space="preserve">       </w:t>
      </w:r>
      <w:r w:rsidR="005336E5" w:rsidRPr="00594591">
        <w:t xml:space="preserve"> </w:t>
      </w:r>
      <w:r w:rsidR="00594591" w:rsidRPr="00594591">
        <w:t>(Pearson</w:t>
      </w:r>
      <w:r>
        <w:t>’s</w:t>
      </w:r>
      <w:r w:rsidR="00594591" w:rsidRPr="00594591">
        <w:t xml:space="preserve"> chi</w:t>
      </w:r>
      <w:r>
        <w:t>-</w:t>
      </w:r>
      <w:r w:rsidR="00594591" w:rsidRPr="00594591">
        <w:t>square</w:t>
      </w:r>
      <w:r>
        <w:t>d</w:t>
      </w:r>
      <w:r w:rsidR="00594591" w:rsidRPr="00594591">
        <w:t xml:space="preserve"> test)</w:t>
      </w:r>
      <w:r w:rsidR="00EE6B7C">
        <w:t>,  (n= hasta sayısı)</w:t>
      </w:r>
    </w:p>
    <w:p w14:paraId="0A89BCAF" w14:textId="77777777" w:rsidR="00BA1C03" w:rsidRDefault="00BA1C03" w:rsidP="005336E5">
      <w:pPr>
        <w:ind w:firstLine="0"/>
        <w:rPr>
          <w:highlight w:val="yellow"/>
        </w:rPr>
      </w:pPr>
    </w:p>
    <w:p w14:paraId="7EEBFD8A" w14:textId="6C0B5A4F" w:rsidR="009103C3" w:rsidRDefault="00F2610F" w:rsidP="003A4709">
      <w:r w:rsidRPr="003A4709">
        <w:t>Birinci gruptaki</w:t>
      </w:r>
      <w:r>
        <w:t xml:space="preserve"> hastaların ölçülen biyokimyasal ve sitokin parametreleri sonucuna göre</w:t>
      </w:r>
      <w:r w:rsidR="008C5C02">
        <w:t xml:space="preserve"> k</w:t>
      </w:r>
      <w:r w:rsidR="009D55F5">
        <w:t xml:space="preserve">ültürde üreme olmayan ve olan grupta </w:t>
      </w:r>
      <w:r w:rsidR="009103C3" w:rsidRPr="003A4709">
        <w:rPr>
          <w:b/>
        </w:rPr>
        <w:t>TREM1, AST, ALT</w:t>
      </w:r>
      <w:r w:rsidR="009103C3">
        <w:t xml:space="preserve"> değerleri açısından istatistiksel </w:t>
      </w:r>
      <w:r w:rsidR="008C5C02">
        <w:t xml:space="preserve">olarak anlamlı </w:t>
      </w:r>
      <w:r w:rsidR="009103C3">
        <w:t xml:space="preserve">farklılık izlendi. </w:t>
      </w:r>
    </w:p>
    <w:p w14:paraId="64E54EF5" w14:textId="7FDFD342" w:rsidR="009103C3" w:rsidRDefault="009103C3" w:rsidP="003A4709">
      <w:r>
        <w:t>Kültürde üreme olan hastaların TREM1 değerleri</w:t>
      </w:r>
      <w:r w:rsidR="008C5C02">
        <w:t>,</w:t>
      </w:r>
      <w:r>
        <w:t xml:space="preserve"> kültürde üreme olmayan gruba kıyasla</w:t>
      </w:r>
      <w:r w:rsidRPr="002365E0">
        <w:t xml:space="preserve"> anlamlı olarak </w:t>
      </w:r>
      <w:r>
        <w:t>yüksek</w:t>
      </w:r>
      <w:r w:rsidRPr="002365E0">
        <w:t xml:space="preserve"> bulundu</w:t>
      </w:r>
      <w:r>
        <w:t xml:space="preserve"> (</w:t>
      </w:r>
      <w:r w:rsidR="008C5C02" w:rsidRPr="000F02A1">
        <w:t xml:space="preserve">1682 </w:t>
      </w:r>
      <w:r w:rsidR="008C5C02">
        <w:t xml:space="preserve">vs. 1085.3 pg/mL; </w:t>
      </w:r>
      <w:r>
        <w:t>p=0.027)</w:t>
      </w:r>
      <w:r w:rsidRPr="002365E0">
        <w:t>.</w:t>
      </w:r>
      <w:r>
        <w:t xml:space="preserve"> </w:t>
      </w:r>
    </w:p>
    <w:p w14:paraId="4D2A1889" w14:textId="48B88ABB" w:rsidR="008C5C02" w:rsidRDefault="009103C3" w:rsidP="003A4709">
      <w:r>
        <w:t xml:space="preserve">Kültürde üreme olan hastaların </w:t>
      </w:r>
      <w:r w:rsidR="009D55F5" w:rsidRPr="002365E0">
        <w:t>AST</w:t>
      </w:r>
      <w:r w:rsidR="00D87E93">
        <w:t xml:space="preserve"> </w:t>
      </w:r>
      <w:r w:rsidR="009D55F5" w:rsidRPr="002365E0">
        <w:t>değerleri</w:t>
      </w:r>
      <w:r>
        <w:t xml:space="preserve"> kültürde üreme olmayan gruba kıyasla</w:t>
      </w:r>
      <w:r w:rsidR="009D55F5" w:rsidRPr="002365E0">
        <w:t xml:space="preserve"> anlamlı olarak düşük bulundu</w:t>
      </w:r>
      <w:r w:rsidR="00D87E93">
        <w:t xml:space="preserve"> (42.5 vs 111</w:t>
      </w:r>
      <w:r w:rsidR="00D87E93" w:rsidRPr="00D87E93">
        <w:t xml:space="preserve"> </w:t>
      </w:r>
      <w:r w:rsidR="00D87E93" w:rsidRPr="002365E0">
        <w:t>IU/L</w:t>
      </w:r>
      <w:r w:rsidR="00D87E93">
        <w:t>; p=0.03</w:t>
      </w:r>
      <w:r>
        <w:t>)</w:t>
      </w:r>
      <w:r w:rsidR="009D55F5" w:rsidRPr="002365E0">
        <w:t xml:space="preserve">. </w:t>
      </w:r>
    </w:p>
    <w:p w14:paraId="35D401A0" w14:textId="7B21C4C6" w:rsidR="00D87E93" w:rsidRDefault="00D87E93" w:rsidP="00D87E93">
      <w:r>
        <w:t xml:space="preserve">Kültürde üreme olan hastaların </w:t>
      </w:r>
      <w:r w:rsidRPr="002365E0">
        <w:t>ALT değerleri</w:t>
      </w:r>
      <w:r>
        <w:t xml:space="preserve"> kültürde üreme olmayan gruba kıyasla</w:t>
      </w:r>
      <w:r w:rsidRPr="002365E0">
        <w:t xml:space="preserve"> anlamlı olarak düşük bulundu</w:t>
      </w:r>
      <w:r>
        <w:t xml:space="preserve"> (</w:t>
      </w:r>
      <w:r w:rsidRPr="002365E0">
        <w:t>48.5</w:t>
      </w:r>
      <w:r>
        <w:t xml:space="preserve"> </w:t>
      </w:r>
      <w:r w:rsidRPr="002365E0">
        <w:t>v</w:t>
      </w:r>
      <w:r>
        <w:t>s</w:t>
      </w:r>
      <w:r w:rsidRPr="002365E0">
        <w:t xml:space="preserve"> 195.5 IU/L</w:t>
      </w:r>
      <w:r>
        <w:t>; p=0.004)</w:t>
      </w:r>
      <w:r w:rsidRPr="002365E0">
        <w:t xml:space="preserve">. </w:t>
      </w:r>
    </w:p>
    <w:p w14:paraId="45E37968" w14:textId="476FF1F3" w:rsidR="002574CD" w:rsidRDefault="002574CD" w:rsidP="002574CD">
      <w:r>
        <w:t xml:space="preserve">Diğer laboratuvar verileri açısından istatistiksel olarak anlamlı bir farklılık görülmedi. </w:t>
      </w:r>
      <w:r w:rsidRPr="00BD49E0">
        <w:t>IFN-</w:t>
      </w:r>
      <w:r w:rsidRPr="009103C3">
        <w:t xml:space="preserve"> </w:t>
      </w:r>
      <w:r w:rsidRPr="007974E9">
        <w:t>γ</w:t>
      </w:r>
      <w:r>
        <w:t xml:space="preserve"> test sonucu ise çalışılan </w:t>
      </w:r>
      <w:r w:rsidRPr="00BD49E0">
        <w:t>hiçbir</w:t>
      </w:r>
      <w:r>
        <w:t xml:space="preserve"> hastada ELISA kit limitleri içinde </w:t>
      </w:r>
      <w:r w:rsidR="00BB5FD7">
        <w:t>ölçülmedi</w:t>
      </w:r>
      <w:r>
        <w:t xml:space="preserve">. </w:t>
      </w:r>
    </w:p>
    <w:p w14:paraId="5C3E788F" w14:textId="2CA1C25B" w:rsidR="009103C3" w:rsidRDefault="00F2610F" w:rsidP="003A4709">
      <w:r w:rsidRPr="003A4709">
        <w:lastRenderedPageBreak/>
        <w:t>Birinci gruptaki</w:t>
      </w:r>
      <w:r>
        <w:t xml:space="preserve"> hastaların ölçülen biyokimyasal ve sitokin parametreleri sonucuna göre “kültürde üreme olan ve olmayan” </w:t>
      </w:r>
      <w:r w:rsidR="008C5C02">
        <w:t>gruplar</w:t>
      </w:r>
      <w:r>
        <w:t xml:space="preserve"> arasındaki ilişki Tablo 4.</w:t>
      </w:r>
      <w:r w:rsidR="00BB5FD7">
        <w:t>6</w:t>
      </w:r>
      <w:r>
        <w:t xml:space="preserve"> </w:t>
      </w:r>
      <w:r w:rsidR="00BB5FD7">
        <w:t>da</w:t>
      </w:r>
      <w:r>
        <w:t xml:space="preserve"> gösterilmiştir. </w:t>
      </w:r>
    </w:p>
    <w:p w14:paraId="6EFE0A63" w14:textId="77777777" w:rsidR="008C5C02" w:rsidRDefault="008C5C02" w:rsidP="003A4709"/>
    <w:p w14:paraId="0ACEF8A8" w14:textId="31CBD0B6" w:rsidR="00AC64E8" w:rsidRDefault="00AC64E8" w:rsidP="00AC64E8">
      <w:pPr>
        <w:pStyle w:val="ResimYazs"/>
        <w:ind w:firstLine="0"/>
        <w:rPr>
          <w:i w:val="0"/>
          <w:color w:val="000000" w:themeColor="text1"/>
          <w:sz w:val="24"/>
          <w:szCs w:val="24"/>
        </w:rPr>
      </w:pPr>
      <w:bookmarkStart w:id="554" w:name="_Toc49818021"/>
      <w:r w:rsidRPr="00100403">
        <w:rPr>
          <w:i w:val="0"/>
          <w:color w:val="000000" w:themeColor="text1"/>
          <w:sz w:val="24"/>
          <w:szCs w:val="24"/>
        </w:rPr>
        <w:t xml:space="preserve">Tablo </w:t>
      </w:r>
      <w:r w:rsidR="002B4CBE">
        <w:rPr>
          <w:i w:val="0"/>
          <w:color w:val="000000" w:themeColor="text1"/>
          <w:sz w:val="24"/>
          <w:szCs w:val="24"/>
        </w:rPr>
        <w:fldChar w:fldCharType="begin"/>
      </w:r>
      <w:r w:rsidR="002B4CBE">
        <w:rPr>
          <w:i w:val="0"/>
          <w:color w:val="000000" w:themeColor="text1"/>
          <w:sz w:val="24"/>
          <w:szCs w:val="24"/>
        </w:rPr>
        <w:instrText xml:space="preserve"> STYLEREF 1 \s </w:instrText>
      </w:r>
      <w:r w:rsidR="002B4CBE">
        <w:rPr>
          <w:i w:val="0"/>
          <w:color w:val="000000" w:themeColor="text1"/>
          <w:sz w:val="24"/>
          <w:szCs w:val="24"/>
        </w:rPr>
        <w:fldChar w:fldCharType="separate"/>
      </w:r>
      <w:r w:rsidR="00063441">
        <w:rPr>
          <w:i w:val="0"/>
          <w:noProof/>
          <w:color w:val="000000" w:themeColor="text1"/>
          <w:sz w:val="24"/>
          <w:szCs w:val="24"/>
        </w:rPr>
        <w:t>4</w:t>
      </w:r>
      <w:r w:rsidR="002B4CBE">
        <w:rPr>
          <w:i w:val="0"/>
          <w:color w:val="000000" w:themeColor="text1"/>
          <w:sz w:val="24"/>
          <w:szCs w:val="24"/>
        </w:rPr>
        <w:fldChar w:fldCharType="end"/>
      </w:r>
      <w:r w:rsidR="002B4CBE">
        <w:rPr>
          <w:i w:val="0"/>
          <w:color w:val="000000" w:themeColor="text1"/>
          <w:sz w:val="24"/>
          <w:szCs w:val="24"/>
        </w:rPr>
        <w:t>.</w:t>
      </w:r>
      <w:r w:rsidR="002B4CBE">
        <w:rPr>
          <w:i w:val="0"/>
          <w:color w:val="000000" w:themeColor="text1"/>
          <w:sz w:val="24"/>
          <w:szCs w:val="24"/>
        </w:rPr>
        <w:fldChar w:fldCharType="begin"/>
      </w:r>
      <w:r w:rsidR="002B4CBE">
        <w:rPr>
          <w:i w:val="0"/>
          <w:color w:val="000000" w:themeColor="text1"/>
          <w:sz w:val="24"/>
          <w:szCs w:val="24"/>
        </w:rPr>
        <w:instrText xml:space="preserve"> SEQ Tablo \* ARABIC \s 1 </w:instrText>
      </w:r>
      <w:r w:rsidR="002B4CBE">
        <w:rPr>
          <w:i w:val="0"/>
          <w:color w:val="000000" w:themeColor="text1"/>
          <w:sz w:val="24"/>
          <w:szCs w:val="24"/>
        </w:rPr>
        <w:fldChar w:fldCharType="separate"/>
      </w:r>
      <w:r w:rsidR="00063441">
        <w:rPr>
          <w:i w:val="0"/>
          <w:noProof/>
          <w:color w:val="000000" w:themeColor="text1"/>
          <w:sz w:val="24"/>
          <w:szCs w:val="24"/>
        </w:rPr>
        <w:t>6</w:t>
      </w:r>
      <w:r w:rsidR="002B4CBE">
        <w:rPr>
          <w:i w:val="0"/>
          <w:color w:val="000000" w:themeColor="text1"/>
          <w:sz w:val="24"/>
          <w:szCs w:val="24"/>
        </w:rPr>
        <w:fldChar w:fldCharType="end"/>
      </w:r>
      <w:r w:rsidRPr="00100403">
        <w:rPr>
          <w:i w:val="0"/>
          <w:color w:val="000000" w:themeColor="text1"/>
          <w:sz w:val="24"/>
          <w:szCs w:val="24"/>
        </w:rPr>
        <w:t xml:space="preserve"> Kültürde </w:t>
      </w:r>
      <w:r w:rsidR="0048467D" w:rsidRPr="00100403">
        <w:rPr>
          <w:i w:val="0"/>
          <w:color w:val="000000" w:themeColor="text1"/>
          <w:sz w:val="24"/>
          <w:szCs w:val="24"/>
        </w:rPr>
        <w:t xml:space="preserve">Üreme </w:t>
      </w:r>
      <w:r w:rsidR="0048467D">
        <w:rPr>
          <w:i w:val="0"/>
          <w:color w:val="000000" w:themeColor="text1"/>
          <w:sz w:val="24"/>
          <w:szCs w:val="24"/>
        </w:rPr>
        <w:t>v</w:t>
      </w:r>
      <w:r w:rsidR="0048467D" w:rsidRPr="00100403">
        <w:rPr>
          <w:i w:val="0"/>
          <w:color w:val="000000" w:themeColor="text1"/>
          <w:sz w:val="24"/>
          <w:szCs w:val="24"/>
        </w:rPr>
        <w:t>e Laboratuvar Değerleri Arasındaki İlişki</w:t>
      </w:r>
      <w:r w:rsidR="0048467D">
        <w:rPr>
          <w:i w:val="0"/>
          <w:color w:val="000000" w:themeColor="text1"/>
          <w:sz w:val="24"/>
          <w:szCs w:val="24"/>
        </w:rPr>
        <w:t xml:space="preserve"> </w:t>
      </w:r>
      <w:r w:rsidR="008C5C02">
        <w:rPr>
          <w:i w:val="0"/>
          <w:color w:val="000000" w:themeColor="text1"/>
          <w:sz w:val="24"/>
          <w:szCs w:val="24"/>
        </w:rPr>
        <w:t>(grup-1)</w:t>
      </w:r>
      <w:bookmarkEnd w:id="554"/>
    </w:p>
    <w:tbl>
      <w:tblPr>
        <w:tblStyle w:val="TabloKlavuzu"/>
        <w:tblW w:w="9577" w:type="dxa"/>
        <w:jc w:val="center"/>
        <w:tblLook w:val="04A0" w:firstRow="1" w:lastRow="0" w:firstColumn="1" w:lastColumn="0" w:noHBand="0" w:noVBand="1"/>
      </w:tblPr>
      <w:tblGrid>
        <w:gridCol w:w="2496"/>
        <w:gridCol w:w="2886"/>
        <w:gridCol w:w="2489"/>
        <w:gridCol w:w="1706"/>
      </w:tblGrid>
      <w:tr w:rsidR="00AC64E8" w:rsidRPr="00BD49E0" w14:paraId="560D969D" w14:textId="77777777" w:rsidTr="00D84F3A">
        <w:trPr>
          <w:trHeight w:val="449"/>
          <w:jc w:val="center"/>
        </w:trPr>
        <w:tc>
          <w:tcPr>
            <w:tcW w:w="2496" w:type="dxa"/>
            <w:vMerge w:val="restart"/>
          </w:tcPr>
          <w:p w14:paraId="4D0EA95C" w14:textId="77777777" w:rsidR="00AC64E8" w:rsidRPr="00BD49E0" w:rsidRDefault="00AC64E8" w:rsidP="00D84F3A">
            <w:pPr>
              <w:spacing w:line="360" w:lineRule="auto"/>
              <w:rPr>
                <w:rFonts w:eastAsia="Times New Roman"/>
                <w:b/>
                <w:bCs/>
                <w:sz w:val="20"/>
                <w:szCs w:val="20"/>
              </w:rPr>
            </w:pPr>
          </w:p>
        </w:tc>
        <w:tc>
          <w:tcPr>
            <w:tcW w:w="5375" w:type="dxa"/>
            <w:gridSpan w:val="2"/>
          </w:tcPr>
          <w:p w14:paraId="4683FFF2" w14:textId="77777777" w:rsidR="00AC64E8" w:rsidRPr="00BD49E0" w:rsidRDefault="00AC64E8" w:rsidP="00D84F3A">
            <w:pPr>
              <w:spacing w:line="360" w:lineRule="auto"/>
              <w:ind w:firstLine="0"/>
              <w:jc w:val="center"/>
              <w:rPr>
                <w:rFonts w:eastAsia="Times New Roman"/>
                <w:b/>
                <w:bCs/>
                <w:sz w:val="20"/>
                <w:szCs w:val="20"/>
              </w:rPr>
            </w:pPr>
            <w:r>
              <w:rPr>
                <w:rFonts w:eastAsia="Times New Roman"/>
                <w:b/>
                <w:bCs/>
                <w:sz w:val="20"/>
                <w:szCs w:val="20"/>
              </w:rPr>
              <w:t>KÜLTUR SONUÇLARI</w:t>
            </w:r>
          </w:p>
        </w:tc>
        <w:tc>
          <w:tcPr>
            <w:tcW w:w="1706" w:type="dxa"/>
          </w:tcPr>
          <w:p w14:paraId="50FEB25E" w14:textId="77777777" w:rsidR="00AC64E8" w:rsidRPr="00BD49E0" w:rsidRDefault="00AC64E8" w:rsidP="00D84F3A">
            <w:pPr>
              <w:spacing w:line="360" w:lineRule="auto"/>
              <w:jc w:val="center"/>
              <w:rPr>
                <w:rFonts w:eastAsia="Times New Roman"/>
                <w:b/>
                <w:bCs/>
                <w:sz w:val="20"/>
                <w:szCs w:val="20"/>
              </w:rPr>
            </w:pPr>
          </w:p>
        </w:tc>
      </w:tr>
      <w:tr w:rsidR="00AC64E8" w:rsidRPr="00BD49E0" w14:paraId="32058D70" w14:textId="77777777" w:rsidTr="003A4709">
        <w:trPr>
          <w:trHeight w:val="333"/>
          <w:jc w:val="center"/>
        </w:trPr>
        <w:tc>
          <w:tcPr>
            <w:tcW w:w="2496" w:type="dxa"/>
            <w:vMerge/>
            <w:hideMark/>
          </w:tcPr>
          <w:p w14:paraId="6257F666" w14:textId="77777777" w:rsidR="00AC64E8" w:rsidRPr="00BD49E0" w:rsidRDefault="00AC64E8" w:rsidP="00D84F3A">
            <w:pPr>
              <w:spacing w:line="360" w:lineRule="auto"/>
              <w:rPr>
                <w:rFonts w:eastAsia="Times New Roman"/>
                <w:b/>
                <w:bCs/>
                <w:sz w:val="20"/>
                <w:szCs w:val="20"/>
              </w:rPr>
            </w:pPr>
          </w:p>
        </w:tc>
        <w:tc>
          <w:tcPr>
            <w:tcW w:w="2886" w:type="dxa"/>
            <w:hideMark/>
          </w:tcPr>
          <w:p w14:paraId="6394A070" w14:textId="3F83FE01" w:rsidR="00AC64E8" w:rsidRPr="00BD49E0" w:rsidRDefault="00AC64E8" w:rsidP="00D84F3A">
            <w:pPr>
              <w:spacing w:line="360" w:lineRule="auto"/>
              <w:ind w:firstLine="0"/>
              <w:jc w:val="center"/>
              <w:rPr>
                <w:rFonts w:eastAsia="Times New Roman"/>
                <w:b/>
                <w:bCs/>
                <w:sz w:val="20"/>
                <w:szCs w:val="20"/>
              </w:rPr>
            </w:pPr>
            <w:r>
              <w:rPr>
                <w:rFonts w:eastAsia="Times New Roman"/>
                <w:b/>
                <w:bCs/>
                <w:sz w:val="20"/>
                <w:szCs w:val="20"/>
              </w:rPr>
              <w:t>Üreme Yok</w:t>
            </w:r>
            <w:r w:rsidR="006B285C">
              <w:rPr>
                <w:rFonts w:eastAsia="Times New Roman"/>
                <w:b/>
                <w:bCs/>
                <w:sz w:val="20"/>
                <w:szCs w:val="20"/>
              </w:rPr>
              <w:t>, n=8</w:t>
            </w:r>
          </w:p>
        </w:tc>
        <w:tc>
          <w:tcPr>
            <w:tcW w:w="2489" w:type="dxa"/>
            <w:hideMark/>
          </w:tcPr>
          <w:p w14:paraId="57DBCC6A" w14:textId="45B436EB" w:rsidR="00AC64E8" w:rsidRPr="00BD49E0" w:rsidRDefault="00AC64E8" w:rsidP="00D84F3A">
            <w:pPr>
              <w:spacing w:line="360" w:lineRule="auto"/>
              <w:ind w:firstLine="0"/>
              <w:jc w:val="center"/>
              <w:rPr>
                <w:rFonts w:eastAsia="Times New Roman"/>
                <w:b/>
                <w:bCs/>
                <w:sz w:val="20"/>
                <w:szCs w:val="20"/>
              </w:rPr>
            </w:pPr>
            <w:r>
              <w:rPr>
                <w:rFonts w:eastAsia="Times New Roman"/>
                <w:b/>
                <w:bCs/>
                <w:sz w:val="20"/>
                <w:szCs w:val="20"/>
              </w:rPr>
              <w:t>Üreme Var</w:t>
            </w:r>
            <w:r w:rsidR="006B285C">
              <w:rPr>
                <w:rFonts w:eastAsia="Times New Roman"/>
                <w:b/>
                <w:bCs/>
                <w:sz w:val="20"/>
                <w:szCs w:val="20"/>
              </w:rPr>
              <w:t>, n=16</w:t>
            </w:r>
          </w:p>
        </w:tc>
        <w:tc>
          <w:tcPr>
            <w:tcW w:w="1706" w:type="dxa"/>
          </w:tcPr>
          <w:p w14:paraId="263DF5A5" w14:textId="77777777" w:rsidR="00AC64E8" w:rsidRPr="00BD49E0" w:rsidRDefault="00AC64E8" w:rsidP="00D84F3A">
            <w:pPr>
              <w:spacing w:line="360" w:lineRule="auto"/>
              <w:ind w:firstLine="0"/>
              <w:jc w:val="center"/>
              <w:rPr>
                <w:rFonts w:eastAsia="Times New Roman"/>
                <w:b/>
                <w:bCs/>
                <w:sz w:val="20"/>
                <w:szCs w:val="20"/>
              </w:rPr>
            </w:pPr>
            <w:r>
              <w:rPr>
                <w:rFonts w:eastAsia="Times New Roman"/>
                <w:b/>
                <w:bCs/>
                <w:color w:val="000000" w:themeColor="text1"/>
                <w:sz w:val="22"/>
              </w:rPr>
              <w:t>p&lt;0,05</w:t>
            </w:r>
          </w:p>
        </w:tc>
      </w:tr>
      <w:tr w:rsidR="00AC64E8" w:rsidRPr="00BD49E0" w14:paraId="7699B511" w14:textId="77777777" w:rsidTr="003A4709">
        <w:trPr>
          <w:trHeight w:val="352"/>
          <w:jc w:val="center"/>
        </w:trPr>
        <w:tc>
          <w:tcPr>
            <w:tcW w:w="2496" w:type="dxa"/>
            <w:vAlign w:val="bottom"/>
          </w:tcPr>
          <w:p w14:paraId="1A0FDB01" w14:textId="77777777" w:rsidR="00AC64E8" w:rsidRPr="006712C2" w:rsidRDefault="00AC64E8" w:rsidP="00D84F3A">
            <w:pPr>
              <w:spacing w:line="360" w:lineRule="auto"/>
              <w:ind w:firstLine="0"/>
              <w:rPr>
                <w:rFonts w:ascii="Book Antiqua" w:eastAsia="Times New Roman" w:hAnsi="Book Antiqua" w:cs="Arial"/>
                <w:b/>
                <w:bCs/>
                <w:sz w:val="18"/>
                <w:szCs w:val="18"/>
              </w:rPr>
            </w:pPr>
            <w:r w:rsidRPr="006712C2">
              <w:rPr>
                <w:rFonts w:ascii="Book Antiqua" w:hAnsi="Book Antiqua" w:cs="Arial"/>
                <w:b/>
                <w:sz w:val="18"/>
                <w:szCs w:val="18"/>
              </w:rPr>
              <w:t>TREM1</w:t>
            </w:r>
          </w:p>
        </w:tc>
        <w:tc>
          <w:tcPr>
            <w:tcW w:w="2886" w:type="dxa"/>
            <w:noWrap/>
          </w:tcPr>
          <w:p w14:paraId="6D517C9E" w14:textId="77777777" w:rsidR="00AC64E8" w:rsidRPr="006712C2" w:rsidRDefault="00AC64E8" w:rsidP="00D84F3A">
            <w:pPr>
              <w:spacing w:line="360" w:lineRule="auto"/>
              <w:ind w:firstLine="0"/>
              <w:rPr>
                <w:rFonts w:ascii="Book Antiqua" w:hAnsi="Book Antiqua"/>
                <w:b/>
                <w:sz w:val="18"/>
                <w:szCs w:val="18"/>
              </w:rPr>
            </w:pPr>
            <w:r w:rsidRPr="006712C2">
              <w:rPr>
                <w:rFonts w:ascii="Book Antiqua" w:hAnsi="Book Antiqua"/>
                <w:b/>
                <w:sz w:val="18"/>
                <w:szCs w:val="18"/>
              </w:rPr>
              <w:t>1085.3 (205.3-1908.7)</w:t>
            </w:r>
          </w:p>
        </w:tc>
        <w:tc>
          <w:tcPr>
            <w:tcW w:w="2489" w:type="dxa"/>
            <w:noWrap/>
          </w:tcPr>
          <w:p w14:paraId="6A26AFA2" w14:textId="77777777" w:rsidR="00AC64E8" w:rsidRPr="006712C2" w:rsidRDefault="00AC64E8" w:rsidP="00AB2527">
            <w:pPr>
              <w:spacing w:line="360" w:lineRule="auto"/>
              <w:ind w:firstLine="0"/>
              <w:jc w:val="left"/>
              <w:rPr>
                <w:rFonts w:ascii="Book Antiqua" w:hAnsi="Book Antiqua"/>
                <w:b/>
                <w:sz w:val="18"/>
                <w:szCs w:val="18"/>
              </w:rPr>
            </w:pPr>
            <w:r w:rsidRPr="006712C2">
              <w:rPr>
                <w:rFonts w:ascii="Book Antiqua" w:hAnsi="Book Antiqua"/>
                <w:b/>
                <w:sz w:val="18"/>
                <w:szCs w:val="18"/>
              </w:rPr>
              <w:t>1682 (542-3655.3)</w:t>
            </w:r>
          </w:p>
        </w:tc>
        <w:tc>
          <w:tcPr>
            <w:tcW w:w="1706" w:type="dxa"/>
            <w:vAlign w:val="center"/>
          </w:tcPr>
          <w:p w14:paraId="692CCBF7" w14:textId="77777777" w:rsidR="00AC64E8" w:rsidRPr="006712C2" w:rsidRDefault="00AC64E8" w:rsidP="00AB2527">
            <w:pPr>
              <w:spacing w:line="360" w:lineRule="auto"/>
              <w:ind w:right="360" w:firstLine="0"/>
              <w:jc w:val="center"/>
              <w:rPr>
                <w:rFonts w:ascii="Book Antiqua" w:eastAsia="Times New Roman" w:hAnsi="Book Antiqua" w:cs="Arial"/>
                <w:b/>
                <w:sz w:val="18"/>
                <w:szCs w:val="18"/>
              </w:rPr>
            </w:pPr>
            <w:r w:rsidRPr="006712C2">
              <w:rPr>
                <w:rFonts w:ascii="Book Antiqua" w:eastAsia="Times New Roman" w:hAnsi="Book Antiqua" w:cs="Arial"/>
                <w:b/>
                <w:sz w:val="18"/>
                <w:szCs w:val="18"/>
              </w:rPr>
              <w:t>0.027</w:t>
            </w:r>
          </w:p>
        </w:tc>
      </w:tr>
      <w:tr w:rsidR="00AC64E8" w:rsidRPr="00BD49E0" w14:paraId="77275F12" w14:textId="77777777" w:rsidTr="003A4709">
        <w:trPr>
          <w:trHeight w:val="352"/>
          <w:jc w:val="center"/>
        </w:trPr>
        <w:tc>
          <w:tcPr>
            <w:tcW w:w="2496" w:type="dxa"/>
            <w:vAlign w:val="center"/>
          </w:tcPr>
          <w:p w14:paraId="01C4546D" w14:textId="77777777" w:rsidR="00AC64E8" w:rsidRPr="006712C2" w:rsidRDefault="00AC64E8" w:rsidP="00D84F3A">
            <w:pPr>
              <w:spacing w:line="360" w:lineRule="auto"/>
              <w:ind w:firstLine="0"/>
              <w:rPr>
                <w:rFonts w:ascii="Book Antiqua" w:hAnsi="Book Antiqua"/>
                <w:b/>
                <w:sz w:val="18"/>
                <w:szCs w:val="18"/>
              </w:rPr>
            </w:pPr>
            <w:r w:rsidRPr="006712C2">
              <w:rPr>
                <w:rFonts w:ascii="Book Antiqua" w:hAnsi="Book Antiqua"/>
                <w:b/>
                <w:sz w:val="18"/>
                <w:szCs w:val="18"/>
              </w:rPr>
              <w:t>AST</w:t>
            </w:r>
          </w:p>
        </w:tc>
        <w:tc>
          <w:tcPr>
            <w:tcW w:w="2886" w:type="dxa"/>
            <w:noWrap/>
          </w:tcPr>
          <w:p w14:paraId="63E787D4" w14:textId="77777777" w:rsidR="00AC64E8" w:rsidRPr="006712C2" w:rsidRDefault="00AC64E8" w:rsidP="00D84F3A">
            <w:pPr>
              <w:spacing w:line="360" w:lineRule="auto"/>
              <w:ind w:firstLine="0"/>
              <w:rPr>
                <w:rFonts w:ascii="Book Antiqua" w:hAnsi="Book Antiqua"/>
                <w:b/>
                <w:sz w:val="18"/>
                <w:szCs w:val="18"/>
              </w:rPr>
            </w:pPr>
            <w:r w:rsidRPr="006712C2">
              <w:rPr>
                <w:rFonts w:ascii="Book Antiqua" w:hAnsi="Book Antiqua"/>
                <w:b/>
                <w:sz w:val="18"/>
                <w:szCs w:val="18"/>
              </w:rPr>
              <w:t>111 (47-3070)</w:t>
            </w:r>
          </w:p>
        </w:tc>
        <w:tc>
          <w:tcPr>
            <w:tcW w:w="2489" w:type="dxa"/>
            <w:noWrap/>
          </w:tcPr>
          <w:p w14:paraId="4452ACA1" w14:textId="77777777" w:rsidR="00AC64E8" w:rsidRPr="006712C2" w:rsidRDefault="00AC64E8" w:rsidP="00AB2527">
            <w:pPr>
              <w:spacing w:line="360" w:lineRule="auto"/>
              <w:ind w:firstLine="0"/>
              <w:jc w:val="left"/>
              <w:rPr>
                <w:rFonts w:ascii="Book Antiqua" w:hAnsi="Book Antiqua"/>
                <w:b/>
                <w:sz w:val="18"/>
                <w:szCs w:val="18"/>
              </w:rPr>
            </w:pPr>
            <w:r w:rsidRPr="006712C2">
              <w:rPr>
                <w:rFonts w:ascii="Book Antiqua" w:hAnsi="Book Antiqua"/>
                <w:b/>
                <w:sz w:val="18"/>
                <w:szCs w:val="18"/>
              </w:rPr>
              <w:t>42.5 (13-14830)</w:t>
            </w:r>
          </w:p>
        </w:tc>
        <w:tc>
          <w:tcPr>
            <w:tcW w:w="1706" w:type="dxa"/>
            <w:vAlign w:val="center"/>
          </w:tcPr>
          <w:p w14:paraId="32B57A73" w14:textId="77777777" w:rsidR="00AC64E8" w:rsidRPr="006712C2" w:rsidRDefault="00AC64E8" w:rsidP="00AB2527">
            <w:pPr>
              <w:spacing w:line="360" w:lineRule="auto"/>
              <w:ind w:right="360" w:firstLine="0"/>
              <w:jc w:val="center"/>
              <w:rPr>
                <w:rFonts w:ascii="Book Antiqua" w:eastAsia="Times New Roman" w:hAnsi="Book Antiqua" w:cs="Arial"/>
                <w:b/>
                <w:sz w:val="18"/>
                <w:szCs w:val="18"/>
              </w:rPr>
            </w:pPr>
            <w:r w:rsidRPr="006712C2">
              <w:rPr>
                <w:rFonts w:ascii="Book Antiqua" w:eastAsia="Times New Roman" w:hAnsi="Book Antiqua" w:cs="Arial"/>
                <w:b/>
                <w:sz w:val="18"/>
                <w:szCs w:val="18"/>
              </w:rPr>
              <w:t>0.03</w:t>
            </w:r>
          </w:p>
        </w:tc>
      </w:tr>
      <w:tr w:rsidR="00AC64E8" w:rsidRPr="00BD49E0" w14:paraId="6AC91EF1" w14:textId="77777777" w:rsidTr="003A4709">
        <w:trPr>
          <w:trHeight w:val="352"/>
          <w:jc w:val="center"/>
        </w:trPr>
        <w:tc>
          <w:tcPr>
            <w:tcW w:w="2496" w:type="dxa"/>
            <w:vAlign w:val="center"/>
          </w:tcPr>
          <w:p w14:paraId="3C7738D0" w14:textId="77777777" w:rsidR="00AC64E8" w:rsidRPr="006712C2" w:rsidRDefault="00AC64E8" w:rsidP="00D84F3A">
            <w:pPr>
              <w:spacing w:line="360" w:lineRule="auto"/>
              <w:ind w:firstLine="0"/>
              <w:rPr>
                <w:rFonts w:ascii="Book Antiqua" w:hAnsi="Book Antiqua"/>
                <w:b/>
                <w:sz w:val="18"/>
                <w:szCs w:val="18"/>
              </w:rPr>
            </w:pPr>
            <w:r w:rsidRPr="006712C2">
              <w:rPr>
                <w:rFonts w:ascii="Book Antiqua" w:hAnsi="Book Antiqua"/>
                <w:b/>
                <w:sz w:val="18"/>
                <w:szCs w:val="18"/>
              </w:rPr>
              <w:t>ALT</w:t>
            </w:r>
            <w:r w:rsidRPr="006712C2">
              <w:rPr>
                <w:rFonts w:ascii="Book Antiqua" w:hAnsi="Book Antiqua"/>
                <w:b/>
                <w:sz w:val="18"/>
                <w:szCs w:val="18"/>
              </w:rPr>
              <w:tab/>
            </w:r>
          </w:p>
        </w:tc>
        <w:tc>
          <w:tcPr>
            <w:tcW w:w="2886" w:type="dxa"/>
            <w:noWrap/>
          </w:tcPr>
          <w:p w14:paraId="44CB6665" w14:textId="77777777" w:rsidR="00AC64E8" w:rsidRPr="006712C2" w:rsidRDefault="00AC64E8" w:rsidP="00D84F3A">
            <w:pPr>
              <w:spacing w:line="360" w:lineRule="auto"/>
              <w:ind w:firstLine="0"/>
              <w:rPr>
                <w:rFonts w:ascii="Book Antiqua" w:hAnsi="Book Antiqua"/>
                <w:b/>
                <w:sz w:val="18"/>
                <w:szCs w:val="18"/>
              </w:rPr>
            </w:pPr>
            <w:r w:rsidRPr="006712C2">
              <w:rPr>
                <w:rFonts w:ascii="Book Antiqua" w:hAnsi="Book Antiqua"/>
                <w:b/>
                <w:sz w:val="18"/>
                <w:szCs w:val="18"/>
              </w:rPr>
              <w:t>195.5 (112-3276)</w:t>
            </w:r>
          </w:p>
        </w:tc>
        <w:tc>
          <w:tcPr>
            <w:tcW w:w="2489" w:type="dxa"/>
            <w:noWrap/>
          </w:tcPr>
          <w:p w14:paraId="4A23FA92" w14:textId="77777777" w:rsidR="00AC64E8" w:rsidRPr="006712C2" w:rsidRDefault="00AC64E8" w:rsidP="00AB2527">
            <w:pPr>
              <w:spacing w:line="360" w:lineRule="auto"/>
              <w:ind w:firstLine="0"/>
              <w:jc w:val="left"/>
              <w:rPr>
                <w:rFonts w:ascii="Book Antiqua" w:hAnsi="Book Antiqua"/>
                <w:b/>
                <w:sz w:val="18"/>
                <w:szCs w:val="18"/>
              </w:rPr>
            </w:pPr>
            <w:r w:rsidRPr="006712C2">
              <w:rPr>
                <w:rFonts w:ascii="Book Antiqua" w:hAnsi="Book Antiqua"/>
                <w:b/>
                <w:sz w:val="18"/>
                <w:szCs w:val="18"/>
              </w:rPr>
              <w:t>48.5 (13-5921)</w:t>
            </w:r>
          </w:p>
        </w:tc>
        <w:tc>
          <w:tcPr>
            <w:tcW w:w="1706" w:type="dxa"/>
            <w:vAlign w:val="center"/>
          </w:tcPr>
          <w:p w14:paraId="6150909F" w14:textId="77777777" w:rsidR="00AC64E8" w:rsidRPr="006712C2" w:rsidRDefault="00AC64E8" w:rsidP="00AB2527">
            <w:pPr>
              <w:spacing w:line="360" w:lineRule="auto"/>
              <w:ind w:right="360" w:firstLine="0"/>
              <w:jc w:val="center"/>
              <w:rPr>
                <w:rFonts w:ascii="Book Antiqua" w:eastAsia="Times New Roman" w:hAnsi="Book Antiqua" w:cs="Arial"/>
                <w:b/>
                <w:sz w:val="18"/>
                <w:szCs w:val="18"/>
              </w:rPr>
            </w:pPr>
            <w:r w:rsidRPr="006712C2">
              <w:rPr>
                <w:rFonts w:ascii="Book Antiqua" w:eastAsia="Times New Roman" w:hAnsi="Book Antiqua" w:cs="Arial"/>
                <w:b/>
                <w:sz w:val="18"/>
                <w:szCs w:val="18"/>
              </w:rPr>
              <w:t>0.004</w:t>
            </w:r>
          </w:p>
        </w:tc>
      </w:tr>
      <w:tr w:rsidR="00AC64E8" w:rsidRPr="00BD49E0" w14:paraId="296C31F6" w14:textId="77777777" w:rsidTr="003A4709">
        <w:trPr>
          <w:trHeight w:val="352"/>
          <w:jc w:val="center"/>
        </w:trPr>
        <w:tc>
          <w:tcPr>
            <w:tcW w:w="2496" w:type="dxa"/>
            <w:vAlign w:val="bottom"/>
          </w:tcPr>
          <w:p w14:paraId="40B4F511" w14:textId="45DBDD29" w:rsidR="00AC64E8" w:rsidRPr="00F4404C" w:rsidRDefault="00022A96" w:rsidP="00022A96">
            <w:pPr>
              <w:spacing w:line="360" w:lineRule="auto"/>
              <w:ind w:firstLine="0"/>
              <w:rPr>
                <w:rFonts w:ascii="Book Antiqua" w:eastAsia="Times New Roman" w:hAnsi="Book Antiqua" w:cs="Arial"/>
                <w:bCs/>
                <w:sz w:val="18"/>
                <w:szCs w:val="18"/>
              </w:rPr>
            </w:pPr>
            <w:r>
              <w:rPr>
                <w:rFonts w:ascii="Book Antiqua" w:hAnsi="Book Antiqua" w:cs="Arial"/>
                <w:sz w:val="18"/>
                <w:szCs w:val="18"/>
              </w:rPr>
              <w:t xml:space="preserve">TNF-alpha </w:t>
            </w:r>
          </w:p>
        </w:tc>
        <w:tc>
          <w:tcPr>
            <w:tcW w:w="2886" w:type="dxa"/>
            <w:noWrap/>
            <w:vAlign w:val="center"/>
          </w:tcPr>
          <w:p w14:paraId="792A6E34" w14:textId="77777777" w:rsidR="00AC64E8" w:rsidRPr="00F4404C" w:rsidRDefault="00AC64E8" w:rsidP="00D84F3A">
            <w:pPr>
              <w:spacing w:line="360" w:lineRule="auto"/>
              <w:ind w:firstLine="0"/>
              <w:rPr>
                <w:rFonts w:ascii="Book Antiqua" w:eastAsia="Times New Roman" w:hAnsi="Book Antiqua" w:cs="Arial"/>
                <w:sz w:val="18"/>
                <w:szCs w:val="18"/>
              </w:rPr>
            </w:pPr>
            <w:r>
              <w:rPr>
                <w:rFonts w:ascii="Book Antiqua" w:eastAsia="Times New Roman" w:hAnsi="Book Antiqua" w:cs="Arial"/>
                <w:sz w:val="18"/>
                <w:szCs w:val="18"/>
              </w:rPr>
              <w:t>15.6 (15.6-48)</w:t>
            </w:r>
          </w:p>
        </w:tc>
        <w:tc>
          <w:tcPr>
            <w:tcW w:w="2489" w:type="dxa"/>
            <w:noWrap/>
            <w:vAlign w:val="center"/>
          </w:tcPr>
          <w:p w14:paraId="6BD2C9B5" w14:textId="77777777" w:rsidR="00AC64E8" w:rsidRPr="00F4404C" w:rsidRDefault="00AC64E8" w:rsidP="00AB2527">
            <w:pPr>
              <w:spacing w:line="360" w:lineRule="auto"/>
              <w:ind w:firstLine="0"/>
              <w:jc w:val="left"/>
              <w:rPr>
                <w:rFonts w:ascii="Book Antiqua" w:eastAsia="Times New Roman" w:hAnsi="Book Antiqua" w:cs="Arial"/>
                <w:sz w:val="18"/>
                <w:szCs w:val="18"/>
              </w:rPr>
            </w:pPr>
            <w:r>
              <w:rPr>
                <w:rFonts w:ascii="Book Antiqua" w:eastAsia="Times New Roman" w:hAnsi="Book Antiqua" w:cs="Arial"/>
                <w:sz w:val="18"/>
                <w:szCs w:val="18"/>
              </w:rPr>
              <w:t>15.6 (15.6-1000)</w:t>
            </w:r>
          </w:p>
        </w:tc>
        <w:tc>
          <w:tcPr>
            <w:tcW w:w="1706" w:type="dxa"/>
            <w:vAlign w:val="center"/>
          </w:tcPr>
          <w:p w14:paraId="109118AC"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0.56</w:t>
            </w:r>
          </w:p>
        </w:tc>
      </w:tr>
      <w:tr w:rsidR="00AC64E8" w:rsidRPr="00BD49E0" w14:paraId="166ADDC0" w14:textId="77777777" w:rsidTr="003A4709">
        <w:trPr>
          <w:trHeight w:val="352"/>
          <w:jc w:val="center"/>
        </w:trPr>
        <w:tc>
          <w:tcPr>
            <w:tcW w:w="2496" w:type="dxa"/>
            <w:vAlign w:val="center"/>
          </w:tcPr>
          <w:p w14:paraId="36C57C0A" w14:textId="73E5C77D" w:rsidR="00AC64E8" w:rsidRPr="00F4404C" w:rsidRDefault="00AC64E8" w:rsidP="00022A96">
            <w:pPr>
              <w:spacing w:line="360" w:lineRule="auto"/>
              <w:ind w:firstLine="0"/>
              <w:rPr>
                <w:rFonts w:ascii="Book Antiqua" w:eastAsia="Times New Roman" w:hAnsi="Book Antiqua" w:cs="Arial"/>
                <w:bCs/>
                <w:sz w:val="18"/>
                <w:szCs w:val="18"/>
              </w:rPr>
            </w:pPr>
            <w:r w:rsidRPr="00F4404C">
              <w:rPr>
                <w:rFonts w:ascii="Book Antiqua" w:hAnsi="Book Antiqua" w:cs="Arial"/>
                <w:sz w:val="18"/>
                <w:szCs w:val="18"/>
              </w:rPr>
              <w:t>TGF</w:t>
            </w:r>
            <w:r w:rsidR="00022A96">
              <w:rPr>
                <w:rFonts w:ascii="Book Antiqua" w:hAnsi="Book Antiqua" w:cs="Arial"/>
                <w:sz w:val="18"/>
                <w:szCs w:val="18"/>
              </w:rPr>
              <w:t>-beta</w:t>
            </w:r>
          </w:p>
        </w:tc>
        <w:tc>
          <w:tcPr>
            <w:tcW w:w="2886" w:type="dxa"/>
            <w:noWrap/>
            <w:vAlign w:val="center"/>
          </w:tcPr>
          <w:p w14:paraId="51346506" w14:textId="77777777" w:rsidR="00AC64E8" w:rsidRPr="00F4404C" w:rsidRDefault="00AC64E8" w:rsidP="00D84F3A">
            <w:pPr>
              <w:spacing w:line="360" w:lineRule="auto"/>
              <w:ind w:firstLine="0"/>
              <w:rPr>
                <w:rFonts w:ascii="Book Antiqua" w:eastAsia="Times New Roman" w:hAnsi="Book Antiqua" w:cs="Arial"/>
                <w:sz w:val="18"/>
                <w:szCs w:val="18"/>
              </w:rPr>
            </w:pPr>
            <w:r>
              <w:rPr>
                <w:rFonts w:ascii="Book Antiqua" w:eastAsia="Times New Roman" w:hAnsi="Book Antiqua" w:cs="Arial"/>
                <w:sz w:val="18"/>
                <w:szCs w:val="18"/>
              </w:rPr>
              <w:t>1003.6 (721-1815)</w:t>
            </w:r>
          </w:p>
        </w:tc>
        <w:tc>
          <w:tcPr>
            <w:tcW w:w="2489" w:type="dxa"/>
            <w:noWrap/>
            <w:vAlign w:val="center"/>
          </w:tcPr>
          <w:p w14:paraId="62146567" w14:textId="77777777" w:rsidR="00AC64E8" w:rsidRPr="00F4404C" w:rsidRDefault="00AC64E8" w:rsidP="00AB2527">
            <w:pPr>
              <w:spacing w:line="360" w:lineRule="auto"/>
              <w:ind w:firstLine="0"/>
              <w:jc w:val="left"/>
              <w:rPr>
                <w:rFonts w:ascii="Book Antiqua" w:eastAsia="Times New Roman" w:hAnsi="Book Antiqua" w:cs="Arial"/>
                <w:sz w:val="18"/>
                <w:szCs w:val="18"/>
              </w:rPr>
            </w:pPr>
            <w:r>
              <w:rPr>
                <w:rFonts w:ascii="Book Antiqua" w:eastAsia="Times New Roman" w:hAnsi="Book Antiqua" w:cs="Arial"/>
                <w:sz w:val="18"/>
                <w:szCs w:val="18"/>
              </w:rPr>
              <w:t>965.7 (195-2000)</w:t>
            </w:r>
          </w:p>
        </w:tc>
        <w:tc>
          <w:tcPr>
            <w:tcW w:w="1706" w:type="dxa"/>
            <w:vAlign w:val="center"/>
          </w:tcPr>
          <w:p w14:paraId="43831289" w14:textId="5AAB1506" w:rsidR="00AC64E8" w:rsidRPr="00F4404C" w:rsidRDefault="00FB3217" w:rsidP="00FB3217">
            <w:pPr>
              <w:spacing w:line="360" w:lineRule="auto"/>
              <w:ind w:firstLine="0"/>
              <w:rPr>
                <w:rFonts w:ascii="Book Antiqua" w:eastAsia="Times New Roman" w:hAnsi="Book Antiqua" w:cs="Arial"/>
                <w:sz w:val="18"/>
                <w:szCs w:val="18"/>
              </w:rPr>
            </w:pPr>
            <w:r>
              <w:rPr>
                <w:rFonts w:ascii="Book Antiqua" w:eastAsia="Times New Roman" w:hAnsi="Book Antiqua" w:cs="Arial"/>
                <w:sz w:val="18"/>
                <w:szCs w:val="18"/>
              </w:rPr>
              <w:t xml:space="preserve">         </w:t>
            </w:r>
            <w:r w:rsidR="00AC64E8">
              <w:rPr>
                <w:rFonts w:ascii="Book Antiqua" w:eastAsia="Times New Roman" w:hAnsi="Book Antiqua" w:cs="Arial"/>
                <w:sz w:val="18"/>
                <w:szCs w:val="18"/>
              </w:rPr>
              <w:t>0.92</w:t>
            </w:r>
          </w:p>
        </w:tc>
      </w:tr>
      <w:tr w:rsidR="00AC64E8" w:rsidRPr="00BD49E0" w14:paraId="11804AE3" w14:textId="77777777" w:rsidTr="003A4709">
        <w:trPr>
          <w:trHeight w:val="352"/>
          <w:jc w:val="center"/>
        </w:trPr>
        <w:tc>
          <w:tcPr>
            <w:tcW w:w="2496" w:type="dxa"/>
            <w:vAlign w:val="center"/>
          </w:tcPr>
          <w:p w14:paraId="1CC9C945" w14:textId="77777777" w:rsidR="00AC64E8" w:rsidRPr="00F4404C" w:rsidRDefault="00AC64E8" w:rsidP="00D84F3A">
            <w:pPr>
              <w:spacing w:line="360" w:lineRule="auto"/>
              <w:ind w:firstLine="0"/>
              <w:rPr>
                <w:rFonts w:ascii="Book Antiqua" w:eastAsia="Times New Roman" w:hAnsi="Book Antiqua" w:cs="Arial"/>
                <w:bCs/>
                <w:sz w:val="18"/>
                <w:szCs w:val="18"/>
              </w:rPr>
            </w:pPr>
            <w:r w:rsidRPr="00F4404C">
              <w:rPr>
                <w:rFonts w:ascii="Book Antiqua" w:hAnsi="Book Antiqua" w:cs="Arial"/>
                <w:sz w:val="18"/>
                <w:szCs w:val="18"/>
              </w:rPr>
              <w:t>IL4</w:t>
            </w:r>
          </w:p>
        </w:tc>
        <w:tc>
          <w:tcPr>
            <w:tcW w:w="2886" w:type="dxa"/>
            <w:noWrap/>
            <w:vAlign w:val="center"/>
          </w:tcPr>
          <w:p w14:paraId="043B3097" w14:textId="77777777" w:rsidR="00AC64E8" w:rsidRPr="00F4404C" w:rsidRDefault="00AC64E8" w:rsidP="00D84F3A">
            <w:pPr>
              <w:spacing w:line="360" w:lineRule="auto"/>
              <w:ind w:firstLine="0"/>
              <w:rPr>
                <w:rFonts w:ascii="Book Antiqua" w:eastAsia="Times New Roman" w:hAnsi="Book Antiqua" w:cs="Arial"/>
                <w:sz w:val="18"/>
                <w:szCs w:val="18"/>
              </w:rPr>
            </w:pPr>
            <w:r>
              <w:rPr>
                <w:rFonts w:ascii="Book Antiqua" w:eastAsia="Times New Roman" w:hAnsi="Book Antiqua" w:cs="Arial"/>
                <w:sz w:val="18"/>
                <w:szCs w:val="18"/>
              </w:rPr>
              <w:t>120.2 (31-197.9)</w:t>
            </w:r>
          </w:p>
        </w:tc>
        <w:tc>
          <w:tcPr>
            <w:tcW w:w="2489" w:type="dxa"/>
            <w:noWrap/>
            <w:vAlign w:val="center"/>
          </w:tcPr>
          <w:p w14:paraId="6DC3C022" w14:textId="77777777" w:rsidR="00AC64E8" w:rsidRPr="00F4404C" w:rsidRDefault="00AC64E8" w:rsidP="00AB2527">
            <w:pPr>
              <w:spacing w:line="360" w:lineRule="auto"/>
              <w:ind w:firstLine="0"/>
              <w:jc w:val="left"/>
              <w:rPr>
                <w:rFonts w:ascii="Book Antiqua" w:eastAsia="Times New Roman" w:hAnsi="Book Antiqua" w:cs="Arial"/>
                <w:sz w:val="18"/>
                <w:szCs w:val="18"/>
              </w:rPr>
            </w:pPr>
            <w:r>
              <w:rPr>
                <w:rFonts w:ascii="Book Antiqua" w:eastAsia="Times New Roman" w:hAnsi="Book Antiqua" w:cs="Arial"/>
                <w:sz w:val="18"/>
                <w:szCs w:val="18"/>
              </w:rPr>
              <w:t>102.1 (67.2-1166.4)</w:t>
            </w:r>
          </w:p>
        </w:tc>
        <w:tc>
          <w:tcPr>
            <w:tcW w:w="1706" w:type="dxa"/>
            <w:vAlign w:val="center"/>
          </w:tcPr>
          <w:p w14:paraId="09AEC9CC"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0.83</w:t>
            </w:r>
          </w:p>
        </w:tc>
      </w:tr>
      <w:tr w:rsidR="00AC64E8" w:rsidRPr="00BD49E0" w14:paraId="34E6ADF2" w14:textId="77777777" w:rsidTr="003A4709">
        <w:trPr>
          <w:trHeight w:val="352"/>
          <w:jc w:val="center"/>
        </w:trPr>
        <w:tc>
          <w:tcPr>
            <w:tcW w:w="2496" w:type="dxa"/>
            <w:vAlign w:val="center"/>
          </w:tcPr>
          <w:p w14:paraId="01C5ADA7" w14:textId="77777777" w:rsidR="00AC64E8" w:rsidRPr="00F4404C" w:rsidRDefault="00AC64E8" w:rsidP="00D84F3A">
            <w:pPr>
              <w:spacing w:line="360" w:lineRule="auto"/>
              <w:ind w:firstLine="0"/>
              <w:rPr>
                <w:rFonts w:ascii="Book Antiqua" w:eastAsia="Times New Roman" w:hAnsi="Book Antiqua" w:cs="Arial"/>
                <w:sz w:val="18"/>
                <w:szCs w:val="18"/>
              </w:rPr>
            </w:pPr>
            <w:r w:rsidRPr="00F4404C">
              <w:rPr>
                <w:rFonts w:ascii="Book Antiqua" w:hAnsi="Book Antiqua" w:cs="Arial"/>
                <w:sz w:val="18"/>
                <w:szCs w:val="18"/>
              </w:rPr>
              <w:t>IL10</w:t>
            </w:r>
          </w:p>
        </w:tc>
        <w:tc>
          <w:tcPr>
            <w:tcW w:w="2886" w:type="dxa"/>
            <w:noWrap/>
          </w:tcPr>
          <w:p w14:paraId="17A38236" w14:textId="77777777" w:rsidR="00AC64E8" w:rsidRPr="00F4404C" w:rsidRDefault="00AC64E8" w:rsidP="00D84F3A">
            <w:pPr>
              <w:spacing w:line="360" w:lineRule="auto"/>
              <w:ind w:firstLine="0"/>
              <w:rPr>
                <w:rFonts w:ascii="Book Antiqua" w:eastAsia="Times New Roman" w:hAnsi="Book Antiqua" w:cs="Arial"/>
                <w:sz w:val="18"/>
                <w:szCs w:val="18"/>
              </w:rPr>
            </w:pPr>
            <w:r>
              <w:rPr>
                <w:rFonts w:ascii="Book Antiqua" w:eastAsia="Times New Roman" w:hAnsi="Book Antiqua" w:cs="Arial"/>
                <w:sz w:val="18"/>
                <w:szCs w:val="18"/>
              </w:rPr>
              <w:t>71.2 (7.8-500000)</w:t>
            </w:r>
          </w:p>
        </w:tc>
        <w:tc>
          <w:tcPr>
            <w:tcW w:w="2489" w:type="dxa"/>
            <w:noWrap/>
          </w:tcPr>
          <w:p w14:paraId="76C72157" w14:textId="77777777" w:rsidR="00AC64E8" w:rsidRPr="00F4404C" w:rsidRDefault="00AC64E8" w:rsidP="00AB2527">
            <w:pPr>
              <w:spacing w:line="360" w:lineRule="auto"/>
              <w:ind w:firstLine="0"/>
              <w:jc w:val="left"/>
              <w:rPr>
                <w:rFonts w:ascii="Book Antiqua" w:eastAsia="Times New Roman" w:hAnsi="Book Antiqua" w:cs="Arial"/>
                <w:sz w:val="18"/>
                <w:szCs w:val="18"/>
              </w:rPr>
            </w:pPr>
            <w:r>
              <w:rPr>
                <w:rFonts w:ascii="Book Antiqua" w:eastAsia="Times New Roman" w:hAnsi="Book Antiqua" w:cs="Arial"/>
                <w:sz w:val="18"/>
                <w:szCs w:val="18"/>
              </w:rPr>
              <w:t>65.9 (7.8-500000)</w:t>
            </w:r>
          </w:p>
        </w:tc>
        <w:tc>
          <w:tcPr>
            <w:tcW w:w="1706" w:type="dxa"/>
            <w:vAlign w:val="center"/>
          </w:tcPr>
          <w:p w14:paraId="505701A3"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0.92</w:t>
            </w:r>
          </w:p>
        </w:tc>
      </w:tr>
      <w:tr w:rsidR="00AC64E8" w:rsidRPr="00BD49E0" w14:paraId="1B9A9D9E" w14:textId="77777777" w:rsidTr="003A4709">
        <w:trPr>
          <w:trHeight w:val="406"/>
          <w:jc w:val="center"/>
        </w:trPr>
        <w:tc>
          <w:tcPr>
            <w:tcW w:w="2496" w:type="dxa"/>
            <w:vAlign w:val="center"/>
          </w:tcPr>
          <w:p w14:paraId="10ABEDB1" w14:textId="77777777" w:rsidR="00AC64E8" w:rsidRPr="00F4404C" w:rsidRDefault="00AC64E8" w:rsidP="00D84F3A">
            <w:pPr>
              <w:spacing w:line="360" w:lineRule="auto"/>
              <w:ind w:firstLine="0"/>
              <w:rPr>
                <w:rFonts w:ascii="Book Antiqua" w:eastAsia="Times New Roman" w:hAnsi="Book Antiqua" w:cs="Arial"/>
                <w:bCs/>
                <w:sz w:val="18"/>
                <w:szCs w:val="18"/>
              </w:rPr>
            </w:pPr>
            <w:r w:rsidRPr="00F4404C">
              <w:rPr>
                <w:rFonts w:ascii="Book Antiqua" w:hAnsi="Book Antiqua" w:cs="Arial"/>
                <w:sz w:val="18"/>
                <w:szCs w:val="18"/>
              </w:rPr>
              <w:t>IL17</w:t>
            </w:r>
          </w:p>
        </w:tc>
        <w:tc>
          <w:tcPr>
            <w:tcW w:w="2886" w:type="dxa"/>
            <w:noWrap/>
          </w:tcPr>
          <w:p w14:paraId="2ECA4B6F"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31.3 (0-31)</w:t>
            </w:r>
          </w:p>
        </w:tc>
        <w:tc>
          <w:tcPr>
            <w:tcW w:w="2489" w:type="dxa"/>
            <w:noWrap/>
          </w:tcPr>
          <w:p w14:paraId="21BCBAA4"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31.2 (31.2-2000)</w:t>
            </w:r>
          </w:p>
        </w:tc>
        <w:tc>
          <w:tcPr>
            <w:tcW w:w="1706" w:type="dxa"/>
            <w:vAlign w:val="center"/>
          </w:tcPr>
          <w:p w14:paraId="6050ECD5" w14:textId="77777777" w:rsidR="00AC64E8" w:rsidRPr="00F4404C" w:rsidRDefault="00AC64E8" w:rsidP="00AB2527">
            <w:pPr>
              <w:spacing w:line="360" w:lineRule="auto"/>
              <w:ind w:right="360" w:firstLine="0"/>
              <w:jc w:val="center"/>
              <w:rPr>
                <w:rFonts w:ascii="Book Antiqua" w:eastAsia="Times New Roman" w:hAnsi="Book Antiqua" w:cs="Arial"/>
                <w:bCs/>
                <w:sz w:val="18"/>
                <w:szCs w:val="18"/>
              </w:rPr>
            </w:pPr>
            <w:r>
              <w:rPr>
                <w:rFonts w:ascii="Book Antiqua" w:eastAsia="Times New Roman" w:hAnsi="Book Antiqua" w:cs="Arial"/>
                <w:bCs/>
                <w:sz w:val="18"/>
                <w:szCs w:val="18"/>
              </w:rPr>
              <w:t>0.24</w:t>
            </w:r>
          </w:p>
        </w:tc>
      </w:tr>
      <w:tr w:rsidR="00AC64E8" w:rsidRPr="00BD49E0" w14:paraId="1DBFC364" w14:textId="77777777" w:rsidTr="003A4709">
        <w:trPr>
          <w:trHeight w:val="432"/>
          <w:jc w:val="center"/>
        </w:trPr>
        <w:tc>
          <w:tcPr>
            <w:tcW w:w="2496" w:type="dxa"/>
            <w:vAlign w:val="center"/>
          </w:tcPr>
          <w:p w14:paraId="159D8201" w14:textId="0F28E305" w:rsidR="00AC64E8" w:rsidRPr="00F4404C" w:rsidRDefault="00AC64E8" w:rsidP="00D84F3A">
            <w:pPr>
              <w:spacing w:line="360" w:lineRule="auto"/>
              <w:ind w:firstLine="0"/>
              <w:rPr>
                <w:rFonts w:ascii="Book Antiqua" w:eastAsia="Times New Roman" w:hAnsi="Book Antiqua" w:cs="Arial"/>
                <w:bCs/>
                <w:sz w:val="18"/>
                <w:szCs w:val="18"/>
              </w:rPr>
            </w:pPr>
            <w:r w:rsidRPr="00F4404C">
              <w:rPr>
                <w:rFonts w:ascii="Book Antiqua" w:hAnsi="Book Antiqua" w:cs="Arial"/>
                <w:sz w:val="18"/>
                <w:szCs w:val="18"/>
              </w:rPr>
              <w:t>IL6</w:t>
            </w:r>
            <w:r w:rsidR="00022A96">
              <w:rPr>
                <w:rFonts w:ascii="Book Antiqua" w:hAnsi="Book Antiqua" w:cs="Arial"/>
                <w:sz w:val="18"/>
                <w:szCs w:val="18"/>
              </w:rPr>
              <w:t xml:space="preserve"> </w:t>
            </w:r>
          </w:p>
        </w:tc>
        <w:tc>
          <w:tcPr>
            <w:tcW w:w="2886" w:type="dxa"/>
            <w:noWrap/>
          </w:tcPr>
          <w:p w14:paraId="56911E67"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214.5 (14.8-1759)</w:t>
            </w:r>
          </w:p>
        </w:tc>
        <w:tc>
          <w:tcPr>
            <w:tcW w:w="2489" w:type="dxa"/>
            <w:noWrap/>
          </w:tcPr>
          <w:p w14:paraId="18483E8C"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283.4 (29.9-5000)</w:t>
            </w:r>
          </w:p>
        </w:tc>
        <w:tc>
          <w:tcPr>
            <w:tcW w:w="1706" w:type="dxa"/>
            <w:vAlign w:val="center"/>
          </w:tcPr>
          <w:p w14:paraId="26942E45"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0.35</w:t>
            </w:r>
          </w:p>
        </w:tc>
      </w:tr>
      <w:tr w:rsidR="00AC64E8" w:rsidRPr="00BD49E0" w14:paraId="21F4F7F4" w14:textId="77777777" w:rsidTr="003A4709">
        <w:trPr>
          <w:trHeight w:val="282"/>
          <w:jc w:val="center"/>
        </w:trPr>
        <w:tc>
          <w:tcPr>
            <w:tcW w:w="2496" w:type="dxa"/>
            <w:vAlign w:val="bottom"/>
          </w:tcPr>
          <w:p w14:paraId="60B7A140" w14:textId="77777777" w:rsidR="00AC64E8" w:rsidRPr="00F4404C" w:rsidRDefault="00AC64E8" w:rsidP="00D84F3A">
            <w:pPr>
              <w:spacing w:line="360" w:lineRule="auto"/>
              <w:ind w:firstLine="0"/>
              <w:rPr>
                <w:rFonts w:ascii="Book Antiqua" w:hAnsi="Book Antiqua" w:cs="Arial"/>
                <w:sz w:val="18"/>
                <w:szCs w:val="18"/>
              </w:rPr>
            </w:pPr>
            <w:r w:rsidRPr="00F4404C">
              <w:rPr>
                <w:rFonts w:ascii="Book Antiqua" w:hAnsi="Book Antiqua" w:cs="Arial"/>
                <w:sz w:val="18"/>
                <w:szCs w:val="18"/>
              </w:rPr>
              <w:t>SHLA-G</w:t>
            </w:r>
          </w:p>
        </w:tc>
        <w:tc>
          <w:tcPr>
            <w:tcW w:w="2886" w:type="dxa"/>
            <w:noWrap/>
          </w:tcPr>
          <w:p w14:paraId="7FB210DA"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85.8 (30.7-172.8)</w:t>
            </w:r>
          </w:p>
        </w:tc>
        <w:tc>
          <w:tcPr>
            <w:tcW w:w="2489" w:type="dxa"/>
            <w:noWrap/>
          </w:tcPr>
          <w:p w14:paraId="6D3D7E05"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95.7 (40.2-192.4)</w:t>
            </w:r>
          </w:p>
        </w:tc>
        <w:tc>
          <w:tcPr>
            <w:tcW w:w="1706" w:type="dxa"/>
            <w:vAlign w:val="center"/>
          </w:tcPr>
          <w:p w14:paraId="6B186559"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0.52</w:t>
            </w:r>
          </w:p>
        </w:tc>
      </w:tr>
      <w:tr w:rsidR="00AC64E8" w:rsidRPr="00BD49E0" w14:paraId="5A6505AA" w14:textId="77777777" w:rsidTr="003A4709">
        <w:trPr>
          <w:trHeight w:val="282"/>
          <w:jc w:val="center"/>
        </w:trPr>
        <w:tc>
          <w:tcPr>
            <w:tcW w:w="2496" w:type="dxa"/>
            <w:vAlign w:val="center"/>
          </w:tcPr>
          <w:p w14:paraId="4DD8FF6A" w14:textId="77777777" w:rsidR="00AC64E8" w:rsidRPr="00F4404C" w:rsidRDefault="00AC64E8" w:rsidP="00D84F3A">
            <w:pPr>
              <w:spacing w:line="360" w:lineRule="auto"/>
              <w:ind w:firstLine="0"/>
              <w:rPr>
                <w:rFonts w:ascii="Book Antiqua" w:eastAsia="Times New Roman" w:hAnsi="Book Antiqua" w:cs="Arial"/>
                <w:bCs/>
                <w:sz w:val="18"/>
                <w:szCs w:val="18"/>
              </w:rPr>
            </w:pPr>
            <w:r w:rsidRPr="00F4404C">
              <w:rPr>
                <w:rFonts w:ascii="Book Antiqua" w:hAnsi="Book Antiqua" w:cs="Arial"/>
                <w:sz w:val="18"/>
                <w:szCs w:val="18"/>
              </w:rPr>
              <w:t>WBC</w:t>
            </w:r>
          </w:p>
        </w:tc>
        <w:tc>
          <w:tcPr>
            <w:tcW w:w="2886" w:type="dxa"/>
            <w:noWrap/>
          </w:tcPr>
          <w:p w14:paraId="18CB730E"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15700 (9300-46700)</w:t>
            </w:r>
          </w:p>
        </w:tc>
        <w:tc>
          <w:tcPr>
            <w:tcW w:w="2489" w:type="dxa"/>
            <w:noWrap/>
          </w:tcPr>
          <w:p w14:paraId="5009A8FE"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16985 (2600-53430)</w:t>
            </w:r>
          </w:p>
        </w:tc>
        <w:tc>
          <w:tcPr>
            <w:tcW w:w="1706" w:type="dxa"/>
            <w:vAlign w:val="center"/>
          </w:tcPr>
          <w:p w14:paraId="1DA4E800"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0.88</w:t>
            </w:r>
          </w:p>
        </w:tc>
      </w:tr>
      <w:tr w:rsidR="00AC64E8" w:rsidRPr="00BD49E0" w14:paraId="010F31FE" w14:textId="77777777" w:rsidTr="003A4709">
        <w:trPr>
          <w:trHeight w:val="282"/>
          <w:jc w:val="center"/>
        </w:trPr>
        <w:tc>
          <w:tcPr>
            <w:tcW w:w="2496" w:type="dxa"/>
            <w:vAlign w:val="center"/>
          </w:tcPr>
          <w:p w14:paraId="70973767" w14:textId="77777777" w:rsidR="00AC64E8" w:rsidRPr="00F4404C" w:rsidRDefault="00AC64E8" w:rsidP="00D84F3A">
            <w:pPr>
              <w:spacing w:line="360" w:lineRule="auto"/>
              <w:ind w:firstLine="0"/>
              <w:rPr>
                <w:rFonts w:ascii="Book Antiqua" w:eastAsia="Times New Roman" w:hAnsi="Book Antiqua" w:cs="Arial"/>
                <w:bCs/>
                <w:sz w:val="18"/>
                <w:szCs w:val="18"/>
              </w:rPr>
            </w:pPr>
            <w:r w:rsidRPr="00F4404C">
              <w:rPr>
                <w:rFonts w:ascii="Book Antiqua" w:hAnsi="Book Antiqua" w:cs="Arial"/>
                <w:sz w:val="18"/>
                <w:szCs w:val="18"/>
              </w:rPr>
              <w:t>HGB</w:t>
            </w:r>
          </w:p>
        </w:tc>
        <w:tc>
          <w:tcPr>
            <w:tcW w:w="2886" w:type="dxa"/>
            <w:noWrap/>
          </w:tcPr>
          <w:p w14:paraId="743552CA"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10.6 (7.3-14.5)</w:t>
            </w:r>
          </w:p>
        </w:tc>
        <w:tc>
          <w:tcPr>
            <w:tcW w:w="2489" w:type="dxa"/>
            <w:noWrap/>
          </w:tcPr>
          <w:p w14:paraId="3CB610A2"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9.2 (8-11.5)</w:t>
            </w:r>
          </w:p>
        </w:tc>
        <w:tc>
          <w:tcPr>
            <w:tcW w:w="1706" w:type="dxa"/>
            <w:vAlign w:val="center"/>
          </w:tcPr>
          <w:p w14:paraId="2FA8FD6E"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0.21</w:t>
            </w:r>
          </w:p>
        </w:tc>
      </w:tr>
      <w:tr w:rsidR="00AC64E8" w:rsidRPr="00BD49E0" w14:paraId="52B43D22" w14:textId="77777777" w:rsidTr="003A4709">
        <w:trPr>
          <w:trHeight w:val="282"/>
          <w:jc w:val="center"/>
        </w:trPr>
        <w:tc>
          <w:tcPr>
            <w:tcW w:w="2496" w:type="dxa"/>
            <w:vAlign w:val="center"/>
          </w:tcPr>
          <w:p w14:paraId="3EFD8642" w14:textId="77777777" w:rsidR="00AC64E8" w:rsidRPr="00F4404C" w:rsidRDefault="00AC64E8" w:rsidP="00D84F3A">
            <w:pPr>
              <w:spacing w:line="360" w:lineRule="auto"/>
              <w:ind w:firstLine="0"/>
              <w:rPr>
                <w:rFonts w:ascii="Book Antiqua" w:hAnsi="Book Antiqua" w:cs="Arial"/>
                <w:sz w:val="18"/>
                <w:szCs w:val="18"/>
              </w:rPr>
            </w:pPr>
            <w:r w:rsidRPr="00F4404C">
              <w:rPr>
                <w:rFonts w:ascii="Book Antiqua" w:hAnsi="Book Antiqua"/>
                <w:sz w:val="18"/>
                <w:szCs w:val="18"/>
              </w:rPr>
              <w:t>HTC</w:t>
            </w:r>
          </w:p>
        </w:tc>
        <w:tc>
          <w:tcPr>
            <w:tcW w:w="2886" w:type="dxa"/>
            <w:noWrap/>
          </w:tcPr>
          <w:p w14:paraId="1F147988"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31 (22-42.2)</w:t>
            </w:r>
          </w:p>
        </w:tc>
        <w:tc>
          <w:tcPr>
            <w:tcW w:w="2489" w:type="dxa"/>
            <w:noWrap/>
          </w:tcPr>
          <w:p w14:paraId="6F871664"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27.9 (23.6-36.1)</w:t>
            </w:r>
          </w:p>
        </w:tc>
        <w:tc>
          <w:tcPr>
            <w:tcW w:w="1706" w:type="dxa"/>
            <w:vAlign w:val="center"/>
          </w:tcPr>
          <w:p w14:paraId="2C72FF2D"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0.45</w:t>
            </w:r>
          </w:p>
        </w:tc>
      </w:tr>
      <w:tr w:rsidR="00AC64E8" w:rsidRPr="00BD49E0" w14:paraId="0EB0CC03" w14:textId="77777777" w:rsidTr="003A4709">
        <w:trPr>
          <w:trHeight w:val="282"/>
          <w:jc w:val="center"/>
        </w:trPr>
        <w:tc>
          <w:tcPr>
            <w:tcW w:w="2496" w:type="dxa"/>
            <w:vAlign w:val="center"/>
          </w:tcPr>
          <w:p w14:paraId="679A2EBF" w14:textId="77777777" w:rsidR="00AC64E8" w:rsidRPr="00F4404C" w:rsidRDefault="00AC64E8" w:rsidP="00D84F3A">
            <w:pPr>
              <w:spacing w:line="360" w:lineRule="auto"/>
              <w:ind w:firstLine="0"/>
              <w:rPr>
                <w:rFonts w:ascii="Book Antiqua" w:hAnsi="Book Antiqua" w:cs="Arial"/>
                <w:sz w:val="18"/>
                <w:szCs w:val="18"/>
              </w:rPr>
            </w:pPr>
            <w:r w:rsidRPr="00F4404C">
              <w:rPr>
                <w:rFonts w:ascii="Book Antiqua" w:hAnsi="Book Antiqua"/>
                <w:sz w:val="18"/>
                <w:szCs w:val="18"/>
              </w:rPr>
              <w:t>LENFOSİT</w:t>
            </w:r>
          </w:p>
        </w:tc>
        <w:tc>
          <w:tcPr>
            <w:tcW w:w="2886" w:type="dxa"/>
            <w:noWrap/>
          </w:tcPr>
          <w:p w14:paraId="210036B9"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1060 (240-2800)</w:t>
            </w:r>
          </w:p>
        </w:tc>
        <w:tc>
          <w:tcPr>
            <w:tcW w:w="2489" w:type="dxa"/>
            <w:noWrap/>
          </w:tcPr>
          <w:p w14:paraId="204008D0"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1735 (110-3340)</w:t>
            </w:r>
          </w:p>
        </w:tc>
        <w:tc>
          <w:tcPr>
            <w:tcW w:w="1706" w:type="dxa"/>
            <w:vAlign w:val="center"/>
          </w:tcPr>
          <w:p w14:paraId="539ED07A"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0.97</w:t>
            </w:r>
          </w:p>
        </w:tc>
      </w:tr>
      <w:tr w:rsidR="00AC64E8" w:rsidRPr="00BD49E0" w14:paraId="4C752BAF" w14:textId="77777777" w:rsidTr="003A4709">
        <w:trPr>
          <w:trHeight w:val="282"/>
          <w:jc w:val="center"/>
        </w:trPr>
        <w:tc>
          <w:tcPr>
            <w:tcW w:w="2496" w:type="dxa"/>
            <w:vAlign w:val="center"/>
          </w:tcPr>
          <w:p w14:paraId="2F8F53F3" w14:textId="77777777" w:rsidR="00AC64E8" w:rsidRPr="00F4404C" w:rsidRDefault="00AC64E8" w:rsidP="00D84F3A">
            <w:pPr>
              <w:spacing w:line="360" w:lineRule="auto"/>
              <w:ind w:firstLine="0"/>
              <w:rPr>
                <w:rFonts w:ascii="Book Antiqua" w:hAnsi="Book Antiqua" w:cs="Arial"/>
                <w:sz w:val="18"/>
                <w:szCs w:val="18"/>
              </w:rPr>
            </w:pPr>
            <w:r w:rsidRPr="00F4404C">
              <w:rPr>
                <w:rFonts w:ascii="Book Antiqua" w:hAnsi="Book Antiqua"/>
                <w:sz w:val="18"/>
                <w:szCs w:val="18"/>
              </w:rPr>
              <w:t>NÖTROFİL</w:t>
            </w:r>
          </w:p>
        </w:tc>
        <w:tc>
          <w:tcPr>
            <w:tcW w:w="2886" w:type="dxa"/>
            <w:noWrap/>
          </w:tcPr>
          <w:p w14:paraId="28946859" w14:textId="77777777" w:rsidR="00AC64E8" w:rsidRPr="002869C0" w:rsidRDefault="00AC64E8" w:rsidP="00D84F3A">
            <w:pPr>
              <w:spacing w:line="360" w:lineRule="auto"/>
              <w:ind w:firstLine="0"/>
              <w:rPr>
                <w:rFonts w:ascii="Book Antiqua" w:hAnsi="Book Antiqua"/>
                <w:sz w:val="18"/>
                <w:szCs w:val="18"/>
              </w:rPr>
            </w:pPr>
            <w:r w:rsidRPr="002869C0">
              <w:rPr>
                <w:rFonts w:ascii="Book Antiqua" w:hAnsi="Book Antiqua"/>
                <w:sz w:val="18"/>
                <w:szCs w:val="18"/>
              </w:rPr>
              <w:t>13914 (7790-41900)</w:t>
            </w:r>
          </w:p>
        </w:tc>
        <w:tc>
          <w:tcPr>
            <w:tcW w:w="2489" w:type="dxa"/>
            <w:noWrap/>
          </w:tcPr>
          <w:p w14:paraId="6073D45B" w14:textId="77777777" w:rsidR="00AC64E8" w:rsidRPr="002869C0" w:rsidRDefault="00AC64E8" w:rsidP="00AB2527">
            <w:pPr>
              <w:spacing w:line="360" w:lineRule="auto"/>
              <w:ind w:firstLine="0"/>
              <w:jc w:val="left"/>
              <w:rPr>
                <w:rFonts w:ascii="Book Antiqua" w:hAnsi="Book Antiqua"/>
                <w:sz w:val="18"/>
                <w:szCs w:val="18"/>
              </w:rPr>
            </w:pPr>
            <w:r w:rsidRPr="002869C0">
              <w:rPr>
                <w:rFonts w:ascii="Book Antiqua" w:hAnsi="Book Antiqua"/>
                <w:sz w:val="18"/>
                <w:szCs w:val="18"/>
              </w:rPr>
              <w:t>14250 (1720-47100)</w:t>
            </w:r>
          </w:p>
        </w:tc>
        <w:tc>
          <w:tcPr>
            <w:tcW w:w="1706" w:type="dxa"/>
            <w:vAlign w:val="center"/>
          </w:tcPr>
          <w:p w14:paraId="56A67F79"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0.88</w:t>
            </w:r>
          </w:p>
        </w:tc>
      </w:tr>
      <w:tr w:rsidR="00AC64E8" w:rsidRPr="00BD49E0" w14:paraId="07C43BDA" w14:textId="77777777" w:rsidTr="003A4709">
        <w:trPr>
          <w:trHeight w:val="282"/>
          <w:jc w:val="center"/>
        </w:trPr>
        <w:tc>
          <w:tcPr>
            <w:tcW w:w="2496" w:type="dxa"/>
            <w:vAlign w:val="center"/>
          </w:tcPr>
          <w:p w14:paraId="4619B38A" w14:textId="77777777" w:rsidR="00AC64E8" w:rsidRPr="00F4404C" w:rsidRDefault="00AC64E8" w:rsidP="00D84F3A">
            <w:pPr>
              <w:spacing w:line="360" w:lineRule="auto"/>
              <w:ind w:firstLine="0"/>
              <w:rPr>
                <w:rFonts w:ascii="Book Antiqua" w:hAnsi="Book Antiqua" w:cs="Arial"/>
                <w:sz w:val="18"/>
                <w:szCs w:val="18"/>
              </w:rPr>
            </w:pPr>
            <w:r w:rsidRPr="00F4404C">
              <w:rPr>
                <w:rFonts w:ascii="Book Antiqua" w:hAnsi="Book Antiqua"/>
                <w:sz w:val="18"/>
                <w:szCs w:val="18"/>
              </w:rPr>
              <w:t>PLT</w:t>
            </w:r>
            <w:r w:rsidRPr="00F4404C">
              <w:rPr>
                <w:rFonts w:ascii="Book Antiqua" w:hAnsi="Book Antiqua"/>
                <w:sz w:val="18"/>
                <w:szCs w:val="18"/>
              </w:rPr>
              <w:tab/>
            </w:r>
          </w:p>
        </w:tc>
        <w:tc>
          <w:tcPr>
            <w:tcW w:w="2886" w:type="dxa"/>
            <w:noWrap/>
          </w:tcPr>
          <w:p w14:paraId="63097C3D"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65500 (25000-260000)</w:t>
            </w:r>
          </w:p>
        </w:tc>
        <w:tc>
          <w:tcPr>
            <w:tcW w:w="2489" w:type="dxa"/>
            <w:noWrap/>
          </w:tcPr>
          <w:p w14:paraId="7DF01875"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103000 (22000-277000)</w:t>
            </w:r>
          </w:p>
        </w:tc>
        <w:tc>
          <w:tcPr>
            <w:tcW w:w="1706" w:type="dxa"/>
            <w:vAlign w:val="center"/>
          </w:tcPr>
          <w:p w14:paraId="7EE73AB5"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0.49</w:t>
            </w:r>
          </w:p>
        </w:tc>
      </w:tr>
      <w:tr w:rsidR="00AC64E8" w:rsidRPr="00BD49E0" w14:paraId="278F77D8" w14:textId="77777777" w:rsidTr="003A4709">
        <w:trPr>
          <w:trHeight w:val="282"/>
          <w:jc w:val="center"/>
        </w:trPr>
        <w:tc>
          <w:tcPr>
            <w:tcW w:w="2496" w:type="dxa"/>
            <w:vAlign w:val="center"/>
          </w:tcPr>
          <w:p w14:paraId="0E38C4AF" w14:textId="77777777" w:rsidR="00AC64E8" w:rsidRPr="00F4404C" w:rsidRDefault="00AC64E8" w:rsidP="00D84F3A">
            <w:pPr>
              <w:spacing w:line="360" w:lineRule="auto"/>
              <w:ind w:firstLine="0"/>
              <w:rPr>
                <w:rFonts w:ascii="Book Antiqua" w:hAnsi="Book Antiqua" w:cs="Arial"/>
                <w:sz w:val="18"/>
                <w:szCs w:val="18"/>
              </w:rPr>
            </w:pPr>
            <w:r w:rsidRPr="00F4404C">
              <w:rPr>
                <w:rFonts w:ascii="Book Antiqua" w:hAnsi="Book Antiqua"/>
                <w:sz w:val="18"/>
                <w:szCs w:val="18"/>
              </w:rPr>
              <w:t>INR</w:t>
            </w:r>
          </w:p>
        </w:tc>
        <w:tc>
          <w:tcPr>
            <w:tcW w:w="2886" w:type="dxa"/>
            <w:noWrap/>
          </w:tcPr>
          <w:p w14:paraId="32DE20AD"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1.4 (1-2.9)</w:t>
            </w:r>
          </w:p>
        </w:tc>
        <w:tc>
          <w:tcPr>
            <w:tcW w:w="2489" w:type="dxa"/>
            <w:noWrap/>
          </w:tcPr>
          <w:p w14:paraId="0E98620B"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1.2 (1-1.9)</w:t>
            </w:r>
          </w:p>
        </w:tc>
        <w:tc>
          <w:tcPr>
            <w:tcW w:w="1706" w:type="dxa"/>
            <w:vAlign w:val="center"/>
          </w:tcPr>
          <w:p w14:paraId="06F607A2"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0.24</w:t>
            </w:r>
          </w:p>
        </w:tc>
      </w:tr>
      <w:tr w:rsidR="00AC64E8" w:rsidRPr="00BD49E0" w14:paraId="6E55089C" w14:textId="77777777" w:rsidTr="003A4709">
        <w:trPr>
          <w:trHeight w:val="282"/>
          <w:jc w:val="center"/>
        </w:trPr>
        <w:tc>
          <w:tcPr>
            <w:tcW w:w="2496" w:type="dxa"/>
            <w:vAlign w:val="center"/>
          </w:tcPr>
          <w:p w14:paraId="45F55077" w14:textId="77777777" w:rsidR="00AC64E8" w:rsidRPr="00F4404C" w:rsidRDefault="00AC64E8" w:rsidP="00D84F3A">
            <w:pPr>
              <w:spacing w:line="360" w:lineRule="auto"/>
              <w:ind w:firstLine="0"/>
              <w:rPr>
                <w:rFonts w:ascii="Book Antiqua" w:hAnsi="Book Antiqua" w:cs="Arial"/>
                <w:sz w:val="18"/>
                <w:szCs w:val="18"/>
              </w:rPr>
            </w:pPr>
            <w:r w:rsidRPr="00F4404C">
              <w:rPr>
                <w:rFonts w:ascii="Book Antiqua" w:hAnsi="Book Antiqua"/>
                <w:sz w:val="18"/>
                <w:szCs w:val="18"/>
              </w:rPr>
              <w:t>PTZ</w:t>
            </w:r>
          </w:p>
        </w:tc>
        <w:tc>
          <w:tcPr>
            <w:tcW w:w="2886" w:type="dxa"/>
            <w:noWrap/>
          </w:tcPr>
          <w:p w14:paraId="6F1CCB81"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17 (12.6-33.6)</w:t>
            </w:r>
          </w:p>
        </w:tc>
        <w:tc>
          <w:tcPr>
            <w:tcW w:w="2489" w:type="dxa"/>
            <w:noWrap/>
          </w:tcPr>
          <w:p w14:paraId="3EB811BE"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15.9 (12.2-45.1)</w:t>
            </w:r>
          </w:p>
        </w:tc>
        <w:tc>
          <w:tcPr>
            <w:tcW w:w="1706" w:type="dxa"/>
            <w:vAlign w:val="center"/>
          </w:tcPr>
          <w:p w14:paraId="368D85DC"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0.61</w:t>
            </w:r>
          </w:p>
        </w:tc>
      </w:tr>
      <w:tr w:rsidR="00AC64E8" w:rsidRPr="00BD49E0" w14:paraId="7B217162" w14:textId="77777777" w:rsidTr="003A4709">
        <w:trPr>
          <w:trHeight w:val="282"/>
          <w:jc w:val="center"/>
        </w:trPr>
        <w:tc>
          <w:tcPr>
            <w:tcW w:w="2496" w:type="dxa"/>
            <w:vAlign w:val="center"/>
          </w:tcPr>
          <w:p w14:paraId="4F3831A5" w14:textId="61F5EE14" w:rsidR="00AC64E8" w:rsidRPr="00F4404C" w:rsidRDefault="00CE1309" w:rsidP="00D84F3A">
            <w:pPr>
              <w:spacing w:line="360" w:lineRule="auto"/>
              <w:ind w:firstLine="0"/>
              <w:rPr>
                <w:rFonts w:ascii="Book Antiqua" w:hAnsi="Book Antiqua" w:cs="Arial"/>
                <w:sz w:val="18"/>
                <w:szCs w:val="18"/>
              </w:rPr>
            </w:pPr>
            <w:r>
              <w:rPr>
                <w:rFonts w:ascii="Book Antiqua" w:hAnsi="Book Antiqua"/>
                <w:sz w:val="18"/>
                <w:szCs w:val="18"/>
              </w:rPr>
              <w:t>a</w:t>
            </w:r>
            <w:r w:rsidR="00EE69CB">
              <w:rPr>
                <w:rFonts w:ascii="Book Antiqua" w:hAnsi="Book Antiqua"/>
                <w:sz w:val="18"/>
                <w:szCs w:val="18"/>
              </w:rPr>
              <w:t>PTT</w:t>
            </w:r>
          </w:p>
        </w:tc>
        <w:tc>
          <w:tcPr>
            <w:tcW w:w="2886" w:type="dxa"/>
            <w:noWrap/>
          </w:tcPr>
          <w:p w14:paraId="39D57337"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25.9 (21.6-33)</w:t>
            </w:r>
          </w:p>
        </w:tc>
        <w:tc>
          <w:tcPr>
            <w:tcW w:w="2489" w:type="dxa"/>
            <w:noWrap/>
          </w:tcPr>
          <w:p w14:paraId="4CB1CA83"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24.5 (19-60.3)</w:t>
            </w:r>
          </w:p>
        </w:tc>
        <w:tc>
          <w:tcPr>
            <w:tcW w:w="1706" w:type="dxa"/>
            <w:vAlign w:val="center"/>
          </w:tcPr>
          <w:p w14:paraId="5BB2F302"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0.83</w:t>
            </w:r>
          </w:p>
        </w:tc>
      </w:tr>
      <w:tr w:rsidR="00AC64E8" w:rsidRPr="00BD49E0" w14:paraId="20FE84AD" w14:textId="77777777" w:rsidTr="003A4709">
        <w:trPr>
          <w:trHeight w:val="282"/>
          <w:jc w:val="center"/>
        </w:trPr>
        <w:tc>
          <w:tcPr>
            <w:tcW w:w="2496" w:type="dxa"/>
            <w:vAlign w:val="center"/>
          </w:tcPr>
          <w:p w14:paraId="4D07BEC0" w14:textId="77777777" w:rsidR="00AC64E8" w:rsidRPr="00F4404C" w:rsidRDefault="00AC64E8" w:rsidP="00D84F3A">
            <w:pPr>
              <w:spacing w:line="360" w:lineRule="auto"/>
              <w:ind w:firstLine="0"/>
              <w:rPr>
                <w:rFonts w:ascii="Book Antiqua" w:hAnsi="Book Antiqua" w:cs="Arial"/>
                <w:sz w:val="18"/>
                <w:szCs w:val="18"/>
              </w:rPr>
            </w:pPr>
            <w:r w:rsidRPr="00F4404C">
              <w:rPr>
                <w:rFonts w:ascii="Book Antiqua" w:hAnsi="Book Antiqua"/>
                <w:sz w:val="18"/>
                <w:szCs w:val="18"/>
              </w:rPr>
              <w:t>FİBRİNOJEN</w:t>
            </w:r>
            <w:r w:rsidRPr="00F4404C">
              <w:rPr>
                <w:rFonts w:ascii="Book Antiqua" w:hAnsi="Book Antiqua"/>
                <w:sz w:val="18"/>
                <w:szCs w:val="18"/>
              </w:rPr>
              <w:tab/>
            </w:r>
          </w:p>
        </w:tc>
        <w:tc>
          <w:tcPr>
            <w:tcW w:w="2886" w:type="dxa"/>
            <w:noWrap/>
          </w:tcPr>
          <w:p w14:paraId="3D2DB939"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196.5 (50.2-285)</w:t>
            </w:r>
          </w:p>
        </w:tc>
        <w:tc>
          <w:tcPr>
            <w:tcW w:w="2489" w:type="dxa"/>
            <w:noWrap/>
          </w:tcPr>
          <w:p w14:paraId="1E2781A5"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174.5 (80-330)</w:t>
            </w:r>
          </w:p>
        </w:tc>
        <w:tc>
          <w:tcPr>
            <w:tcW w:w="1706" w:type="dxa"/>
            <w:vAlign w:val="center"/>
          </w:tcPr>
          <w:p w14:paraId="6CA56AC9"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0.65</w:t>
            </w:r>
          </w:p>
        </w:tc>
      </w:tr>
      <w:tr w:rsidR="00AC64E8" w:rsidRPr="00BD49E0" w14:paraId="424B453D" w14:textId="77777777" w:rsidTr="003A4709">
        <w:trPr>
          <w:trHeight w:val="282"/>
          <w:jc w:val="center"/>
        </w:trPr>
        <w:tc>
          <w:tcPr>
            <w:tcW w:w="2496" w:type="dxa"/>
            <w:vAlign w:val="center"/>
          </w:tcPr>
          <w:p w14:paraId="5F34AACD" w14:textId="77777777" w:rsidR="00AC64E8" w:rsidRPr="00F4404C" w:rsidRDefault="00AC64E8" w:rsidP="00D84F3A">
            <w:pPr>
              <w:spacing w:line="360" w:lineRule="auto"/>
              <w:ind w:firstLine="0"/>
              <w:rPr>
                <w:rFonts w:ascii="Book Antiqua" w:hAnsi="Book Antiqua"/>
                <w:sz w:val="18"/>
                <w:szCs w:val="18"/>
              </w:rPr>
            </w:pPr>
            <w:r w:rsidRPr="00F4404C">
              <w:rPr>
                <w:rFonts w:ascii="Book Antiqua" w:hAnsi="Book Antiqua"/>
                <w:sz w:val="18"/>
                <w:szCs w:val="18"/>
              </w:rPr>
              <w:t>CRP</w:t>
            </w:r>
          </w:p>
        </w:tc>
        <w:tc>
          <w:tcPr>
            <w:tcW w:w="2886" w:type="dxa"/>
            <w:noWrap/>
          </w:tcPr>
          <w:p w14:paraId="02895F08"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5.9 (0.32-14.8)</w:t>
            </w:r>
          </w:p>
        </w:tc>
        <w:tc>
          <w:tcPr>
            <w:tcW w:w="2489" w:type="dxa"/>
            <w:noWrap/>
          </w:tcPr>
          <w:p w14:paraId="6B0F603D"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7.7 (2-20.7)</w:t>
            </w:r>
          </w:p>
        </w:tc>
        <w:tc>
          <w:tcPr>
            <w:tcW w:w="1706" w:type="dxa"/>
            <w:vAlign w:val="center"/>
          </w:tcPr>
          <w:p w14:paraId="47EBF60E"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0.38</w:t>
            </w:r>
          </w:p>
        </w:tc>
      </w:tr>
      <w:tr w:rsidR="00AC64E8" w:rsidRPr="00BD49E0" w14:paraId="1C492703" w14:textId="77777777" w:rsidTr="003A4709">
        <w:trPr>
          <w:trHeight w:val="282"/>
          <w:jc w:val="center"/>
        </w:trPr>
        <w:tc>
          <w:tcPr>
            <w:tcW w:w="2496" w:type="dxa"/>
            <w:vAlign w:val="center"/>
          </w:tcPr>
          <w:p w14:paraId="5CABF9F1" w14:textId="77777777" w:rsidR="00AC64E8" w:rsidRPr="00F4404C" w:rsidRDefault="00AC64E8" w:rsidP="00D84F3A">
            <w:pPr>
              <w:spacing w:line="360" w:lineRule="auto"/>
              <w:ind w:firstLine="0"/>
              <w:rPr>
                <w:rFonts w:ascii="Book Antiqua" w:hAnsi="Book Antiqua"/>
                <w:sz w:val="18"/>
                <w:szCs w:val="18"/>
              </w:rPr>
            </w:pPr>
            <w:r w:rsidRPr="00F4404C">
              <w:rPr>
                <w:rFonts w:ascii="Book Antiqua" w:hAnsi="Book Antiqua"/>
                <w:sz w:val="18"/>
                <w:szCs w:val="18"/>
              </w:rPr>
              <w:t>PROKALSİTONİN</w:t>
            </w:r>
          </w:p>
        </w:tc>
        <w:tc>
          <w:tcPr>
            <w:tcW w:w="2886" w:type="dxa"/>
            <w:noWrap/>
          </w:tcPr>
          <w:p w14:paraId="4CA08903"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2.3 (0.43-8.45)</w:t>
            </w:r>
          </w:p>
        </w:tc>
        <w:tc>
          <w:tcPr>
            <w:tcW w:w="2489" w:type="dxa"/>
            <w:noWrap/>
          </w:tcPr>
          <w:p w14:paraId="45B51899"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3.1 (0.18-47.9)</w:t>
            </w:r>
          </w:p>
        </w:tc>
        <w:tc>
          <w:tcPr>
            <w:tcW w:w="1706" w:type="dxa"/>
            <w:vAlign w:val="center"/>
          </w:tcPr>
          <w:p w14:paraId="4F7D7D9F"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0.65</w:t>
            </w:r>
          </w:p>
        </w:tc>
      </w:tr>
      <w:tr w:rsidR="00AC64E8" w:rsidRPr="00BD49E0" w14:paraId="1FC63616" w14:textId="77777777" w:rsidTr="003A4709">
        <w:trPr>
          <w:trHeight w:val="282"/>
          <w:jc w:val="center"/>
        </w:trPr>
        <w:tc>
          <w:tcPr>
            <w:tcW w:w="2496" w:type="dxa"/>
            <w:vAlign w:val="center"/>
          </w:tcPr>
          <w:p w14:paraId="3D6A674C" w14:textId="77777777" w:rsidR="00AC64E8" w:rsidRPr="00F4404C" w:rsidRDefault="00AC64E8" w:rsidP="00D84F3A">
            <w:pPr>
              <w:spacing w:line="360" w:lineRule="auto"/>
              <w:ind w:firstLine="0"/>
              <w:rPr>
                <w:rFonts w:ascii="Book Antiqua" w:hAnsi="Book Antiqua"/>
                <w:sz w:val="18"/>
                <w:szCs w:val="18"/>
              </w:rPr>
            </w:pPr>
            <w:r w:rsidRPr="00F4404C">
              <w:rPr>
                <w:rFonts w:ascii="Book Antiqua" w:hAnsi="Book Antiqua"/>
                <w:sz w:val="18"/>
                <w:szCs w:val="18"/>
              </w:rPr>
              <w:t>ALBUMİN</w:t>
            </w:r>
          </w:p>
        </w:tc>
        <w:tc>
          <w:tcPr>
            <w:tcW w:w="2886" w:type="dxa"/>
            <w:noWrap/>
          </w:tcPr>
          <w:p w14:paraId="360993D8"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2.6 (2.1-3.6)</w:t>
            </w:r>
          </w:p>
        </w:tc>
        <w:tc>
          <w:tcPr>
            <w:tcW w:w="2489" w:type="dxa"/>
            <w:noWrap/>
          </w:tcPr>
          <w:p w14:paraId="28799904"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2.7 (2.2-3.5)</w:t>
            </w:r>
          </w:p>
        </w:tc>
        <w:tc>
          <w:tcPr>
            <w:tcW w:w="1706" w:type="dxa"/>
            <w:vAlign w:val="center"/>
          </w:tcPr>
          <w:p w14:paraId="5BEFF63C"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0.49</w:t>
            </w:r>
          </w:p>
        </w:tc>
      </w:tr>
      <w:tr w:rsidR="00AC64E8" w:rsidRPr="00BD49E0" w14:paraId="616EE258" w14:textId="77777777" w:rsidTr="003A4709">
        <w:trPr>
          <w:trHeight w:val="282"/>
          <w:jc w:val="center"/>
        </w:trPr>
        <w:tc>
          <w:tcPr>
            <w:tcW w:w="2496" w:type="dxa"/>
            <w:vAlign w:val="center"/>
          </w:tcPr>
          <w:p w14:paraId="1215BF1D" w14:textId="77777777" w:rsidR="00AC64E8" w:rsidRPr="00F4404C" w:rsidRDefault="00AC64E8" w:rsidP="00D84F3A">
            <w:pPr>
              <w:spacing w:line="360" w:lineRule="auto"/>
              <w:ind w:firstLine="0"/>
              <w:rPr>
                <w:rFonts w:ascii="Book Antiqua" w:hAnsi="Book Antiqua"/>
                <w:sz w:val="18"/>
                <w:szCs w:val="18"/>
              </w:rPr>
            </w:pPr>
            <w:r w:rsidRPr="00F4404C">
              <w:rPr>
                <w:rFonts w:ascii="Book Antiqua" w:hAnsi="Book Antiqua"/>
                <w:sz w:val="18"/>
                <w:szCs w:val="18"/>
              </w:rPr>
              <w:t>TBİLİRUBİN</w:t>
            </w:r>
            <w:r w:rsidRPr="00F4404C">
              <w:rPr>
                <w:rFonts w:ascii="Book Antiqua" w:hAnsi="Book Antiqua"/>
                <w:sz w:val="18"/>
                <w:szCs w:val="18"/>
              </w:rPr>
              <w:tab/>
            </w:r>
          </w:p>
        </w:tc>
        <w:tc>
          <w:tcPr>
            <w:tcW w:w="2886" w:type="dxa"/>
            <w:noWrap/>
          </w:tcPr>
          <w:p w14:paraId="67517C32"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10.5 (4.8-20.9)</w:t>
            </w:r>
          </w:p>
        </w:tc>
        <w:tc>
          <w:tcPr>
            <w:tcW w:w="2489" w:type="dxa"/>
            <w:noWrap/>
          </w:tcPr>
          <w:p w14:paraId="3C168100"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3.6 (1.3-31.6)</w:t>
            </w:r>
          </w:p>
        </w:tc>
        <w:tc>
          <w:tcPr>
            <w:tcW w:w="1706" w:type="dxa"/>
            <w:vAlign w:val="center"/>
          </w:tcPr>
          <w:p w14:paraId="465FB9FC"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0.19</w:t>
            </w:r>
          </w:p>
        </w:tc>
      </w:tr>
      <w:tr w:rsidR="00AC64E8" w:rsidRPr="00BD49E0" w14:paraId="2F61ED83" w14:textId="77777777" w:rsidTr="003A4709">
        <w:trPr>
          <w:trHeight w:val="282"/>
          <w:jc w:val="center"/>
        </w:trPr>
        <w:tc>
          <w:tcPr>
            <w:tcW w:w="2496" w:type="dxa"/>
            <w:vAlign w:val="center"/>
          </w:tcPr>
          <w:p w14:paraId="75EE3616" w14:textId="77777777" w:rsidR="00AC64E8" w:rsidRPr="00F4404C" w:rsidRDefault="00AC64E8" w:rsidP="00D84F3A">
            <w:pPr>
              <w:spacing w:line="360" w:lineRule="auto"/>
              <w:ind w:firstLine="0"/>
              <w:rPr>
                <w:rFonts w:ascii="Book Antiqua" w:hAnsi="Book Antiqua"/>
                <w:sz w:val="18"/>
                <w:szCs w:val="18"/>
              </w:rPr>
            </w:pPr>
            <w:r w:rsidRPr="00F4404C">
              <w:rPr>
                <w:rFonts w:ascii="Book Antiqua" w:hAnsi="Book Antiqua"/>
                <w:sz w:val="18"/>
                <w:szCs w:val="18"/>
              </w:rPr>
              <w:t>DBİLİRUBİN</w:t>
            </w:r>
          </w:p>
        </w:tc>
        <w:tc>
          <w:tcPr>
            <w:tcW w:w="2886" w:type="dxa"/>
            <w:noWrap/>
          </w:tcPr>
          <w:p w14:paraId="4E9DEE51"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6.7 (3.4-12.2)</w:t>
            </w:r>
          </w:p>
        </w:tc>
        <w:tc>
          <w:tcPr>
            <w:tcW w:w="2489" w:type="dxa"/>
            <w:noWrap/>
          </w:tcPr>
          <w:p w14:paraId="1BCC6AE0"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2.4 (0.66-21.4)</w:t>
            </w:r>
          </w:p>
        </w:tc>
        <w:tc>
          <w:tcPr>
            <w:tcW w:w="1706" w:type="dxa"/>
            <w:vAlign w:val="center"/>
          </w:tcPr>
          <w:p w14:paraId="0C2CD7DD"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0.29</w:t>
            </w:r>
          </w:p>
        </w:tc>
      </w:tr>
      <w:tr w:rsidR="00AC64E8" w:rsidRPr="00BD49E0" w14:paraId="686BF698" w14:textId="77777777" w:rsidTr="003A4709">
        <w:trPr>
          <w:trHeight w:val="282"/>
          <w:jc w:val="center"/>
        </w:trPr>
        <w:tc>
          <w:tcPr>
            <w:tcW w:w="2496" w:type="dxa"/>
            <w:vAlign w:val="center"/>
          </w:tcPr>
          <w:p w14:paraId="5AE18538" w14:textId="77777777" w:rsidR="00AC64E8" w:rsidRPr="00F4404C" w:rsidRDefault="00AC64E8" w:rsidP="00D84F3A">
            <w:pPr>
              <w:spacing w:line="360" w:lineRule="auto"/>
              <w:ind w:firstLine="0"/>
              <w:rPr>
                <w:rFonts w:ascii="Book Antiqua" w:hAnsi="Book Antiqua"/>
                <w:sz w:val="18"/>
                <w:szCs w:val="18"/>
              </w:rPr>
            </w:pPr>
            <w:r w:rsidRPr="00F4404C">
              <w:rPr>
                <w:rFonts w:ascii="Book Antiqua" w:hAnsi="Book Antiqua"/>
                <w:sz w:val="18"/>
                <w:szCs w:val="18"/>
              </w:rPr>
              <w:t>ALP</w:t>
            </w:r>
          </w:p>
        </w:tc>
        <w:tc>
          <w:tcPr>
            <w:tcW w:w="2886" w:type="dxa"/>
            <w:noWrap/>
          </w:tcPr>
          <w:p w14:paraId="18C08BE3"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141 (67-413)</w:t>
            </w:r>
          </w:p>
        </w:tc>
        <w:tc>
          <w:tcPr>
            <w:tcW w:w="2489" w:type="dxa"/>
            <w:noWrap/>
          </w:tcPr>
          <w:p w14:paraId="2DC35570"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126.5 (58-556)</w:t>
            </w:r>
          </w:p>
        </w:tc>
        <w:tc>
          <w:tcPr>
            <w:tcW w:w="1706" w:type="dxa"/>
            <w:vAlign w:val="center"/>
          </w:tcPr>
          <w:p w14:paraId="39B17896"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0.92</w:t>
            </w:r>
          </w:p>
        </w:tc>
      </w:tr>
      <w:tr w:rsidR="00AC64E8" w:rsidRPr="00BD49E0" w14:paraId="40540844" w14:textId="77777777" w:rsidTr="003A4709">
        <w:trPr>
          <w:trHeight w:val="282"/>
          <w:jc w:val="center"/>
        </w:trPr>
        <w:tc>
          <w:tcPr>
            <w:tcW w:w="2496" w:type="dxa"/>
            <w:vAlign w:val="center"/>
          </w:tcPr>
          <w:p w14:paraId="10E018D6" w14:textId="77777777" w:rsidR="00AC64E8" w:rsidRPr="00F4404C" w:rsidRDefault="00AC64E8" w:rsidP="00D84F3A">
            <w:pPr>
              <w:spacing w:line="360" w:lineRule="auto"/>
              <w:ind w:firstLine="0"/>
              <w:rPr>
                <w:rFonts w:ascii="Book Antiqua" w:hAnsi="Book Antiqua"/>
                <w:sz w:val="18"/>
                <w:szCs w:val="18"/>
              </w:rPr>
            </w:pPr>
            <w:r w:rsidRPr="00F4404C">
              <w:rPr>
                <w:rFonts w:ascii="Book Antiqua" w:hAnsi="Book Antiqua"/>
                <w:sz w:val="18"/>
                <w:szCs w:val="18"/>
              </w:rPr>
              <w:t>GGT</w:t>
            </w:r>
          </w:p>
        </w:tc>
        <w:tc>
          <w:tcPr>
            <w:tcW w:w="2886" w:type="dxa"/>
            <w:noWrap/>
          </w:tcPr>
          <w:p w14:paraId="002587A3"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139 (17-830)</w:t>
            </w:r>
          </w:p>
        </w:tc>
        <w:tc>
          <w:tcPr>
            <w:tcW w:w="2489" w:type="dxa"/>
            <w:noWrap/>
          </w:tcPr>
          <w:p w14:paraId="3AD12D0A"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111 (34-1011)</w:t>
            </w:r>
          </w:p>
        </w:tc>
        <w:tc>
          <w:tcPr>
            <w:tcW w:w="1706" w:type="dxa"/>
            <w:vAlign w:val="center"/>
          </w:tcPr>
          <w:p w14:paraId="05B9B4A6"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0.92</w:t>
            </w:r>
          </w:p>
        </w:tc>
      </w:tr>
      <w:tr w:rsidR="00AC64E8" w:rsidRPr="00BD49E0" w14:paraId="6D272277" w14:textId="77777777" w:rsidTr="003A4709">
        <w:trPr>
          <w:trHeight w:val="282"/>
          <w:jc w:val="center"/>
        </w:trPr>
        <w:tc>
          <w:tcPr>
            <w:tcW w:w="2496" w:type="dxa"/>
            <w:vAlign w:val="center"/>
          </w:tcPr>
          <w:p w14:paraId="72CDE8E0" w14:textId="77777777" w:rsidR="00AC64E8" w:rsidRPr="00F4404C" w:rsidRDefault="00AC64E8" w:rsidP="00D84F3A">
            <w:pPr>
              <w:spacing w:line="360" w:lineRule="auto"/>
              <w:ind w:firstLine="0"/>
              <w:rPr>
                <w:rFonts w:ascii="Book Antiqua" w:hAnsi="Book Antiqua"/>
                <w:sz w:val="18"/>
                <w:szCs w:val="18"/>
              </w:rPr>
            </w:pPr>
            <w:r w:rsidRPr="00F4404C">
              <w:rPr>
                <w:rFonts w:ascii="Book Antiqua" w:hAnsi="Book Antiqua"/>
                <w:sz w:val="18"/>
                <w:szCs w:val="18"/>
              </w:rPr>
              <w:t>LDH</w:t>
            </w:r>
          </w:p>
        </w:tc>
        <w:tc>
          <w:tcPr>
            <w:tcW w:w="2886" w:type="dxa"/>
            <w:noWrap/>
          </w:tcPr>
          <w:p w14:paraId="606BC0D9"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416 (218-8044)</w:t>
            </w:r>
          </w:p>
        </w:tc>
        <w:tc>
          <w:tcPr>
            <w:tcW w:w="2489" w:type="dxa"/>
            <w:noWrap/>
          </w:tcPr>
          <w:p w14:paraId="20D23F31"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364.5 (168-2218)</w:t>
            </w:r>
          </w:p>
        </w:tc>
        <w:tc>
          <w:tcPr>
            <w:tcW w:w="1706" w:type="dxa"/>
            <w:vAlign w:val="center"/>
          </w:tcPr>
          <w:p w14:paraId="3CCF0608"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0.38</w:t>
            </w:r>
          </w:p>
        </w:tc>
      </w:tr>
      <w:tr w:rsidR="00AC64E8" w:rsidRPr="00BD49E0" w14:paraId="0BD54E4B" w14:textId="77777777" w:rsidTr="003A4709">
        <w:trPr>
          <w:trHeight w:val="282"/>
          <w:jc w:val="center"/>
        </w:trPr>
        <w:tc>
          <w:tcPr>
            <w:tcW w:w="2496" w:type="dxa"/>
            <w:vAlign w:val="center"/>
          </w:tcPr>
          <w:p w14:paraId="11622CF7" w14:textId="77777777" w:rsidR="00AC64E8" w:rsidRPr="00F4404C" w:rsidRDefault="00AC64E8" w:rsidP="00D84F3A">
            <w:pPr>
              <w:spacing w:line="360" w:lineRule="auto"/>
              <w:ind w:firstLine="0"/>
              <w:rPr>
                <w:rFonts w:ascii="Book Antiqua" w:hAnsi="Book Antiqua"/>
                <w:sz w:val="18"/>
                <w:szCs w:val="18"/>
              </w:rPr>
            </w:pPr>
            <w:r w:rsidRPr="00F4404C">
              <w:rPr>
                <w:rFonts w:ascii="Book Antiqua" w:hAnsi="Book Antiqua"/>
                <w:sz w:val="18"/>
                <w:szCs w:val="18"/>
              </w:rPr>
              <w:t>AMONYAK</w:t>
            </w:r>
          </w:p>
        </w:tc>
        <w:tc>
          <w:tcPr>
            <w:tcW w:w="2886" w:type="dxa"/>
            <w:noWrap/>
          </w:tcPr>
          <w:p w14:paraId="7E63AB69"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109.5 (60-432)</w:t>
            </w:r>
          </w:p>
        </w:tc>
        <w:tc>
          <w:tcPr>
            <w:tcW w:w="2489" w:type="dxa"/>
            <w:noWrap/>
          </w:tcPr>
          <w:p w14:paraId="50B3D760"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72 (39-1353)</w:t>
            </w:r>
          </w:p>
        </w:tc>
        <w:tc>
          <w:tcPr>
            <w:tcW w:w="1706" w:type="dxa"/>
            <w:vAlign w:val="center"/>
          </w:tcPr>
          <w:p w14:paraId="1E5A5E03"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0.081</w:t>
            </w:r>
          </w:p>
        </w:tc>
      </w:tr>
      <w:tr w:rsidR="00AC64E8" w:rsidRPr="00BD49E0" w14:paraId="52CF35F6" w14:textId="77777777" w:rsidTr="003A4709">
        <w:trPr>
          <w:trHeight w:val="282"/>
          <w:jc w:val="center"/>
        </w:trPr>
        <w:tc>
          <w:tcPr>
            <w:tcW w:w="2496" w:type="dxa"/>
            <w:vAlign w:val="center"/>
          </w:tcPr>
          <w:p w14:paraId="11294560" w14:textId="77777777" w:rsidR="00AC64E8" w:rsidRPr="00F4404C" w:rsidRDefault="00AC64E8" w:rsidP="00D84F3A">
            <w:pPr>
              <w:spacing w:line="360" w:lineRule="auto"/>
              <w:ind w:firstLine="0"/>
              <w:rPr>
                <w:rFonts w:ascii="Book Antiqua" w:hAnsi="Book Antiqua"/>
                <w:sz w:val="18"/>
                <w:szCs w:val="18"/>
              </w:rPr>
            </w:pPr>
            <w:r w:rsidRPr="00F4404C">
              <w:rPr>
                <w:rFonts w:ascii="Book Antiqua" w:hAnsi="Book Antiqua"/>
                <w:sz w:val="18"/>
                <w:szCs w:val="18"/>
              </w:rPr>
              <w:t>LAKTAT</w:t>
            </w:r>
          </w:p>
        </w:tc>
        <w:tc>
          <w:tcPr>
            <w:tcW w:w="2886" w:type="dxa"/>
            <w:noWrap/>
          </w:tcPr>
          <w:p w14:paraId="77573B34" w14:textId="77777777" w:rsidR="00AC64E8" w:rsidRPr="00F4404C" w:rsidRDefault="00AC64E8" w:rsidP="00D84F3A">
            <w:pPr>
              <w:spacing w:line="360" w:lineRule="auto"/>
              <w:ind w:firstLine="0"/>
              <w:rPr>
                <w:rFonts w:ascii="Book Antiqua" w:hAnsi="Book Antiqua"/>
                <w:sz w:val="18"/>
                <w:szCs w:val="18"/>
              </w:rPr>
            </w:pPr>
            <w:r>
              <w:rPr>
                <w:rFonts w:ascii="Book Antiqua" w:hAnsi="Book Antiqua"/>
                <w:sz w:val="18"/>
                <w:szCs w:val="18"/>
              </w:rPr>
              <w:t>2.3 (1.5-5.6)</w:t>
            </w:r>
          </w:p>
        </w:tc>
        <w:tc>
          <w:tcPr>
            <w:tcW w:w="2489" w:type="dxa"/>
            <w:noWrap/>
          </w:tcPr>
          <w:p w14:paraId="68873718" w14:textId="77777777" w:rsidR="00AC64E8" w:rsidRPr="00F4404C" w:rsidRDefault="00AC64E8" w:rsidP="00AB2527">
            <w:pPr>
              <w:spacing w:line="360" w:lineRule="auto"/>
              <w:ind w:firstLine="0"/>
              <w:jc w:val="left"/>
              <w:rPr>
                <w:rFonts w:ascii="Book Antiqua" w:hAnsi="Book Antiqua"/>
                <w:sz w:val="18"/>
                <w:szCs w:val="18"/>
              </w:rPr>
            </w:pPr>
            <w:r>
              <w:rPr>
                <w:rFonts w:ascii="Book Antiqua" w:hAnsi="Book Antiqua"/>
                <w:sz w:val="18"/>
                <w:szCs w:val="18"/>
              </w:rPr>
              <w:t>1.9 (0.7-10.2)</w:t>
            </w:r>
          </w:p>
        </w:tc>
        <w:tc>
          <w:tcPr>
            <w:tcW w:w="1706" w:type="dxa"/>
            <w:vAlign w:val="center"/>
          </w:tcPr>
          <w:p w14:paraId="265981A4" w14:textId="77777777" w:rsidR="00AC64E8" w:rsidRPr="00F4404C" w:rsidRDefault="00AC64E8" w:rsidP="00AB2527">
            <w:pPr>
              <w:spacing w:line="360" w:lineRule="auto"/>
              <w:ind w:right="360" w:firstLine="0"/>
              <w:jc w:val="center"/>
              <w:rPr>
                <w:rFonts w:ascii="Book Antiqua" w:eastAsia="Times New Roman" w:hAnsi="Book Antiqua" w:cs="Arial"/>
                <w:sz w:val="18"/>
                <w:szCs w:val="18"/>
              </w:rPr>
            </w:pPr>
            <w:r>
              <w:rPr>
                <w:rFonts w:ascii="Book Antiqua" w:eastAsia="Times New Roman" w:hAnsi="Book Antiqua" w:cs="Arial"/>
                <w:sz w:val="18"/>
                <w:szCs w:val="18"/>
              </w:rPr>
              <w:t>0.41</w:t>
            </w:r>
          </w:p>
        </w:tc>
      </w:tr>
    </w:tbl>
    <w:p w14:paraId="5988C8D9" w14:textId="366E6825" w:rsidR="00DE74F9" w:rsidRDefault="00DE74F9" w:rsidP="00DE74F9"/>
    <w:p w14:paraId="2C83BB3A" w14:textId="52F13422" w:rsidR="00DE74F9" w:rsidRPr="00A50867" w:rsidRDefault="00A50867" w:rsidP="00DE74F9">
      <w:pPr>
        <w:pStyle w:val="Balk2"/>
        <w:numPr>
          <w:ilvl w:val="0"/>
          <w:numId w:val="0"/>
        </w:numPr>
        <w:rPr>
          <w:color w:val="FF0000"/>
        </w:rPr>
      </w:pPr>
      <w:bookmarkStart w:id="555" w:name="_Toc55727848"/>
      <w:r w:rsidRPr="00075352">
        <w:lastRenderedPageBreak/>
        <w:t>Hastalardan Alınan Kültürler ve</w:t>
      </w:r>
      <w:r w:rsidR="00DE74F9" w:rsidRPr="00075352">
        <w:t xml:space="preserve"> Üreyen Mikroorganizmalar</w:t>
      </w:r>
      <w:bookmarkEnd w:id="555"/>
    </w:p>
    <w:p w14:paraId="54B266E0" w14:textId="76E4D5CD" w:rsidR="00DE74F9" w:rsidRDefault="00DE74F9" w:rsidP="00DE74F9">
      <w:pPr>
        <w:rPr>
          <w:lang w:eastAsia="tr-TR"/>
        </w:rPr>
      </w:pPr>
      <w:r>
        <w:rPr>
          <w:lang w:eastAsia="tr-TR"/>
        </w:rPr>
        <w:t>Hastalardan 3 (%12,5) tanesinin hiçbir kültüründe üreme olmadı. (6-18-21 nolu hastalar). Hastaların 11</w:t>
      </w:r>
      <w:r w:rsidR="00B0144B">
        <w:rPr>
          <w:lang w:eastAsia="tr-TR"/>
        </w:rPr>
        <w:t>’inin</w:t>
      </w:r>
      <w:r>
        <w:rPr>
          <w:lang w:eastAsia="tr-TR"/>
        </w:rPr>
        <w:t xml:space="preserve"> (%45,8) kan kültüründe, 10</w:t>
      </w:r>
      <w:r w:rsidR="00B0144B">
        <w:rPr>
          <w:lang w:eastAsia="tr-TR"/>
        </w:rPr>
        <w:t>’unun (%41,6)</w:t>
      </w:r>
      <w:r>
        <w:rPr>
          <w:lang w:eastAsia="tr-TR"/>
        </w:rPr>
        <w:t xml:space="preserve"> </w:t>
      </w:r>
      <w:r w:rsidR="0053611A">
        <w:rPr>
          <w:lang w:eastAsia="tr-TR"/>
        </w:rPr>
        <w:t>apse</w:t>
      </w:r>
      <w:r>
        <w:rPr>
          <w:lang w:eastAsia="tr-TR"/>
        </w:rPr>
        <w:t>-vücut sıvısı örneklemesinde, 7</w:t>
      </w:r>
      <w:r w:rsidR="00B0144B">
        <w:rPr>
          <w:lang w:eastAsia="tr-TR"/>
        </w:rPr>
        <w:t>’sinin (%29,1)</w:t>
      </w:r>
      <w:r>
        <w:rPr>
          <w:lang w:eastAsia="tr-TR"/>
        </w:rPr>
        <w:t xml:space="preserve"> balgam-solunum yollarından alınan aspirat kültüründe, 3</w:t>
      </w:r>
      <w:r w:rsidR="00B0144B">
        <w:rPr>
          <w:lang w:eastAsia="tr-TR"/>
        </w:rPr>
        <w:t>’ünün</w:t>
      </w:r>
      <w:r>
        <w:rPr>
          <w:lang w:eastAsia="tr-TR"/>
        </w:rPr>
        <w:t xml:space="preserve"> (%12,5) idrar kültüründe üreme oldu. </w:t>
      </w:r>
    </w:p>
    <w:p w14:paraId="5B21922A" w14:textId="1CA5DFBD" w:rsidR="00DE74F9" w:rsidRDefault="00DE74F9" w:rsidP="00280E3A">
      <w:pPr>
        <w:rPr>
          <w:lang w:eastAsia="tr-TR"/>
        </w:rPr>
      </w:pPr>
      <w:r>
        <w:t>Çalışmadaki 24 hastanın farklı bölgelerden alınan kültürlerinde to</w:t>
      </w:r>
      <w:r w:rsidR="0073714B">
        <w:t>plamda</w:t>
      </w:r>
      <w:r>
        <w:t xml:space="preserve"> 31</w:t>
      </w:r>
      <w:r w:rsidR="0073714B">
        <w:t xml:space="preserve"> adet</w:t>
      </w:r>
      <w:r>
        <w:t xml:space="preserve"> üreme gerçekleş</w:t>
      </w:r>
      <w:r w:rsidR="0073714B">
        <w:t>miştir.</w:t>
      </w:r>
      <w:r>
        <w:t xml:space="preserve"> </w:t>
      </w:r>
      <w:r w:rsidR="00A50867">
        <w:t>H</w:t>
      </w:r>
      <w:r>
        <w:t>astalar</w:t>
      </w:r>
      <w:r w:rsidR="0073714B">
        <w:t>ın bazıların</w:t>
      </w:r>
      <w:r>
        <w:t xml:space="preserve">da </w:t>
      </w:r>
      <w:r w:rsidR="00A50867">
        <w:t>birden fazla</w:t>
      </w:r>
      <w:r>
        <w:t xml:space="preserve"> üreme</w:t>
      </w:r>
      <w:r w:rsidR="00280E3A">
        <w:t xml:space="preserve"> </w:t>
      </w:r>
      <w:r>
        <w:t xml:space="preserve">gerçekleşmiştir. </w:t>
      </w:r>
      <w:bookmarkStart w:id="556" w:name="_Toc45383397"/>
      <w:r>
        <w:rPr>
          <w:lang w:eastAsia="tr-TR"/>
        </w:rPr>
        <w:t xml:space="preserve">Kültürlerde üreyen </w:t>
      </w:r>
      <w:r w:rsidR="0073714B">
        <w:rPr>
          <w:lang w:eastAsia="tr-TR"/>
        </w:rPr>
        <w:t>toplam mikroorganizmalar</w:t>
      </w:r>
      <w:r>
        <w:rPr>
          <w:lang w:eastAsia="tr-TR"/>
        </w:rPr>
        <w:t xml:space="preserve"> </w:t>
      </w:r>
      <w:r w:rsidR="0073714B">
        <w:rPr>
          <w:lang w:eastAsia="tr-TR"/>
        </w:rPr>
        <w:t>T</w:t>
      </w:r>
      <w:r>
        <w:rPr>
          <w:lang w:eastAsia="tr-TR"/>
        </w:rPr>
        <w:t>ablo</w:t>
      </w:r>
      <w:r w:rsidR="0073714B">
        <w:rPr>
          <w:lang w:eastAsia="tr-TR"/>
        </w:rPr>
        <w:t xml:space="preserve"> 4.</w:t>
      </w:r>
      <w:r w:rsidR="00280E3A">
        <w:rPr>
          <w:lang w:eastAsia="tr-TR"/>
        </w:rPr>
        <w:t xml:space="preserve">7 </w:t>
      </w:r>
      <w:r>
        <w:rPr>
          <w:lang w:eastAsia="tr-TR"/>
        </w:rPr>
        <w:t>d</w:t>
      </w:r>
      <w:r w:rsidR="0073714B">
        <w:rPr>
          <w:lang w:eastAsia="tr-TR"/>
        </w:rPr>
        <w:t>e</w:t>
      </w:r>
      <w:r>
        <w:rPr>
          <w:lang w:eastAsia="tr-TR"/>
        </w:rPr>
        <w:t xml:space="preserve"> gösterilmiştir.</w:t>
      </w:r>
    </w:p>
    <w:p w14:paraId="38494D18" w14:textId="77777777" w:rsidR="00280E3A" w:rsidRDefault="00280E3A" w:rsidP="00280E3A"/>
    <w:p w14:paraId="31F13997" w14:textId="1516EDB3" w:rsidR="00DE74F9" w:rsidRPr="007F1D7D" w:rsidRDefault="00DE74F9" w:rsidP="00DE74F9">
      <w:bookmarkStart w:id="557" w:name="_Toc49818022"/>
      <w:r w:rsidRPr="00F87D67">
        <w:rPr>
          <w:szCs w:val="24"/>
        </w:rPr>
        <w:t xml:space="preserve">Tablo </w:t>
      </w:r>
      <w:r w:rsidR="002B4CBE">
        <w:rPr>
          <w:szCs w:val="24"/>
        </w:rPr>
        <w:fldChar w:fldCharType="begin"/>
      </w:r>
      <w:r w:rsidR="002B4CBE">
        <w:rPr>
          <w:szCs w:val="24"/>
        </w:rPr>
        <w:instrText xml:space="preserve"> STYLEREF 1 \s </w:instrText>
      </w:r>
      <w:r w:rsidR="002B4CBE">
        <w:rPr>
          <w:szCs w:val="24"/>
        </w:rPr>
        <w:fldChar w:fldCharType="separate"/>
      </w:r>
      <w:r w:rsidR="00063441">
        <w:rPr>
          <w:noProof/>
          <w:szCs w:val="24"/>
        </w:rPr>
        <w:t>4</w:t>
      </w:r>
      <w:r w:rsidR="002B4CBE">
        <w:rPr>
          <w:szCs w:val="24"/>
        </w:rPr>
        <w:fldChar w:fldCharType="end"/>
      </w:r>
      <w:r w:rsidR="002B4CBE">
        <w:rPr>
          <w:szCs w:val="24"/>
        </w:rPr>
        <w:t>.</w:t>
      </w:r>
      <w:r w:rsidR="002B4CBE">
        <w:rPr>
          <w:szCs w:val="24"/>
        </w:rPr>
        <w:fldChar w:fldCharType="begin"/>
      </w:r>
      <w:r w:rsidR="002B4CBE">
        <w:rPr>
          <w:szCs w:val="24"/>
        </w:rPr>
        <w:instrText xml:space="preserve"> SEQ Tablo \* ARABIC \s 1 </w:instrText>
      </w:r>
      <w:r w:rsidR="002B4CBE">
        <w:rPr>
          <w:szCs w:val="24"/>
        </w:rPr>
        <w:fldChar w:fldCharType="separate"/>
      </w:r>
      <w:r w:rsidR="00063441">
        <w:rPr>
          <w:noProof/>
          <w:szCs w:val="24"/>
        </w:rPr>
        <w:t>7</w:t>
      </w:r>
      <w:r w:rsidR="002B4CBE">
        <w:rPr>
          <w:szCs w:val="24"/>
        </w:rPr>
        <w:fldChar w:fldCharType="end"/>
      </w:r>
      <w:r w:rsidRPr="00F87D67">
        <w:rPr>
          <w:szCs w:val="24"/>
        </w:rPr>
        <w:t xml:space="preserve">  </w:t>
      </w:r>
      <w:r w:rsidR="0073714B">
        <w:rPr>
          <w:szCs w:val="24"/>
        </w:rPr>
        <w:t>A</w:t>
      </w:r>
      <w:r w:rsidR="0073714B" w:rsidRPr="00F87D67">
        <w:rPr>
          <w:szCs w:val="24"/>
        </w:rPr>
        <w:t xml:space="preserve">lınan </w:t>
      </w:r>
      <w:r w:rsidR="0048467D" w:rsidRPr="00F87D67">
        <w:rPr>
          <w:szCs w:val="24"/>
        </w:rPr>
        <w:t>Kült</w:t>
      </w:r>
      <w:r w:rsidR="0048467D">
        <w:rPr>
          <w:szCs w:val="24"/>
        </w:rPr>
        <w:t>ü</w:t>
      </w:r>
      <w:r w:rsidR="0048467D" w:rsidRPr="00F87D67">
        <w:rPr>
          <w:szCs w:val="24"/>
        </w:rPr>
        <w:t>r</w:t>
      </w:r>
      <w:r w:rsidR="0048467D">
        <w:rPr>
          <w:szCs w:val="24"/>
        </w:rPr>
        <w:t>lere</w:t>
      </w:r>
      <w:r w:rsidR="0048467D" w:rsidRPr="00F87D67">
        <w:rPr>
          <w:szCs w:val="24"/>
        </w:rPr>
        <w:t xml:space="preserve"> Göre Üreyen </w:t>
      </w:r>
      <w:r w:rsidR="0048467D">
        <w:rPr>
          <w:szCs w:val="24"/>
        </w:rPr>
        <w:t xml:space="preserve">Bütün </w:t>
      </w:r>
      <w:bookmarkEnd w:id="556"/>
      <w:r w:rsidR="0048467D">
        <w:rPr>
          <w:szCs w:val="24"/>
        </w:rPr>
        <w:t>Mikroorganizmalar</w:t>
      </w:r>
      <w:bookmarkEnd w:id="557"/>
      <w:r w:rsidR="0048467D">
        <w:rPr>
          <w:szCs w:val="24"/>
        </w:rPr>
        <w:t xml:space="preserve"> </w:t>
      </w:r>
    </w:p>
    <w:tbl>
      <w:tblPr>
        <w:tblStyle w:val="KlavuzuTablo4-Vurgu2"/>
        <w:tblW w:w="8691" w:type="dxa"/>
        <w:tblLook w:val="04A0" w:firstRow="1" w:lastRow="0" w:firstColumn="1" w:lastColumn="0" w:noHBand="0" w:noVBand="1"/>
      </w:tblPr>
      <w:tblGrid>
        <w:gridCol w:w="1455"/>
        <w:gridCol w:w="3529"/>
        <w:gridCol w:w="1056"/>
        <w:gridCol w:w="1056"/>
        <w:gridCol w:w="1595"/>
      </w:tblGrid>
      <w:tr w:rsidR="0053611A" w:rsidRPr="00FC5C4C" w14:paraId="7A5452B0" w14:textId="77777777" w:rsidTr="0053611A">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0" w:type="auto"/>
          </w:tcPr>
          <w:p w14:paraId="0E3B11A7" w14:textId="77777777" w:rsidR="00DE74F9" w:rsidRPr="00FC5C4C" w:rsidRDefault="00DE74F9" w:rsidP="0073714B">
            <w:pPr>
              <w:ind w:firstLine="0"/>
              <w:rPr>
                <w:szCs w:val="24"/>
              </w:rPr>
            </w:pPr>
          </w:p>
        </w:tc>
        <w:tc>
          <w:tcPr>
            <w:tcW w:w="0" w:type="auto"/>
          </w:tcPr>
          <w:p w14:paraId="0B20E533" w14:textId="77777777" w:rsidR="00DE74F9" w:rsidRPr="00FC5C4C" w:rsidRDefault="00DE74F9" w:rsidP="0073714B">
            <w:pPr>
              <w:ind w:firstLine="0"/>
              <w:cnfStyle w:val="100000000000" w:firstRow="1" w:lastRow="0" w:firstColumn="0" w:lastColumn="0" w:oddVBand="0" w:evenVBand="0" w:oddHBand="0" w:evenHBand="0" w:firstRowFirstColumn="0" w:firstRowLastColumn="0" w:lastRowFirstColumn="0" w:lastRowLastColumn="0"/>
              <w:rPr>
                <w:szCs w:val="24"/>
              </w:rPr>
            </w:pPr>
            <w:r w:rsidRPr="00FC5C4C">
              <w:rPr>
                <w:szCs w:val="24"/>
              </w:rPr>
              <w:t>Üreyen Mikroorganizma</w:t>
            </w:r>
          </w:p>
        </w:tc>
        <w:tc>
          <w:tcPr>
            <w:tcW w:w="0" w:type="auto"/>
          </w:tcPr>
          <w:p w14:paraId="08058B7B" w14:textId="77777777" w:rsidR="00DE74F9" w:rsidRPr="00FC5C4C" w:rsidRDefault="00DE74F9" w:rsidP="0073714B">
            <w:pPr>
              <w:ind w:firstLine="0"/>
              <w:cnfStyle w:val="100000000000" w:firstRow="1" w:lastRow="0" w:firstColumn="0" w:lastColumn="0" w:oddVBand="0" w:evenVBand="0" w:oddHBand="0" w:evenHBand="0" w:firstRowFirstColumn="0" w:firstRowLastColumn="0" w:lastRowFirstColumn="0" w:lastRowLastColumn="0"/>
              <w:rPr>
                <w:szCs w:val="24"/>
              </w:rPr>
            </w:pPr>
            <w:r>
              <w:rPr>
                <w:szCs w:val="24"/>
              </w:rPr>
              <w:t>Kadın n=14</w:t>
            </w:r>
            <w:r w:rsidRPr="00FC5C4C">
              <w:rPr>
                <w:szCs w:val="24"/>
              </w:rPr>
              <w:t xml:space="preserve"> </w:t>
            </w:r>
          </w:p>
        </w:tc>
        <w:tc>
          <w:tcPr>
            <w:tcW w:w="0" w:type="auto"/>
          </w:tcPr>
          <w:p w14:paraId="57C498C4" w14:textId="77777777" w:rsidR="00DE74F9" w:rsidRPr="00FC5C4C" w:rsidRDefault="00DE74F9" w:rsidP="0073714B">
            <w:pPr>
              <w:ind w:firstLine="0"/>
              <w:cnfStyle w:val="100000000000" w:firstRow="1" w:lastRow="0" w:firstColumn="0" w:lastColumn="0" w:oddVBand="0" w:evenVBand="0" w:oddHBand="0" w:evenHBand="0" w:firstRowFirstColumn="0" w:firstRowLastColumn="0" w:lastRowFirstColumn="0" w:lastRowLastColumn="0"/>
              <w:rPr>
                <w:szCs w:val="24"/>
              </w:rPr>
            </w:pPr>
            <w:r>
              <w:rPr>
                <w:szCs w:val="24"/>
              </w:rPr>
              <w:t>Erkek n=17</w:t>
            </w:r>
          </w:p>
        </w:tc>
        <w:tc>
          <w:tcPr>
            <w:tcW w:w="1595" w:type="dxa"/>
          </w:tcPr>
          <w:p w14:paraId="2C25820D" w14:textId="77777777" w:rsidR="00DE74F9" w:rsidRDefault="00DE74F9" w:rsidP="0073714B">
            <w:pPr>
              <w:ind w:firstLine="0"/>
              <w:jc w:val="center"/>
              <w:cnfStyle w:val="100000000000" w:firstRow="1" w:lastRow="0" w:firstColumn="0" w:lastColumn="0" w:oddVBand="0" w:evenVBand="0" w:oddHBand="0" w:evenHBand="0" w:firstRowFirstColumn="0" w:firstRowLastColumn="0" w:lastRowFirstColumn="0" w:lastRowLastColumn="0"/>
              <w:rPr>
                <w:szCs w:val="24"/>
              </w:rPr>
            </w:pPr>
            <w:r>
              <w:rPr>
                <w:szCs w:val="24"/>
              </w:rPr>
              <w:t xml:space="preserve">Toplam </w:t>
            </w:r>
          </w:p>
          <w:p w14:paraId="35FB0750" w14:textId="77777777" w:rsidR="00DE74F9" w:rsidRPr="00FC5C4C" w:rsidRDefault="00DE74F9" w:rsidP="0073714B">
            <w:pPr>
              <w:ind w:firstLine="0"/>
              <w:jc w:val="center"/>
              <w:cnfStyle w:val="100000000000" w:firstRow="1" w:lastRow="0" w:firstColumn="0" w:lastColumn="0" w:oddVBand="0" w:evenVBand="0" w:oddHBand="0" w:evenHBand="0" w:firstRowFirstColumn="0" w:firstRowLastColumn="0" w:lastRowFirstColumn="0" w:lastRowLastColumn="0"/>
              <w:rPr>
                <w:szCs w:val="24"/>
              </w:rPr>
            </w:pPr>
            <w:r>
              <w:rPr>
                <w:szCs w:val="24"/>
              </w:rPr>
              <w:t>n=31</w:t>
            </w:r>
            <w:r w:rsidRPr="00FC5C4C">
              <w:rPr>
                <w:szCs w:val="24"/>
              </w:rPr>
              <w:t xml:space="preserve"> </w:t>
            </w:r>
            <w:r>
              <w:rPr>
                <w:szCs w:val="24"/>
              </w:rPr>
              <w:t xml:space="preserve"> </w:t>
            </w:r>
            <w:r w:rsidRPr="00FC5C4C">
              <w:rPr>
                <w:szCs w:val="24"/>
              </w:rPr>
              <w:t>(%)</w:t>
            </w:r>
          </w:p>
        </w:tc>
      </w:tr>
      <w:tr w:rsidR="0053611A" w:rsidRPr="00FC5C4C" w14:paraId="4B0D10C1" w14:textId="77777777" w:rsidTr="0053611A">
        <w:trPr>
          <w:cnfStyle w:val="000000100000" w:firstRow="0" w:lastRow="0" w:firstColumn="0" w:lastColumn="0" w:oddVBand="0" w:evenVBand="0" w:oddHBand="1" w:evenHBand="0" w:firstRowFirstColumn="0" w:firstRowLastColumn="0" w:lastRowFirstColumn="0" w:lastRowLastColumn="0"/>
          <w:trHeight w:val="2097"/>
        </w:trPr>
        <w:tc>
          <w:tcPr>
            <w:cnfStyle w:val="001000000000" w:firstRow="0" w:lastRow="0" w:firstColumn="1" w:lastColumn="0" w:oddVBand="0" w:evenVBand="0" w:oddHBand="0" w:evenHBand="0" w:firstRowFirstColumn="0" w:firstRowLastColumn="0" w:lastRowFirstColumn="0" w:lastRowLastColumn="0"/>
            <w:tcW w:w="0" w:type="auto"/>
          </w:tcPr>
          <w:p w14:paraId="0FF526D9" w14:textId="77777777" w:rsidR="00DE74F9" w:rsidRPr="00833CFC" w:rsidRDefault="00DE74F9" w:rsidP="0073714B">
            <w:pPr>
              <w:ind w:firstLine="0"/>
              <w:rPr>
                <w:b w:val="0"/>
                <w:szCs w:val="24"/>
              </w:rPr>
            </w:pPr>
          </w:p>
          <w:p w14:paraId="4ADFFE84" w14:textId="77777777" w:rsidR="00DE74F9" w:rsidRPr="00833CFC" w:rsidRDefault="00DE74F9" w:rsidP="0073714B">
            <w:pPr>
              <w:ind w:firstLine="0"/>
              <w:rPr>
                <w:b w:val="0"/>
                <w:szCs w:val="24"/>
              </w:rPr>
            </w:pPr>
          </w:p>
          <w:p w14:paraId="0E33E3D3" w14:textId="77777777" w:rsidR="00DE74F9" w:rsidRPr="00F87D67" w:rsidRDefault="00DE74F9" w:rsidP="0073714B">
            <w:pPr>
              <w:ind w:firstLine="0"/>
              <w:rPr>
                <w:bCs w:val="0"/>
                <w:szCs w:val="24"/>
              </w:rPr>
            </w:pPr>
            <w:r w:rsidRPr="00F87D67">
              <w:rPr>
                <w:bCs w:val="0"/>
                <w:szCs w:val="24"/>
              </w:rPr>
              <w:t>Solunum-</w:t>
            </w:r>
          </w:p>
          <w:p w14:paraId="77B7CF45" w14:textId="77777777" w:rsidR="00DE74F9" w:rsidRPr="00F87D67" w:rsidRDefault="00DE74F9" w:rsidP="0073714B">
            <w:pPr>
              <w:ind w:firstLine="0"/>
              <w:rPr>
                <w:bCs w:val="0"/>
                <w:szCs w:val="24"/>
              </w:rPr>
            </w:pPr>
            <w:r w:rsidRPr="00F87D67">
              <w:rPr>
                <w:bCs w:val="0"/>
                <w:szCs w:val="24"/>
              </w:rPr>
              <w:t xml:space="preserve">Balgam </w:t>
            </w:r>
          </w:p>
          <w:p w14:paraId="61977E0E" w14:textId="77777777" w:rsidR="00DE74F9" w:rsidRPr="00833CFC" w:rsidRDefault="00DE74F9" w:rsidP="0073714B">
            <w:pPr>
              <w:ind w:firstLine="0"/>
              <w:rPr>
                <w:b w:val="0"/>
                <w:szCs w:val="24"/>
              </w:rPr>
            </w:pPr>
            <w:r w:rsidRPr="00F87D67">
              <w:rPr>
                <w:bCs w:val="0"/>
                <w:szCs w:val="24"/>
              </w:rPr>
              <w:t>Kültürü</w:t>
            </w:r>
          </w:p>
        </w:tc>
        <w:tc>
          <w:tcPr>
            <w:tcW w:w="0" w:type="auto"/>
          </w:tcPr>
          <w:p w14:paraId="0BCBBFD2" w14:textId="77777777" w:rsidR="00DE74F9" w:rsidRPr="00833CFC" w:rsidRDefault="00DE74F9" w:rsidP="0073714B">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 xml:space="preserve">Enterobacter Cloacae  </w:t>
            </w:r>
          </w:p>
          <w:p w14:paraId="228AA1E0" w14:textId="77777777" w:rsidR="00DE74F9" w:rsidRPr="00833CFC" w:rsidRDefault="00DE74F9" w:rsidP="0073714B">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Candida Lusitaniae</w:t>
            </w:r>
          </w:p>
          <w:p w14:paraId="3B70C5E6" w14:textId="77777777" w:rsidR="00DE74F9" w:rsidRPr="00833CFC" w:rsidRDefault="00DE74F9" w:rsidP="0073714B">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Staphylococcus Aureus</w:t>
            </w:r>
          </w:p>
          <w:p w14:paraId="7064D2E2" w14:textId="77777777" w:rsidR="00DE74F9" w:rsidRPr="00833CFC" w:rsidRDefault="00DE74F9" w:rsidP="0073714B">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Klebsiella Pneumonia</w:t>
            </w:r>
          </w:p>
          <w:p w14:paraId="66FB0922" w14:textId="77777777" w:rsidR="00DE74F9" w:rsidRPr="00833CFC" w:rsidRDefault="00DE74F9" w:rsidP="0073714B">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Candida Kefyr</w:t>
            </w:r>
          </w:p>
          <w:p w14:paraId="479A3FE2" w14:textId="77777777" w:rsidR="00DE74F9" w:rsidRPr="00833CFC" w:rsidRDefault="00DE74F9" w:rsidP="0073714B">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Pseudomonas Aeruginosa</w:t>
            </w:r>
          </w:p>
          <w:p w14:paraId="03200AAB" w14:textId="4B80612F" w:rsidR="00DE74F9" w:rsidRPr="0053611A" w:rsidRDefault="0053611A" w:rsidP="0073714B">
            <w:pPr>
              <w:ind w:firstLine="0"/>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Pr>
                <w:rFonts w:eastAsia="Times New Roman"/>
                <w:i/>
                <w:color w:val="000000"/>
                <w:szCs w:val="24"/>
                <w:lang w:eastAsia="tr-TR"/>
              </w:rPr>
              <w:t>Aspergillus Spp.</w:t>
            </w:r>
          </w:p>
        </w:tc>
        <w:tc>
          <w:tcPr>
            <w:tcW w:w="0" w:type="auto"/>
          </w:tcPr>
          <w:p w14:paraId="7F45EF13"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p>
          <w:p w14:paraId="38F1AB82"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p w14:paraId="2A4D7185"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p w14:paraId="7808C63E"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p>
          <w:p w14:paraId="03AA2AF1"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p>
          <w:p w14:paraId="323E211D"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p w14:paraId="14892CE8"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tc>
        <w:tc>
          <w:tcPr>
            <w:tcW w:w="0" w:type="auto"/>
          </w:tcPr>
          <w:p w14:paraId="6D8C6BD0"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p w14:paraId="3F10F8DB"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p>
          <w:p w14:paraId="0927D1CA"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p>
          <w:p w14:paraId="57A7D8E5"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p w14:paraId="5D38B0F7"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p w14:paraId="62E9E386"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p>
          <w:p w14:paraId="41CA65D2"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p>
        </w:tc>
        <w:tc>
          <w:tcPr>
            <w:tcW w:w="1595" w:type="dxa"/>
          </w:tcPr>
          <w:p w14:paraId="0CB0F079" w14:textId="77777777" w:rsidR="00DE74F9" w:rsidRPr="00FC5C4C" w:rsidRDefault="00DE74F9" w:rsidP="0073714B">
            <w:pPr>
              <w:ind w:firstLine="0"/>
              <w:jc w:val="left"/>
              <w:cnfStyle w:val="000000100000" w:firstRow="0" w:lastRow="0" w:firstColumn="0" w:lastColumn="0" w:oddVBand="0" w:evenVBand="0" w:oddHBand="1" w:evenHBand="0" w:firstRowFirstColumn="0" w:firstRowLastColumn="0" w:lastRowFirstColumn="0" w:lastRowLastColumn="0"/>
              <w:rPr>
                <w:szCs w:val="24"/>
              </w:rPr>
            </w:pPr>
          </w:p>
          <w:p w14:paraId="7B061ADC" w14:textId="77777777" w:rsidR="00DE74F9" w:rsidRPr="00FC5C4C" w:rsidRDefault="00DE74F9" w:rsidP="0073714B">
            <w:pPr>
              <w:cnfStyle w:val="000000100000" w:firstRow="0" w:lastRow="0" w:firstColumn="0" w:lastColumn="0" w:oddVBand="0" w:evenVBand="0" w:oddHBand="1" w:evenHBand="0" w:firstRowFirstColumn="0" w:firstRowLastColumn="0" w:lastRowFirstColumn="0" w:lastRowLastColumn="0"/>
              <w:rPr>
                <w:szCs w:val="24"/>
              </w:rPr>
            </w:pPr>
          </w:p>
          <w:p w14:paraId="34416003" w14:textId="3FF18115" w:rsidR="00DE74F9" w:rsidRPr="00FC5C4C" w:rsidRDefault="00DE74F9" w:rsidP="0073714B">
            <w:pPr>
              <w:ind w:firstLine="0"/>
              <w:jc w:val="center"/>
              <w:cnfStyle w:val="000000100000" w:firstRow="0" w:lastRow="0" w:firstColumn="0" w:lastColumn="0" w:oddVBand="0" w:evenVBand="0" w:oddHBand="1" w:evenHBand="0" w:firstRowFirstColumn="0" w:firstRowLastColumn="0" w:lastRowFirstColumn="0" w:lastRowLastColumn="0"/>
              <w:rPr>
                <w:szCs w:val="24"/>
              </w:rPr>
            </w:pPr>
            <w:r w:rsidRPr="00FC5C4C">
              <w:rPr>
                <w:szCs w:val="24"/>
              </w:rPr>
              <w:t>7 (29</w:t>
            </w:r>
            <w:r w:rsidR="00A01358">
              <w:rPr>
                <w:szCs w:val="24"/>
              </w:rPr>
              <w:t>.</w:t>
            </w:r>
            <w:r>
              <w:rPr>
                <w:szCs w:val="24"/>
              </w:rPr>
              <w:t>1</w:t>
            </w:r>
            <w:r w:rsidRPr="00FC5C4C">
              <w:rPr>
                <w:szCs w:val="24"/>
              </w:rPr>
              <w:t>)</w:t>
            </w:r>
          </w:p>
        </w:tc>
      </w:tr>
      <w:tr w:rsidR="0053611A" w:rsidRPr="00FC5C4C" w14:paraId="4136A590" w14:textId="77777777" w:rsidTr="0053611A">
        <w:trPr>
          <w:trHeight w:val="2402"/>
        </w:trPr>
        <w:tc>
          <w:tcPr>
            <w:cnfStyle w:val="001000000000" w:firstRow="0" w:lastRow="0" w:firstColumn="1" w:lastColumn="0" w:oddVBand="0" w:evenVBand="0" w:oddHBand="0" w:evenHBand="0" w:firstRowFirstColumn="0" w:firstRowLastColumn="0" w:lastRowFirstColumn="0" w:lastRowLastColumn="0"/>
            <w:tcW w:w="0" w:type="auto"/>
          </w:tcPr>
          <w:p w14:paraId="4F48A8C2" w14:textId="77777777" w:rsidR="00DE74F9" w:rsidRPr="00833CFC" w:rsidRDefault="00DE74F9" w:rsidP="0073714B">
            <w:pPr>
              <w:ind w:firstLine="0"/>
              <w:rPr>
                <w:b w:val="0"/>
                <w:szCs w:val="24"/>
              </w:rPr>
            </w:pPr>
          </w:p>
          <w:p w14:paraId="317F02DA" w14:textId="77777777" w:rsidR="00DE74F9" w:rsidRPr="00833CFC" w:rsidRDefault="00DE74F9" w:rsidP="0073714B">
            <w:pPr>
              <w:ind w:firstLine="0"/>
              <w:rPr>
                <w:b w:val="0"/>
                <w:szCs w:val="24"/>
              </w:rPr>
            </w:pPr>
          </w:p>
          <w:p w14:paraId="709D4001" w14:textId="77777777" w:rsidR="00DE74F9" w:rsidRPr="00833CFC" w:rsidRDefault="00DE74F9" w:rsidP="0073714B">
            <w:pPr>
              <w:ind w:firstLine="0"/>
              <w:rPr>
                <w:b w:val="0"/>
                <w:szCs w:val="24"/>
              </w:rPr>
            </w:pPr>
          </w:p>
          <w:p w14:paraId="5BAD6C42" w14:textId="77777777" w:rsidR="00DE74F9" w:rsidRPr="00F87D67" w:rsidRDefault="00DE74F9" w:rsidP="0073714B">
            <w:pPr>
              <w:ind w:firstLine="0"/>
              <w:rPr>
                <w:bCs w:val="0"/>
                <w:szCs w:val="24"/>
              </w:rPr>
            </w:pPr>
            <w:r w:rsidRPr="00F87D67">
              <w:rPr>
                <w:bCs w:val="0"/>
                <w:szCs w:val="24"/>
              </w:rPr>
              <w:t>Kan Kültürü</w:t>
            </w:r>
          </w:p>
        </w:tc>
        <w:tc>
          <w:tcPr>
            <w:tcW w:w="0" w:type="auto"/>
          </w:tcPr>
          <w:p w14:paraId="271F1098" w14:textId="77777777" w:rsidR="00DE74F9" w:rsidRPr="00833CFC" w:rsidRDefault="00DE74F9" w:rsidP="0073714B">
            <w:pPr>
              <w:pBdr>
                <w:bottom w:val="single" w:sz="4" w:space="1" w:color="auto"/>
              </w:pBdr>
              <w:shd w:val="clear" w:color="auto" w:fill="DEEAF6" w:themeFill="accent1" w:themeFillTint="33"/>
              <w:ind w:firstLine="0"/>
              <w:jc w:val="left"/>
              <w:cnfStyle w:val="000000000000" w:firstRow="0" w:lastRow="0" w:firstColumn="0" w:lastColumn="0" w:oddVBand="0" w:evenVBand="0" w:oddHBand="0" w:evenHBand="0" w:firstRowFirstColumn="0" w:firstRowLastColumn="0" w:lastRowFirstColumn="0" w:lastRowLastColumn="0"/>
              <w:rPr>
                <w:rFonts w:eastAsia="Times New Roman"/>
                <w:i/>
                <w:color w:val="000000"/>
                <w:szCs w:val="24"/>
                <w:lang w:eastAsia="tr-TR"/>
              </w:rPr>
            </w:pPr>
            <w:r>
              <w:rPr>
                <w:rFonts w:eastAsia="Times New Roman"/>
                <w:i/>
                <w:color w:val="000000"/>
                <w:szCs w:val="24"/>
                <w:lang w:eastAsia="tr-TR"/>
              </w:rPr>
              <w:t>*</w:t>
            </w:r>
            <w:r w:rsidRPr="00833CFC">
              <w:rPr>
                <w:rFonts w:eastAsia="Times New Roman"/>
                <w:i/>
                <w:color w:val="000000"/>
                <w:szCs w:val="24"/>
                <w:lang w:eastAsia="tr-TR"/>
              </w:rPr>
              <w:t>Streptococcus Pneumoniae</w:t>
            </w:r>
            <w:r>
              <w:rPr>
                <w:rFonts w:eastAsia="Times New Roman"/>
                <w:i/>
                <w:color w:val="000000"/>
                <w:szCs w:val="24"/>
                <w:lang w:eastAsia="tr-TR"/>
              </w:rPr>
              <w:t>, *</w:t>
            </w:r>
            <w:r w:rsidRPr="00833CFC">
              <w:rPr>
                <w:rFonts w:eastAsia="Times New Roman"/>
                <w:i/>
                <w:color w:val="000000"/>
                <w:szCs w:val="24"/>
                <w:lang w:eastAsia="tr-TR"/>
              </w:rPr>
              <w:t>Pseudomonas Aeruginosa</w:t>
            </w:r>
          </w:p>
          <w:p w14:paraId="6DCC7148" w14:textId="77777777" w:rsidR="00DE74F9" w:rsidRPr="00833CFC" w:rsidRDefault="00DE74F9" w:rsidP="0073714B">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Escherichia Coli</w:t>
            </w:r>
          </w:p>
          <w:p w14:paraId="5722BDBB" w14:textId="77777777" w:rsidR="00DE74F9" w:rsidRPr="00833CFC" w:rsidRDefault="00DE74F9" w:rsidP="0073714B">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Rhizobium Radiobacter</w:t>
            </w:r>
          </w:p>
          <w:p w14:paraId="6AD5A265" w14:textId="77777777" w:rsidR="00DE74F9" w:rsidRPr="00833CFC" w:rsidRDefault="00DE74F9" w:rsidP="0073714B">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 xml:space="preserve">Klebsiella Pneumoniae </w:t>
            </w:r>
          </w:p>
          <w:p w14:paraId="20C3F960" w14:textId="77777777" w:rsidR="00DE74F9" w:rsidRPr="00833CFC" w:rsidRDefault="00DE74F9" w:rsidP="0073714B">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Enterococcus Faecium</w:t>
            </w:r>
          </w:p>
          <w:p w14:paraId="194294F2" w14:textId="77777777" w:rsidR="00DE74F9" w:rsidRPr="00833CFC" w:rsidRDefault="00DE74F9" w:rsidP="0073714B">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Staphylococcus Aureus</w:t>
            </w:r>
          </w:p>
          <w:p w14:paraId="29505A8B" w14:textId="171D20F1" w:rsidR="00DE74F9" w:rsidRPr="00833CFC" w:rsidRDefault="0053611A" w:rsidP="0073714B">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i/>
                <w:color w:val="000000"/>
                <w:szCs w:val="24"/>
                <w:lang w:eastAsia="tr-TR"/>
              </w:rPr>
            </w:pPr>
            <w:r>
              <w:rPr>
                <w:rFonts w:eastAsia="Times New Roman"/>
                <w:i/>
                <w:color w:val="000000"/>
                <w:szCs w:val="24"/>
                <w:lang w:eastAsia="tr-TR"/>
              </w:rPr>
              <w:t>Difteroid Basil</w:t>
            </w:r>
          </w:p>
        </w:tc>
        <w:tc>
          <w:tcPr>
            <w:tcW w:w="0" w:type="auto"/>
          </w:tcPr>
          <w:p w14:paraId="0AAE5E51" w14:textId="77777777" w:rsidR="00DE74F9" w:rsidRDefault="00DE74F9" w:rsidP="0073714B">
            <w:pPr>
              <w:pBdr>
                <w:bottom w:val="single" w:sz="4" w:space="1" w:color="auto"/>
              </w:pBdr>
              <w:shd w:val="clear" w:color="auto" w:fill="DEEAF6" w:themeFill="accent1" w:themeFillTint="33"/>
              <w:ind w:firstLine="0"/>
              <w:cnfStyle w:val="000000000000" w:firstRow="0" w:lastRow="0" w:firstColumn="0" w:lastColumn="0" w:oddVBand="0" w:evenVBand="0" w:oddHBand="0" w:evenHBand="0" w:firstRowFirstColumn="0" w:firstRowLastColumn="0" w:lastRowFirstColumn="0" w:lastRowLastColumn="0"/>
              <w:rPr>
                <w:szCs w:val="24"/>
              </w:rPr>
            </w:pPr>
          </w:p>
          <w:p w14:paraId="5E64F867" w14:textId="77777777" w:rsidR="00DE74F9" w:rsidRPr="00FC5C4C" w:rsidRDefault="00DE74F9" w:rsidP="0073714B">
            <w:pPr>
              <w:pBdr>
                <w:bottom w:val="single" w:sz="4" w:space="1" w:color="auto"/>
              </w:pBdr>
              <w:shd w:val="clear" w:color="auto" w:fill="DEEAF6" w:themeFill="accent1" w:themeFillTint="33"/>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w:t>
            </w:r>
          </w:p>
          <w:p w14:paraId="629A8359"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1</w:t>
            </w:r>
          </w:p>
          <w:p w14:paraId="5CADD7CE"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w:t>
            </w:r>
          </w:p>
          <w:p w14:paraId="143CD7F3"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1</w:t>
            </w:r>
          </w:p>
          <w:p w14:paraId="7D353E25"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2</w:t>
            </w:r>
          </w:p>
          <w:p w14:paraId="7E9E0C78"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1</w:t>
            </w:r>
          </w:p>
          <w:p w14:paraId="105161B1"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w:t>
            </w:r>
          </w:p>
        </w:tc>
        <w:tc>
          <w:tcPr>
            <w:tcW w:w="0" w:type="auto"/>
          </w:tcPr>
          <w:p w14:paraId="1D1D6DCA" w14:textId="77777777" w:rsidR="00DE74F9" w:rsidRDefault="00DE74F9" w:rsidP="0073714B">
            <w:pPr>
              <w:pBdr>
                <w:bottom w:val="single" w:sz="4" w:space="1" w:color="auto"/>
              </w:pBdr>
              <w:shd w:val="clear" w:color="auto" w:fill="DEEAF6" w:themeFill="accent1" w:themeFillTint="33"/>
              <w:ind w:firstLine="0"/>
              <w:cnfStyle w:val="000000000000" w:firstRow="0" w:lastRow="0" w:firstColumn="0" w:lastColumn="0" w:oddVBand="0" w:evenVBand="0" w:oddHBand="0" w:evenHBand="0" w:firstRowFirstColumn="0" w:firstRowLastColumn="0" w:lastRowFirstColumn="0" w:lastRowLastColumn="0"/>
              <w:rPr>
                <w:szCs w:val="24"/>
              </w:rPr>
            </w:pPr>
          </w:p>
          <w:p w14:paraId="0D09917D" w14:textId="77777777" w:rsidR="00DE74F9" w:rsidRPr="00FC5C4C" w:rsidRDefault="00DE74F9" w:rsidP="0073714B">
            <w:pPr>
              <w:pBdr>
                <w:bottom w:val="single" w:sz="4" w:space="1" w:color="auto"/>
              </w:pBdr>
              <w:shd w:val="clear" w:color="auto" w:fill="DEEAF6" w:themeFill="accent1" w:themeFillTint="33"/>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1</w:t>
            </w:r>
          </w:p>
          <w:p w14:paraId="431F173E"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2</w:t>
            </w:r>
          </w:p>
          <w:p w14:paraId="1ACB6D28"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1</w:t>
            </w:r>
          </w:p>
          <w:p w14:paraId="092763E3"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1</w:t>
            </w:r>
          </w:p>
          <w:p w14:paraId="472FB276"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w:t>
            </w:r>
          </w:p>
          <w:p w14:paraId="0BDE3F26"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w:t>
            </w:r>
          </w:p>
          <w:p w14:paraId="682945F5"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1</w:t>
            </w:r>
          </w:p>
        </w:tc>
        <w:tc>
          <w:tcPr>
            <w:tcW w:w="1595" w:type="dxa"/>
          </w:tcPr>
          <w:p w14:paraId="126DA7D7"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p>
          <w:p w14:paraId="13CCA2CC" w14:textId="77777777" w:rsidR="00DE74F9" w:rsidRPr="00FC5C4C" w:rsidRDefault="00DE74F9" w:rsidP="0073714B">
            <w:pPr>
              <w:cnfStyle w:val="000000000000" w:firstRow="0" w:lastRow="0" w:firstColumn="0" w:lastColumn="0" w:oddVBand="0" w:evenVBand="0" w:oddHBand="0" w:evenHBand="0" w:firstRowFirstColumn="0" w:firstRowLastColumn="0" w:lastRowFirstColumn="0" w:lastRowLastColumn="0"/>
              <w:rPr>
                <w:szCs w:val="24"/>
              </w:rPr>
            </w:pPr>
          </w:p>
          <w:p w14:paraId="2C8E2EB9" w14:textId="77777777" w:rsidR="00DE74F9" w:rsidRPr="00FC5C4C" w:rsidRDefault="00DE74F9" w:rsidP="0073714B">
            <w:pPr>
              <w:cnfStyle w:val="000000000000" w:firstRow="0" w:lastRow="0" w:firstColumn="0" w:lastColumn="0" w:oddVBand="0" w:evenVBand="0" w:oddHBand="0" w:evenHBand="0" w:firstRowFirstColumn="0" w:firstRowLastColumn="0" w:lastRowFirstColumn="0" w:lastRowLastColumn="0"/>
              <w:rPr>
                <w:szCs w:val="24"/>
              </w:rPr>
            </w:pPr>
          </w:p>
          <w:p w14:paraId="65A3350A" w14:textId="103C126A" w:rsidR="00DE74F9" w:rsidRPr="00FC5C4C" w:rsidRDefault="00DE74F9" w:rsidP="0073714B">
            <w:pPr>
              <w:ind w:firstLine="0"/>
              <w:jc w:val="center"/>
              <w:cnfStyle w:val="000000000000" w:firstRow="0" w:lastRow="0" w:firstColumn="0" w:lastColumn="0" w:oddVBand="0" w:evenVBand="0" w:oddHBand="0" w:evenHBand="0" w:firstRowFirstColumn="0" w:firstRowLastColumn="0" w:lastRowFirstColumn="0" w:lastRowLastColumn="0"/>
              <w:rPr>
                <w:szCs w:val="24"/>
              </w:rPr>
            </w:pPr>
            <w:r>
              <w:rPr>
                <w:szCs w:val="24"/>
              </w:rPr>
              <w:t>11</w:t>
            </w:r>
            <w:r w:rsidRPr="00FC5C4C">
              <w:rPr>
                <w:szCs w:val="24"/>
              </w:rPr>
              <w:t xml:space="preserve"> (</w:t>
            </w:r>
            <w:r>
              <w:rPr>
                <w:szCs w:val="24"/>
              </w:rPr>
              <w:t>4</w:t>
            </w:r>
            <w:r w:rsidRPr="00FC5C4C">
              <w:rPr>
                <w:szCs w:val="24"/>
              </w:rPr>
              <w:t>5</w:t>
            </w:r>
            <w:r w:rsidR="00A01358">
              <w:rPr>
                <w:szCs w:val="24"/>
              </w:rPr>
              <w:t>.</w:t>
            </w:r>
            <w:r>
              <w:rPr>
                <w:szCs w:val="24"/>
              </w:rPr>
              <w:t>8</w:t>
            </w:r>
            <w:r w:rsidRPr="00FC5C4C">
              <w:rPr>
                <w:szCs w:val="24"/>
              </w:rPr>
              <w:t>)</w:t>
            </w:r>
          </w:p>
        </w:tc>
      </w:tr>
      <w:tr w:rsidR="0053611A" w:rsidRPr="00FC5C4C" w14:paraId="1B321302" w14:textId="77777777" w:rsidTr="0053611A">
        <w:trPr>
          <w:cnfStyle w:val="000000100000" w:firstRow="0" w:lastRow="0" w:firstColumn="0" w:lastColumn="0" w:oddVBand="0" w:evenVBand="0" w:oddHBand="1" w:evenHBand="0" w:firstRowFirstColumn="0" w:firstRowLastColumn="0" w:lastRowFirstColumn="0" w:lastRowLastColumn="0"/>
          <w:trHeight w:val="2389"/>
        </w:trPr>
        <w:tc>
          <w:tcPr>
            <w:cnfStyle w:val="001000000000" w:firstRow="0" w:lastRow="0" w:firstColumn="1" w:lastColumn="0" w:oddVBand="0" w:evenVBand="0" w:oddHBand="0" w:evenHBand="0" w:firstRowFirstColumn="0" w:firstRowLastColumn="0" w:lastRowFirstColumn="0" w:lastRowLastColumn="0"/>
            <w:tcW w:w="0" w:type="auto"/>
          </w:tcPr>
          <w:p w14:paraId="687A527D" w14:textId="77777777" w:rsidR="00DE74F9" w:rsidRPr="00833CFC" w:rsidRDefault="00DE74F9" w:rsidP="0073714B">
            <w:pPr>
              <w:ind w:firstLine="0"/>
              <w:rPr>
                <w:b w:val="0"/>
                <w:szCs w:val="24"/>
              </w:rPr>
            </w:pPr>
          </w:p>
          <w:p w14:paraId="37BB62B2" w14:textId="77777777" w:rsidR="00DE74F9" w:rsidRPr="00833CFC" w:rsidRDefault="00DE74F9" w:rsidP="0073714B">
            <w:pPr>
              <w:ind w:firstLine="0"/>
              <w:rPr>
                <w:b w:val="0"/>
                <w:szCs w:val="24"/>
              </w:rPr>
            </w:pPr>
          </w:p>
          <w:p w14:paraId="2AC625F9" w14:textId="77777777" w:rsidR="00DE74F9" w:rsidRPr="00833CFC" w:rsidRDefault="00DE74F9" w:rsidP="0073714B">
            <w:pPr>
              <w:ind w:firstLine="0"/>
              <w:rPr>
                <w:b w:val="0"/>
                <w:szCs w:val="24"/>
              </w:rPr>
            </w:pPr>
          </w:p>
          <w:p w14:paraId="0EAB9D19" w14:textId="78458862" w:rsidR="00DE74F9" w:rsidRPr="00F87D67" w:rsidRDefault="00DE74F9" w:rsidP="0073714B">
            <w:pPr>
              <w:ind w:firstLine="0"/>
              <w:rPr>
                <w:bCs w:val="0"/>
                <w:szCs w:val="24"/>
              </w:rPr>
            </w:pPr>
            <w:r w:rsidRPr="00F87D67">
              <w:rPr>
                <w:bCs w:val="0"/>
                <w:szCs w:val="24"/>
              </w:rPr>
              <w:t>A</w:t>
            </w:r>
            <w:r w:rsidR="0053611A">
              <w:rPr>
                <w:bCs w:val="0"/>
                <w:szCs w:val="24"/>
              </w:rPr>
              <w:t>p</w:t>
            </w:r>
            <w:r w:rsidRPr="00F87D67">
              <w:rPr>
                <w:bCs w:val="0"/>
                <w:szCs w:val="24"/>
              </w:rPr>
              <w:t>se-</w:t>
            </w:r>
          </w:p>
          <w:p w14:paraId="68B6812D" w14:textId="77777777" w:rsidR="00DE74F9" w:rsidRPr="00F87D67" w:rsidRDefault="00DE74F9" w:rsidP="0073714B">
            <w:pPr>
              <w:ind w:firstLine="0"/>
              <w:rPr>
                <w:bCs w:val="0"/>
                <w:szCs w:val="24"/>
              </w:rPr>
            </w:pPr>
            <w:r w:rsidRPr="00F87D67">
              <w:rPr>
                <w:bCs w:val="0"/>
                <w:szCs w:val="24"/>
              </w:rPr>
              <w:t xml:space="preserve">Parasentez </w:t>
            </w:r>
          </w:p>
          <w:p w14:paraId="3C8684EC" w14:textId="77777777" w:rsidR="00DE74F9" w:rsidRPr="00833CFC" w:rsidRDefault="00DE74F9" w:rsidP="0073714B">
            <w:pPr>
              <w:ind w:firstLine="0"/>
              <w:rPr>
                <w:b w:val="0"/>
                <w:szCs w:val="24"/>
              </w:rPr>
            </w:pPr>
            <w:r w:rsidRPr="00F87D67">
              <w:rPr>
                <w:bCs w:val="0"/>
                <w:szCs w:val="24"/>
              </w:rPr>
              <w:t>Kültürü</w:t>
            </w:r>
          </w:p>
        </w:tc>
        <w:tc>
          <w:tcPr>
            <w:tcW w:w="0" w:type="auto"/>
          </w:tcPr>
          <w:p w14:paraId="0FA628F4" w14:textId="77777777" w:rsidR="00DE74F9" w:rsidRPr="00833CFC" w:rsidRDefault="00DE74F9" w:rsidP="0073714B">
            <w:pPr>
              <w:ind w:firstLine="0"/>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Candida Glabrata</w:t>
            </w:r>
          </w:p>
          <w:p w14:paraId="747DDC99" w14:textId="77777777" w:rsidR="00DE74F9" w:rsidRPr="00833CFC" w:rsidRDefault="00DE74F9" w:rsidP="0073714B">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Escherichia Coli</w:t>
            </w:r>
          </w:p>
          <w:p w14:paraId="1B84D01F" w14:textId="77777777" w:rsidR="00DE74F9" w:rsidRPr="00833CFC" w:rsidRDefault="00DE74F9" w:rsidP="0073714B">
            <w:pPr>
              <w:pBdr>
                <w:top w:val="single" w:sz="4" w:space="1" w:color="auto"/>
              </w:pBdr>
              <w:shd w:val="clear" w:color="auto" w:fill="DEEAF6" w:themeFill="accent1" w:themeFillTint="33"/>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Pr>
                <w:rFonts w:eastAsia="Times New Roman"/>
                <w:i/>
                <w:color w:val="000000"/>
                <w:szCs w:val="24"/>
                <w:lang w:eastAsia="tr-TR"/>
              </w:rPr>
              <w:t>**</w:t>
            </w:r>
            <w:r w:rsidRPr="00833CFC">
              <w:rPr>
                <w:rFonts w:eastAsia="Times New Roman"/>
                <w:i/>
                <w:color w:val="000000"/>
                <w:szCs w:val="24"/>
                <w:lang w:eastAsia="tr-TR"/>
              </w:rPr>
              <w:t>Enterococcus Faecium</w:t>
            </w:r>
          </w:p>
          <w:p w14:paraId="5130F686" w14:textId="77777777" w:rsidR="00DE74F9" w:rsidRPr="00833CFC" w:rsidRDefault="00DE74F9" w:rsidP="0073714B">
            <w:pPr>
              <w:pBdr>
                <w:bottom w:val="single" w:sz="4" w:space="1" w:color="auto"/>
              </w:pBdr>
              <w:shd w:val="clear" w:color="auto" w:fill="DEEAF6" w:themeFill="accent1" w:themeFillTint="33"/>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Pr>
                <w:rFonts w:eastAsia="Times New Roman"/>
                <w:i/>
                <w:color w:val="000000"/>
                <w:szCs w:val="24"/>
                <w:lang w:eastAsia="tr-TR"/>
              </w:rPr>
              <w:t>**</w:t>
            </w:r>
            <w:r w:rsidRPr="00833CFC">
              <w:rPr>
                <w:rFonts w:eastAsia="Times New Roman"/>
                <w:i/>
                <w:color w:val="000000"/>
                <w:szCs w:val="24"/>
                <w:lang w:eastAsia="tr-TR"/>
              </w:rPr>
              <w:t xml:space="preserve">Shewanella Putrefaciens </w:t>
            </w:r>
          </w:p>
          <w:p w14:paraId="5E6E5489" w14:textId="77777777" w:rsidR="00DE74F9" w:rsidRPr="00833CFC" w:rsidRDefault="00DE74F9" w:rsidP="0073714B">
            <w:pPr>
              <w:pBdr>
                <w:bottom w:val="single" w:sz="4" w:space="1" w:color="auto"/>
              </w:pBdr>
              <w:shd w:val="clear" w:color="auto" w:fill="DEEAF6" w:themeFill="accent1" w:themeFillTint="33"/>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Pr>
                <w:rFonts w:eastAsia="Times New Roman"/>
                <w:i/>
                <w:color w:val="000000"/>
                <w:szCs w:val="24"/>
                <w:lang w:eastAsia="tr-TR"/>
              </w:rPr>
              <w:t>**</w:t>
            </w:r>
            <w:r w:rsidRPr="00833CFC">
              <w:rPr>
                <w:rFonts w:eastAsia="Times New Roman"/>
                <w:i/>
                <w:color w:val="000000"/>
                <w:szCs w:val="24"/>
                <w:lang w:eastAsia="tr-TR"/>
              </w:rPr>
              <w:t>Klebsiella Oxytoca</w:t>
            </w:r>
          </w:p>
          <w:p w14:paraId="49ADEE26" w14:textId="77777777" w:rsidR="00DE74F9" w:rsidRPr="00833CFC" w:rsidRDefault="00DE74F9" w:rsidP="0073714B">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Staphylococcus Aureus</w:t>
            </w:r>
          </w:p>
          <w:p w14:paraId="3096149A" w14:textId="599E7EFA" w:rsidR="00DE74F9" w:rsidRPr="00833CFC" w:rsidRDefault="00F41A53" w:rsidP="0073714B">
            <w:pPr>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Pr>
                <w:rFonts w:eastAsia="Times New Roman"/>
                <w:i/>
                <w:color w:val="000000"/>
                <w:szCs w:val="24"/>
                <w:lang w:eastAsia="tr-TR"/>
              </w:rPr>
              <w:t>Aeromonas Hydrophila+E.</w:t>
            </w:r>
            <w:r w:rsidR="00DE74F9">
              <w:rPr>
                <w:rFonts w:eastAsia="Times New Roman"/>
                <w:i/>
                <w:color w:val="000000"/>
                <w:szCs w:val="24"/>
                <w:lang w:eastAsia="tr-TR"/>
              </w:rPr>
              <w:t>Coli</w:t>
            </w:r>
          </w:p>
          <w:p w14:paraId="08A127E6" w14:textId="77777777" w:rsidR="00DE74F9" w:rsidRPr="00833CFC" w:rsidRDefault="00DE74F9" w:rsidP="0073714B">
            <w:pPr>
              <w:pBdr>
                <w:top w:val="single" w:sz="4" w:space="1" w:color="auto"/>
                <w:bottom w:val="single" w:sz="4" w:space="1" w:color="auto"/>
              </w:pBdr>
              <w:shd w:val="clear" w:color="auto" w:fill="DEEAF6" w:themeFill="accent1" w:themeFillTint="33"/>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Pr>
                <w:rFonts w:eastAsia="Times New Roman"/>
                <w:i/>
                <w:color w:val="000000"/>
                <w:szCs w:val="24"/>
                <w:lang w:eastAsia="tr-TR"/>
              </w:rPr>
              <w:t>***</w:t>
            </w:r>
            <w:r w:rsidRPr="00833CFC">
              <w:rPr>
                <w:rFonts w:eastAsia="Times New Roman"/>
                <w:i/>
                <w:color w:val="000000"/>
                <w:szCs w:val="24"/>
                <w:lang w:eastAsia="tr-TR"/>
              </w:rPr>
              <w:t>Stenotrophomonas Maltophilia</w:t>
            </w:r>
          </w:p>
          <w:p w14:paraId="29844EC4" w14:textId="77777777" w:rsidR="00DE74F9" w:rsidRPr="00833CFC" w:rsidRDefault="00DE74F9" w:rsidP="0073714B">
            <w:pPr>
              <w:pBdr>
                <w:top w:val="single" w:sz="4" w:space="1" w:color="auto"/>
                <w:bottom w:val="single" w:sz="4" w:space="1" w:color="auto"/>
              </w:pBdr>
              <w:shd w:val="clear" w:color="auto" w:fill="DEEAF6" w:themeFill="accent1" w:themeFillTint="33"/>
              <w:ind w:firstLine="0"/>
              <w:jc w:val="left"/>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Pr>
                <w:rFonts w:eastAsia="Times New Roman"/>
                <w:i/>
                <w:color w:val="000000"/>
                <w:szCs w:val="24"/>
                <w:lang w:eastAsia="tr-TR"/>
              </w:rPr>
              <w:t>***</w:t>
            </w:r>
            <w:r w:rsidRPr="00833CFC">
              <w:rPr>
                <w:rFonts w:eastAsia="Times New Roman"/>
                <w:i/>
                <w:color w:val="000000"/>
                <w:szCs w:val="24"/>
                <w:lang w:eastAsia="tr-TR"/>
              </w:rPr>
              <w:t>Chryseobacterium Gleum</w:t>
            </w:r>
          </w:p>
          <w:p w14:paraId="3189E1C3" w14:textId="6F9CDD4A" w:rsidR="00DE74F9" w:rsidRPr="00833CFC" w:rsidRDefault="0053611A" w:rsidP="0073714B">
            <w:pPr>
              <w:ind w:firstLine="0"/>
              <w:cnfStyle w:val="000000100000" w:firstRow="0" w:lastRow="0" w:firstColumn="0" w:lastColumn="0" w:oddVBand="0" w:evenVBand="0" w:oddHBand="1" w:evenHBand="0" w:firstRowFirstColumn="0" w:firstRowLastColumn="0" w:lastRowFirstColumn="0" w:lastRowLastColumn="0"/>
              <w:rPr>
                <w:rFonts w:eastAsia="Times New Roman"/>
                <w:i/>
                <w:color w:val="000000"/>
                <w:szCs w:val="24"/>
                <w:lang w:eastAsia="tr-TR"/>
              </w:rPr>
            </w:pPr>
            <w:r>
              <w:rPr>
                <w:rFonts w:eastAsia="Times New Roman"/>
                <w:i/>
                <w:color w:val="000000"/>
                <w:szCs w:val="24"/>
                <w:lang w:eastAsia="tr-TR"/>
              </w:rPr>
              <w:t>Pseudomonas Aeruginosa</w:t>
            </w:r>
          </w:p>
        </w:tc>
        <w:tc>
          <w:tcPr>
            <w:tcW w:w="0" w:type="auto"/>
          </w:tcPr>
          <w:p w14:paraId="11A6C617"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p>
          <w:p w14:paraId="460A2870"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2</w:t>
            </w:r>
          </w:p>
          <w:p w14:paraId="0EBE207D" w14:textId="77777777" w:rsidR="00DE74F9" w:rsidRPr="00FC5C4C" w:rsidRDefault="00DE74F9" w:rsidP="0073714B">
            <w:pPr>
              <w:pBdr>
                <w:top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p>
          <w:p w14:paraId="2EF1200C" w14:textId="77777777" w:rsidR="00DE74F9" w:rsidRPr="00FC5C4C" w:rsidRDefault="00DE74F9" w:rsidP="0073714B">
            <w:pPr>
              <w:pBdr>
                <w:bottom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r>
              <w:rPr>
                <w:szCs w:val="24"/>
              </w:rPr>
              <w:t>-</w:t>
            </w:r>
          </w:p>
          <w:p w14:paraId="73672E85" w14:textId="77777777" w:rsidR="00DE74F9" w:rsidRPr="00FC5C4C" w:rsidRDefault="00DE74F9" w:rsidP="0073714B">
            <w:pPr>
              <w:pBdr>
                <w:bottom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p>
          <w:p w14:paraId="58708D11"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2</w:t>
            </w:r>
          </w:p>
          <w:p w14:paraId="70E09C9D"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p w14:paraId="73E53243" w14:textId="77777777" w:rsidR="00DE74F9" w:rsidRPr="00FC5C4C" w:rsidRDefault="00DE74F9" w:rsidP="0073714B">
            <w:pPr>
              <w:pBdr>
                <w:top w:val="single" w:sz="4" w:space="1" w:color="auto"/>
                <w:bottom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p>
          <w:p w14:paraId="3AC61EAA" w14:textId="77777777" w:rsidR="00DE74F9" w:rsidRDefault="00DE74F9" w:rsidP="0073714B">
            <w:pPr>
              <w:pBdr>
                <w:top w:val="single" w:sz="4" w:space="1" w:color="auto"/>
                <w:bottom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p w14:paraId="5D933001" w14:textId="77777777" w:rsidR="00DE74F9" w:rsidRPr="00FC5C4C" w:rsidRDefault="00DE74F9" w:rsidP="0073714B">
            <w:pPr>
              <w:pBdr>
                <w:top w:val="single" w:sz="4" w:space="1" w:color="auto"/>
                <w:bottom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p>
          <w:p w14:paraId="72A584CE"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tc>
        <w:tc>
          <w:tcPr>
            <w:tcW w:w="0" w:type="auto"/>
          </w:tcPr>
          <w:p w14:paraId="52E4C8FF"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p w14:paraId="2DFFC9B6"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Pr>
                <w:szCs w:val="24"/>
              </w:rPr>
              <w:t>1</w:t>
            </w:r>
          </w:p>
          <w:p w14:paraId="48EA143F" w14:textId="77777777" w:rsidR="00DE74F9" w:rsidRPr="00FC5C4C" w:rsidRDefault="00DE74F9" w:rsidP="0073714B">
            <w:pPr>
              <w:pBdr>
                <w:top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p>
          <w:p w14:paraId="57179984" w14:textId="77777777" w:rsidR="00DE74F9" w:rsidRPr="00FC5C4C" w:rsidRDefault="00DE74F9" w:rsidP="0073714B">
            <w:pPr>
              <w:pBdr>
                <w:bottom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r>
              <w:rPr>
                <w:szCs w:val="24"/>
              </w:rPr>
              <w:t>1</w:t>
            </w:r>
          </w:p>
          <w:p w14:paraId="3F69349F" w14:textId="77777777" w:rsidR="00DE74F9" w:rsidRPr="00FC5C4C" w:rsidRDefault="00DE74F9" w:rsidP="0073714B">
            <w:pPr>
              <w:pBdr>
                <w:bottom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p>
          <w:p w14:paraId="42147F2B"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w:t>
            </w:r>
          </w:p>
          <w:p w14:paraId="275F726F"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p>
          <w:p w14:paraId="13B5CFB0" w14:textId="77777777" w:rsidR="00DE74F9" w:rsidRPr="00FC5C4C" w:rsidRDefault="00DE74F9" w:rsidP="0073714B">
            <w:pPr>
              <w:pBdr>
                <w:top w:val="single" w:sz="4" w:space="1" w:color="auto"/>
                <w:bottom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p>
          <w:p w14:paraId="40ED51BA" w14:textId="77777777" w:rsidR="00DE74F9" w:rsidRDefault="00DE74F9" w:rsidP="0073714B">
            <w:pPr>
              <w:pBdr>
                <w:top w:val="single" w:sz="4" w:space="1" w:color="auto"/>
                <w:bottom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p>
          <w:p w14:paraId="6B652EA6" w14:textId="77777777" w:rsidR="00DE74F9" w:rsidRPr="00FC5C4C" w:rsidRDefault="00DE74F9" w:rsidP="0073714B">
            <w:pPr>
              <w:pBdr>
                <w:top w:val="single" w:sz="4" w:space="1" w:color="auto"/>
                <w:bottom w:val="single" w:sz="4" w:space="1" w:color="auto"/>
              </w:pBdr>
              <w:shd w:val="clear" w:color="auto" w:fill="DEEAF6" w:themeFill="accent1" w:themeFillTint="33"/>
              <w:ind w:firstLine="0"/>
              <w:cnfStyle w:val="000000100000" w:firstRow="0" w:lastRow="0" w:firstColumn="0" w:lastColumn="0" w:oddVBand="0" w:evenVBand="0" w:oddHBand="1" w:evenHBand="0" w:firstRowFirstColumn="0" w:firstRowLastColumn="0" w:lastRowFirstColumn="0" w:lastRowLastColumn="0"/>
              <w:rPr>
                <w:szCs w:val="24"/>
              </w:rPr>
            </w:pPr>
          </w:p>
          <w:p w14:paraId="23BB8D98"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p>
        </w:tc>
        <w:tc>
          <w:tcPr>
            <w:tcW w:w="1595" w:type="dxa"/>
          </w:tcPr>
          <w:p w14:paraId="6D33BA49" w14:textId="77777777" w:rsidR="00DE74F9" w:rsidRPr="00FC5C4C" w:rsidRDefault="00DE74F9" w:rsidP="0073714B">
            <w:pPr>
              <w:ind w:firstLine="0"/>
              <w:cnfStyle w:val="000000100000" w:firstRow="0" w:lastRow="0" w:firstColumn="0" w:lastColumn="0" w:oddVBand="0" w:evenVBand="0" w:oddHBand="1" w:evenHBand="0" w:firstRowFirstColumn="0" w:firstRowLastColumn="0" w:lastRowFirstColumn="0" w:lastRowLastColumn="0"/>
              <w:rPr>
                <w:szCs w:val="24"/>
              </w:rPr>
            </w:pPr>
          </w:p>
          <w:p w14:paraId="747E79F4" w14:textId="77777777" w:rsidR="00DE74F9" w:rsidRPr="00FC5C4C" w:rsidRDefault="00DE74F9" w:rsidP="0073714B">
            <w:pPr>
              <w:cnfStyle w:val="000000100000" w:firstRow="0" w:lastRow="0" w:firstColumn="0" w:lastColumn="0" w:oddVBand="0" w:evenVBand="0" w:oddHBand="1" w:evenHBand="0" w:firstRowFirstColumn="0" w:firstRowLastColumn="0" w:lastRowFirstColumn="0" w:lastRowLastColumn="0"/>
              <w:rPr>
                <w:szCs w:val="24"/>
              </w:rPr>
            </w:pPr>
          </w:p>
          <w:p w14:paraId="33197429" w14:textId="77777777" w:rsidR="00DE74F9" w:rsidRPr="00FC5C4C" w:rsidRDefault="00DE74F9" w:rsidP="0073714B">
            <w:pPr>
              <w:cnfStyle w:val="000000100000" w:firstRow="0" w:lastRow="0" w:firstColumn="0" w:lastColumn="0" w:oddVBand="0" w:evenVBand="0" w:oddHBand="1" w:evenHBand="0" w:firstRowFirstColumn="0" w:firstRowLastColumn="0" w:lastRowFirstColumn="0" w:lastRowLastColumn="0"/>
              <w:rPr>
                <w:szCs w:val="24"/>
              </w:rPr>
            </w:pPr>
          </w:p>
          <w:p w14:paraId="728A1FBC" w14:textId="77777777" w:rsidR="00DE74F9" w:rsidRPr="00FC5C4C" w:rsidRDefault="00DE74F9" w:rsidP="0073714B">
            <w:pPr>
              <w:cnfStyle w:val="000000100000" w:firstRow="0" w:lastRow="0" w:firstColumn="0" w:lastColumn="0" w:oddVBand="0" w:evenVBand="0" w:oddHBand="1" w:evenHBand="0" w:firstRowFirstColumn="0" w:firstRowLastColumn="0" w:lastRowFirstColumn="0" w:lastRowLastColumn="0"/>
              <w:rPr>
                <w:szCs w:val="24"/>
              </w:rPr>
            </w:pPr>
          </w:p>
          <w:p w14:paraId="37F05D25" w14:textId="3AD8E4B1" w:rsidR="00DE74F9" w:rsidRPr="00FC5C4C" w:rsidRDefault="00DE74F9" w:rsidP="0073714B">
            <w:pPr>
              <w:ind w:firstLine="0"/>
              <w:jc w:val="center"/>
              <w:cnfStyle w:val="000000100000" w:firstRow="0" w:lastRow="0" w:firstColumn="0" w:lastColumn="0" w:oddVBand="0" w:evenVBand="0" w:oddHBand="1" w:evenHBand="0" w:firstRowFirstColumn="0" w:firstRowLastColumn="0" w:lastRowFirstColumn="0" w:lastRowLastColumn="0"/>
              <w:rPr>
                <w:szCs w:val="24"/>
              </w:rPr>
            </w:pPr>
            <w:r w:rsidRPr="00FC5C4C">
              <w:rPr>
                <w:szCs w:val="24"/>
              </w:rPr>
              <w:t>1</w:t>
            </w:r>
            <w:r>
              <w:rPr>
                <w:szCs w:val="24"/>
              </w:rPr>
              <w:t>0</w:t>
            </w:r>
            <w:r w:rsidRPr="00FC5C4C">
              <w:rPr>
                <w:szCs w:val="24"/>
              </w:rPr>
              <w:t xml:space="preserve"> (</w:t>
            </w:r>
            <w:r>
              <w:rPr>
                <w:szCs w:val="24"/>
              </w:rPr>
              <w:t>41</w:t>
            </w:r>
            <w:r w:rsidR="00A01358">
              <w:rPr>
                <w:szCs w:val="24"/>
              </w:rPr>
              <w:t>.</w:t>
            </w:r>
            <w:r>
              <w:rPr>
                <w:szCs w:val="24"/>
              </w:rPr>
              <w:t>6)</w:t>
            </w:r>
          </w:p>
        </w:tc>
      </w:tr>
      <w:tr w:rsidR="0053611A" w:rsidRPr="00FC5C4C" w14:paraId="6FA8A237" w14:textId="77777777" w:rsidTr="0053611A">
        <w:trPr>
          <w:trHeight w:val="784"/>
        </w:trPr>
        <w:tc>
          <w:tcPr>
            <w:cnfStyle w:val="001000000000" w:firstRow="0" w:lastRow="0" w:firstColumn="1" w:lastColumn="0" w:oddVBand="0" w:evenVBand="0" w:oddHBand="0" w:evenHBand="0" w:firstRowFirstColumn="0" w:firstRowLastColumn="0" w:lastRowFirstColumn="0" w:lastRowLastColumn="0"/>
            <w:tcW w:w="0" w:type="auto"/>
          </w:tcPr>
          <w:p w14:paraId="6B1000E7" w14:textId="77777777" w:rsidR="00DE74F9" w:rsidRPr="00F87D67" w:rsidRDefault="00DE74F9" w:rsidP="0073714B">
            <w:pPr>
              <w:ind w:firstLine="0"/>
              <w:rPr>
                <w:bCs w:val="0"/>
                <w:szCs w:val="24"/>
              </w:rPr>
            </w:pPr>
            <w:r w:rsidRPr="00F87D67">
              <w:rPr>
                <w:bCs w:val="0"/>
                <w:szCs w:val="24"/>
              </w:rPr>
              <w:t>İdrar Kültürü</w:t>
            </w:r>
          </w:p>
        </w:tc>
        <w:tc>
          <w:tcPr>
            <w:tcW w:w="0" w:type="auto"/>
          </w:tcPr>
          <w:p w14:paraId="5FFF7B34" w14:textId="77777777" w:rsidR="00DE74F9" w:rsidRPr="00833CFC" w:rsidRDefault="00DE74F9" w:rsidP="0073714B">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Escherichia Coli</w:t>
            </w:r>
          </w:p>
          <w:p w14:paraId="67265946" w14:textId="77777777" w:rsidR="00DE74F9" w:rsidRPr="00833CFC" w:rsidRDefault="00DE74F9" w:rsidP="0073714B">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i/>
                <w:color w:val="000000"/>
                <w:szCs w:val="24"/>
                <w:lang w:eastAsia="tr-TR"/>
              </w:rPr>
            </w:pPr>
            <w:r w:rsidRPr="00833CFC">
              <w:rPr>
                <w:rFonts w:eastAsia="Times New Roman"/>
                <w:i/>
                <w:color w:val="000000"/>
                <w:szCs w:val="24"/>
                <w:lang w:eastAsia="tr-TR"/>
              </w:rPr>
              <w:t>Citrobacter Freundii</w:t>
            </w:r>
          </w:p>
        </w:tc>
        <w:tc>
          <w:tcPr>
            <w:tcW w:w="0" w:type="auto"/>
          </w:tcPr>
          <w:p w14:paraId="453BB509"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1</w:t>
            </w:r>
          </w:p>
          <w:p w14:paraId="1E9CF59C"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w:t>
            </w:r>
          </w:p>
        </w:tc>
        <w:tc>
          <w:tcPr>
            <w:tcW w:w="0" w:type="auto"/>
          </w:tcPr>
          <w:p w14:paraId="06872543"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1</w:t>
            </w:r>
          </w:p>
          <w:p w14:paraId="09AD28AD" w14:textId="77777777" w:rsidR="00DE74F9" w:rsidRPr="00FC5C4C" w:rsidRDefault="00DE74F9" w:rsidP="0073714B">
            <w:pPr>
              <w:ind w:firstLine="0"/>
              <w:cnfStyle w:val="000000000000" w:firstRow="0" w:lastRow="0" w:firstColumn="0" w:lastColumn="0" w:oddVBand="0" w:evenVBand="0" w:oddHBand="0" w:evenHBand="0" w:firstRowFirstColumn="0" w:firstRowLastColumn="0" w:lastRowFirstColumn="0" w:lastRowLastColumn="0"/>
              <w:rPr>
                <w:szCs w:val="24"/>
              </w:rPr>
            </w:pPr>
            <w:r w:rsidRPr="00FC5C4C">
              <w:rPr>
                <w:szCs w:val="24"/>
              </w:rPr>
              <w:t>1</w:t>
            </w:r>
          </w:p>
        </w:tc>
        <w:tc>
          <w:tcPr>
            <w:tcW w:w="1595" w:type="dxa"/>
          </w:tcPr>
          <w:p w14:paraId="52FE2434" w14:textId="77777777" w:rsidR="00DE74F9" w:rsidRDefault="00DE74F9" w:rsidP="0073714B">
            <w:pPr>
              <w:ind w:firstLine="0"/>
              <w:jc w:val="center"/>
              <w:cnfStyle w:val="000000000000" w:firstRow="0" w:lastRow="0" w:firstColumn="0" w:lastColumn="0" w:oddVBand="0" w:evenVBand="0" w:oddHBand="0" w:evenHBand="0" w:firstRowFirstColumn="0" w:firstRowLastColumn="0" w:lastRowFirstColumn="0" w:lastRowLastColumn="0"/>
              <w:rPr>
                <w:szCs w:val="24"/>
              </w:rPr>
            </w:pPr>
          </w:p>
          <w:p w14:paraId="26F3BD0F" w14:textId="3FEBEA03" w:rsidR="00DE74F9" w:rsidRPr="00FC5C4C" w:rsidRDefault="00DE74F9" w:rsidP="0053611A">
            <w:pPr>
              <w:ind w:firstLine="0"/>
              <w:jc w:val="center"/>
              <w:cnfStyle w:val="000000000000" w:firstRow="0" w:lastRow="0" w:firstColumn="0" w:lastColumn="0" w:oddVBand="0" w:evenVBand="0" w:oddHBand="0" w:evenHBand="0" w:firstRowFirstColumn="0" w:firstRowLastColumn="0" w:lastRowFirstColumn="0" w:lastRowLastColumn="0"/>
              <w:rPr>
                <w:szCs w:val="24"/>
              </w:rPr>
            </w:pPr>
            <w:r w:rsidRPr="00FC5C4C">
              <w:rPr>
                <w:szCs w:val="24"/>
              </w:rPr>
              <w:t>3 (12</w:t>
            </w:r>
            <w:r w:rsidR="00A01358">
              <w:rPr>
                <w:szCs w:val="24"/>
              </w:rPr>
              <w:t>.</w:t>
            </w:r>
            <w:r w:rsidRPr="00FC5C4C">
              <w:rPr>
                <w:szCs w:val="24"/>
              </w:rPr>
              <w:t>5)</w:t>
            </w:r>
          </w:p>
        </w:tc>
      </w:tr>
    </w:tbl>
    <w:p w14:paraId="336419E8" w14:textId="04B98864" w:rsidR="00DE74F9" w:rsidRPr="0053611A" w:rsidRDefault="0053611A" w:rsidP="00DE74F9">
      <w:pPr>
        <w:ind w:firstLine="0"/>
        <w:rPr>
          <w:sz w:val="22"/>
        </w:rPr>
      </w:pPr>
      <w:r w:rsidRPr="0053611A">
        <w:rPr>
          <w:sz w:val="22"/>
        </w:rPr>
        <w:t xml:space="preserve">.  n=Alınan </w:t>
      </w:r>
      <w:r w:rsidR="009120D3">
        <w:rPr>
          <w:sz w:val="22"/>
        </w:rPr>
        <w:t xml:space="preserve">toplam </w:t>
      </w:r>
      <w:r w:rsidRPr="0053611A">
        <w:rPr>
          <w:sz w:val="22"/>
        </w:rPr>
        <w:t xml:space="preserve">kültür sayısı </w:t>
      </w:r>
      <w:r>
        <w:rPr>
          <w:sz w:val="22"/>
        </w:rPr>
        <w:t xml:space="preserve">, </w:t>
      </w:r>
      <w:r w:rsidR="00DE74F9" w:rsidRPr="0053611A">
        <w:rPr>
          <w:sz w:val="22"/>
        </w:rPr>
        <w:t>*Aynı hastanın kan kültüründe iki patojen üredi.  ** Aynı hastanın a</w:t>
      </w:r>
      <w:r>
        <w:rPr>
          <w:sz w:val="22"/>
        </w:rPr>
        <w:t>p</w:t>
      </w:r>
      <w:r w:rsidR="00DE74F9" w:rsidRPr="0053611A">
        <w:rPr>
          <w:sz w:val="22"/>
        </w:rPr>
        <w:t xml:space="preserve">se </w:t>
      </w:r>
      <w:r w:rsidR="00F41A53" w:rsidRPr="0053611A">
        <w:rPr>
          <w:sz w:val="22"/>
        </w:rPr>
        <w:t>kültüründe</w:t>
      </w:r>
      <w:r w:rsidR="00DE74F9" w:rsidRPr="0053611A">
        <w:rPr>
          <w:sz w:val="22"/>
        </w:rPr>
        <w:t xml:space="preserve"> üç patojen üredi.  *** Aynı hastanın </w:t>
      </w:r>
      <w:r>
        <w:rPr>
          <w:sz w:val="22"/>
        </w:rPr>
        <w:t>apse</w:t>
      </w:r>
      <w:r w:rsidR="00DE74F9" w:rsidRPr="0053611A">
        <w:rPr>
          <w:sz w:val="22"/>
        </w:rPr>
        <w:t xml:space="preserve"> </w:t>
      </w:r>
      <w:r w:rsidR="00F41A53" w:rsidRPr="0053611A">
        <w:rPr>
          <w:sz w:val="22"/>
        </w:rPr>
        <w:t>kültüründe</w:t>
      </w:r>
      <w:r w:rsidR="00DE74F9" w:rsidRPr="0053611A">
        <w:rPr>
          <w:sz w:val="22"/>
        </w:rPr>
        <w:t xml:space="preserve"> iki patojen üredi</w:t>
      </w:r>
    </w:p>
    <w:p w14:paraId="2419E962" w14:textId="77777777" w:rsidR="00A50867" w:rsidRDefault="00A50867" w:rsidP="00A50867">
      <w:r>
        <w:lastRenderedPageBreak/>
        <w:t xml:space="preserve">Kültür sonucunda üreme olmayan ve üreme olan gruplar arasında Kaplan-Meier analizine göre sağkalım analizi yapıldı. Kültürde üreme olmayan hastaların sağ kalım oranlarının artmış olduğu görüldü. </w:t>
      </w:r>
    </w:p>
    <w:p w14:paraId="5736C03C" w14:textId="2EE8EA29" w:rsidR="00A50867" w:rsidRDefault="00A50867" w:rsidP="00A50867">
      <w:r>
        <w:t>Üreme olmayan ve olan grupların 30. gün hayatta kalma oranları sırasıyla %87</w:t>
      </w:r>
      <w:r w:rsidR="00A01358">
        <w:t>.</w:t>
      </w:r>
      <w:r>
        <w:t>5 ve %62</w:t>
      </w:r>
      <w:r w:rsidR="00A01358">
        <w:t>.</w:t>
      </w:r>
      <w:r w:rsidR="00472272">
        <w:t xml:space="preserve">5 olarak ölçüldü, </w:t>
      </w:r>
      <w:r w:rsidR="00C91A83">
        <w:t>a</w:t>
      </w:r>
      <w:r>
        <w:t>ynı şekilde bu grupların 90. günde hayatta kalma oranları %75 ve %62</w:t>
      </w:r>
      <w:r w:rsidR="00A01358">
        <w:t>.</w:t>
      </w:r>
      <w:r>
        <w:t>5 olarak ölçüldü</w:t>
      </w:r>
      <w:r w:rsidR="00C91A83">
        <w:t>, istatistiksel olarak anlamlı değildi</w:t>
      </w:r>
      <w:r>
        <w:t xml:space="preserve"> (</w:t>
      </w:r>
      <w:r w:rsidR="008E65F3">
        <w:t>p=0.</w:t>
      </w:r>
      <w:r>
        <w:t xml:space="preserve">42). </w:t>
      </w:r>
    </w:p>
    <w:p w14:paraId="6A79A9B1" w14:textId="77777777" w:rsidR="00A50867" w:rsidRDefault="00A50867" w:rsidP="00A50867">
      <w:r>
        <w:t xml:space="preserve">Sonuçlar Şekil 4.1 ve Tablo 4.13 te gösterilmiştir. </w:t>
      </w:r>
    </w:p>
    <w:p w14:paraId="2242B1EC" w14:textId="3B2B771B" w:rsidR="00DE74F9" w:rsidRPr="007024E1" w:rsidRDefault="00A50867" w:rsidP="00DE74F9">
      <w:r>
        <w:rPr>
          <w:noProof/>
          <w:lang w:eastAsia="tr-TR"/>
        </w:rPr>
        <w:drawing>
          <wp:anchor distT="0" distB="0" distL="114300" distR="114300" simplePos="0" relativeHeight="251715584" behindDoc="0" locked="0" layoutInCell="1" allowOverlap="1" wp14:anchorId="7A69EC8E" wp14:editId="2CFA242C">
            <wp:simplePos x="0" y="0"/>
            <wp:positionH relativeFrom="column">
              <wp:posOffset>-174625</wp:posOffset>
            </wp:positionH>
            <wp:positionV relativeFrom="paragraph">
              <wp:posOffset>172085</wp:posOffset>
            </wp:positionV>
            <wp:extent cx="4657725" cy="2748821"/>
            <wp:effectExtent l="0" t="0" r="0" b="0"/>
            <wp:wrapNone/>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57725" cy="2748821"/>
                    </a:xfrm>
                    <a:prstGeom prst="rect">
                      <a:avLst/>
                    </a:prstGeom>
                    <a:noFill/>
                  </pic:spPr>
                </pic:pic>
              </a:graphicData>
            </a:graphic>
            <wp14:sizeRelH relativeFrom="margin">
              <wp14:pctWidth>0</wp14:pctWidth>
            </wp14:sizeRelH>
            <wp14:sizeRelV relativeFrom="margin">
              <wp14:pctHeight>0</wp14:pctHeight>
            </wp14:sizeRelV>
          </wp:anchor>
        </w:drawing>
      </w:r>
    </w:p>
    <w:p w14:paraId="73B08000" w14:textId="7117DAA2" w:rsidR="00DE74F9" w:rsidRPr="007024E1" w:rsidRDefault="00DE74F9" w:rsidP="00DE74F9"/>
    <w:p w14:paraId="552B74F6" w14:textId="77777777" w:rsidR="00DE74F9" w:rsidRPr="007024E1" w:rsidRDefault="00DE74F9" w:rsidP="00DE74F9"/>
    <w:p w14:paraId="7F32F008" w14:textId="77777777" w:rsidR="00DE74F9" w:rsidRPr="007024E1" w:rsidRDefault="00DE74F9" w:rsidP="00DE74F9"/>
    <w:p w14:paraId="602F6DF9" w14:textId="77777777" w:rsidR="00DE74F9" w:rsidRPr="007024E1" w:rsidRDefault="00DE74F9" w:rsidP="00DE74F9"/>
    <w:p w14:paraId="169AC818" w14:textId="77777777" w:rsidR="00DE74F9" w:rsidRDefault="00DE74F9" w:rsidP="00DE74F9">
      <w:pPr>
        <w:pStyle w:val="ResimYazs"/>
        <w:rPr>
          <w:i w:val="0"/>
          <w:color w:val="auto"/>
          <w:sz w:val="24"/>
          <w:szCs w:val="24"/>
        </w:rPr>
      </w:pPr>
    </w:p>
    <w:p w14:paraId="4AFB0401" w14:textId="77777777" w:rsidR="00DE74F9" w:rsidRDefault="00DE74F9" w:rsidP="00DE74F9"/>
    <w:p w14:paraId="1AD5788D" w14:textId="77777777" w:rsidR="00DE74F9" w:rsidRDefault="00DE74F9" w:rsidP="00DE74F9"/>
    <w:p w14:paraId="0A7E7911" w14:textId="77777777" w:rsidR="00DE74F9" w:rsidRDefault="00DE74F9" w:rsidP="00DE74F9"/>
    <w:p w14:paraId="30F72B5D" w14:textId="77777777" w:rsidR="00DE74F9" w:rsidRDefault="00DE74F9" w:rsidP="00DE74F9"/>
    <w:p w14:paraId="15474C61" w14:textId="77777777" w:rsidR="00DE74F9" w:rsidRDefault="00DE74F9" w:rsidP="00DE74F9"/>
    <w:p w14:paraId="6ACD2A48" w14:textId="6DBE2630" w:rsidR="00DE74F9" w:rsidRPr="00166574" w:rsidRDefault="00DE74F9" w:rsidP="00DE74F9">
      <w:pPr>
        <w:pStyle w:val="ResimYazs"/>
        <w:rPr>
          <w:i w:val="0"/>
          <w:color w:val="auto"/>
          <w:sz w:val="24"/>
          <w:szCs w:val="24"/>
        </w:rPr>
      </w:pPr>
      <w:bookmarkStart w:id="558" w:name="_Toc49817971"/>
      <w:r w:rsidRPr="00166574">
        <w:rPr>
          <w:i w:val="0"/>
          <w:color w:val="auto"/>
          <w:sz w:val="24"/>
          <w:szCs w:val="24"/>
        </w:rPr>
        <w:t xml:space="preserve">Şekil </w:t>
      </w:r>
      <w:r w:rsidRPr="00166574">
        <w:rPr>
          <w:i w:val="0"/>
          <w:color w:val="auto"/>
          <w:sz w:val="24"/>
          <w:szCs w:val="24"/>
        </w:rPr>
        <w:fldChar w:fldCharType="begin"/>
      </w:r>
      <w:r w:rsidRPr="00166574">
        <w:rPr>
          <w:i w:val="0"/>
          <w:color w:val="auto"/>
          <w:sz w:val="24"/>
          <w:szCs w:val="24"/>
        </w:rPr>
        <w:instrText xml:space="preserve"> STYLEREF 1 \s </w:instrText>
      </w:r>
      <w:r w:rsidRPr="00166574">
        <w:rPr>
          <w:i w:val="0"/>
          <w:color w:val="auto"/>
          <w:sz w:val="24"/>
          <w:szCs w:val="24"/>
        </w:rPr>
        <w:fldChar w:fldCharType="separate"/>
      </w:r>
      <w:r w:rsidR="00166574" w:rsidRPr="00166574">
        <w:rPr>
          <w:i w:val="0"/>
          <w:noProof/>
          <w:color w:val="auto"/>
          <w:sz w:val="24"/>
          <w:szCs w:val="24"/>
        </w:rPr>
        <w:t>4</w:t>
      </w:r>
      <w:r w:rsidRPr="00166574">
        <w:rPr>
          <w:i w:val="0"/>
          <w:color w:val="auto"/>
          <w:sz w:val="24"/>
          <w:szCs w:val="24"/>
        </w:rPr>
        <w:fldChar w:fldCharType="end"/>
      </w:r>
      <w:r w:rsidR="00166574" w:rsidRPr="00166574">
        <w:rPr>
          <w:i w:val="0"/>
          <w:color w:val="auto"/>
          <w:sz w:val="24"/>
          <w:szCs w:val="24"/>
        </w:rPr>
        <w:t>.</w:t>
      </w:r>
      <w:r w:rsidRPr="00166574">
        <w:rPr>
          <w:i w:val="0"/>
          <w:color w:val="auto"/>
          <w:sz w:val="24"/>
          <w:szCs w:val="24"/>
        </w:rPr>
        <w:fldChar w:fldCharType="begin"/>
      </w:r>
      <w:r w:rsidRPr="00166574">
        <w:rPr>
          <w:i w:val="0"/>
          <w:color w:val="auto"/>
          <w:sz w:val="24"/>
          <w:szCs w:val="24"/>
        </w:rPr>
        <w:instrText xml:space="preserve"> SEQ Şekil \* ARABIC \s 1 </w:instrText>
      </w:r>
      <w:r w:rsidRPr="00166574">
        <w:rPr>
          <w:i w:val="0"/>
          <w:color w:val="auto"/>
          <w:sz w:val="24"/>
          <w:szCs w:val="24"/>
        </w:rPr>
        <w:fldChar w:fldCharType="separate"/>
      </w:r>
      <w:r w:rsidR="00166574" w:rsidRPr="00166574">
        <w:rPr>
          <w:i w:val="0"/>
          <w:noProof/>
          <w:color w:val="auto"/>
          <w:sz w:val="24"/>
          <w:szCs w:val="24"/>
        </w:rPr>
        <w:t>1</w:t>
      </w:r>
      <w:r w:rsidRPr="00166574">
        <w:rPr>
          <w:i w:val="0"/>
          <w:color w:val="auto"/>
          <w:sz w:val="24"/>
          <w:szCs w:val="24"/>
        </w:rPr>
        <w:fldChar w:fldCharType="end"/>
      </w:r>
      <w:r w:rsidR="00166574" w:rsidRPr="00166574">
        <w:rPr>
          <w:i w:val="0"/>
          <w:color w:val="auto"/>
          <w:sz w:val="24"/>
          <w:szCs w:val="24"/>
        </w:rPr>
        <w:t xml:space="preserve"> </w:t>
      </w:r>
      <w:r w:rsidRPr="00166574">
        <w:rPr>
          <w:i w:val="0"/>
          <w:color w:val="auto"/>
          <w:sz w:val="24"/>
          <w:szCs w:val="24"/>
        </w:rPr>
        <w:t xml:space="preserve">Kültür </w:t>
      </w:r>
      <w:r w:rsidR="00166574" w:rsidRPr="00166574">
        <w:rPr>
          <w:i w:val="0"/>
          <w:color w:val="auto"/>
          <w:sz w:val="24"/>
          <w:szCs w:val="24"/>
        </w:rPr>
        <w:t xml:space="preserve">Sonucuna Göre </w:t>
      </w:r>
      <w:r w:rsidRPr="00166574">
        <w:rPr>
          <w:i w:val="0"/>
          <w:color w:val="auto"/>
          <w:sz w:val="24"/>
          <w:szCs w:val="24"/>
        </w:rPr>
        <w:t xml:space="preserve">Kaplan Meier </w:t>
      </w:r>
      <w:r w:rsidR="00166574" w:rsidRPr="00166574">
        <w:rPr>
          <w:i w:val="0"/>
          <w:color w:val="auto"/>
          <w:sz w:val="24"/>
          <w:szCs w:val="24"/>
        </w:rPr>
        <w:t xml:space="preserve">Hayatta Kalım Analizi </w:t>
      </w:r>
      <w:bookmarkEnd w:id="558"/>
    </w:p>
    <w:p w14:paraId="5BDBEF36" w14:textId="77777777" w:rsidR="00DE74F9" w:rsidRDefault="00DE74F9" w:rsidP="00DE74F9">
      <w:pPr>
        <w:rPr>
          <w:highlight w:val="yellow"/>
        </w:rPr>
      </w:pPr>
    </w:p>
    <w:p w14:paraId="5E650561" w14:textId="77777777" w:rsidR="00DE74F9" w:rsidRDefault="00DE74F9" w:rsidP="00DE74F9">
      <w:pPr>
        <w:pStyle w:val="ResimYazs"/>
        <w:ind w:firstLine="0"/>
        <w:rPr>
          <w:i w:val="0"/>
          <w:iCs w:val="0"/>
          <w:color w:val="auto"/>
          <w:sz w:val="24"/>
          <w:szCs w:val="22"/>
        </w:rPr>
      </w:pPr>
    </w:p>
    <w:p w14:paraId="1745E0DE" w14:textId="16D53EE4" w:rsidR="00C91A83" w:rsidRPr="00166574" w:rsidRDefault="00DE74F9" w:rsidP="00C91A83">
      <w:pPr>
        <w:pStyle w:val="ResimYazs"/>
        <w:ind w:firstLine="0"/>
        <w:rPr>
          <w:i w:val="0"/>
          <w:color w:val="auto"/>
          <w:sz w:val="24"/>
          <w:szCs w:val="24"/>
        </w:rPr>
      </w:pPr>
      <w:bookmarkStart w:id="559" w:name="_Toc49818023"/>
      <w:r w:rsidRPr="00166574">
        <w:rPr>
          <w:i w:val="0"/>
          <w:color w:val="auto"/>
          <w:sz w:val="24"/>
          <w:szCs w:val="24"/>
        </w:rPr>
        <w:t xml:space="preserve">Tablo </w:t>
      </w:r>
      <w:r w:rsidR="002B4CBE" w:rsidRPr="00166574">
        <w:rPr>
          <w:i w:val="0"/>
          <w:color w:val="auto"/>
          <w:sz w:val="24"/>
          <w:szCs w:val="24"/>
        </w:rPr>
        <w:fldChar w:fldCharType="begin"/>
      </w:r>
      <w:r w:rsidR="002B4CBE" w:rsidRPr="00166574">
        <w:rPr>
          <w:i w:val="0"/>
          <w:color w:val="auto"/>
          <w:sz w:val="24"/>
          <w:szCs w:val="24"/>
        </w:rPr>
        <w:instrText xml:space="preserve"> STYLEREF 1 \s </w:instrText>
      </w:r>
      <w:r w:rsidR="002B4CBE" w:rsidRPr="00166574">
        <w:rPr>
          <w:i w:val="0"/>
          <w:color w:val="auto"/>
          <w:sz w:val="24"/>
          <w:szCs w:val="24"/>
        </w:rPr>
        <w:fldChar w:fldCharType="separate"/>
      </w:r>
      <w:r w:rsidR="00063441" w:rsidRPr="00166574">
        <w:rPr>
          <w:i w:val="0"/>
          <w:noProof/>
          <w:color w:val="auto"/>
          <w:sz w:val="24"/>
          <w:szCs w:val="24"/>
        </w:rPr>
        <w:t>4</w:t>
      </w:r>
      <w:r w:rsidR="002B4CBE" w:rsidRPr="00166574">
        <w:rPr>
          <w:i w:val="0"/>
          <w:color w:val="auto"/>
          <w:sz w:val="24"/>
          <w:szCs w:val="24"/>
        </w:rPr>
        <w:fldChar w:fldCharType="end"/>
      </w:r>
      <w:r w:rsidR="002B4CBE" w:rsidRPr="00166574">
        <w:rPr>
          <w:i w:val="0"/>
          <w:color w:val="auto"/>
          <w:sz w:val="24"/>
          <w:szCs w:val="24"/>
        </w:rPr>
        <w:t>.</w:t>
      </w:r>
      <w:r w:rsidR="002B4CBE" w:rsidRPr="00166574">
        <w:rPr>
          <w:i w:val="0"/>
          <w:color w:val="auto"/>
          <w:sz w:val="24"/>
          <w:szCs w:val="24"/>
        </w:rPr>
        <w:fldChar w:fldCharType="begin"/>
      </w:r>
      <w:r w:rsidR="002B4CBE" w:rsidRPr="00166574">
        <w:rPr>
          <w:i w:val="0"/>
          <w:color w:val="auto"/>
          <w:sz w:val="24"/>
          <w:szCs w:val="24"/>
        </w:rPr>
        <w:instrText xml:space="preserve"> SEQ Tablo \* ARABIC \s 1 </w:instrText>
      </w:r>
      <w:r w:rsidR="002B4CBE" w:rsidRPr="00166574">
        <w:rPr>
          <w:i w:val="0"/>
          <w:color w:val="auto"/>
          <w:sz w:val="24"/>
          <w:szCs w:val="24"/>
        </w:rPr>
        <w:fldChar w:fldCharType="separate"/>
      </w:r>
      <w:r w:rsidR="00063441" w:rsidRPr="00166574">
        <w:rPr>
          <w:i w:val="0"/>
          <w:noProof/>
          <w:color w:val="auto"/>
          <w:sz w:val="24"/>
          <w:szCs w:val="24"/>
        </w:rPr>
        <w:t>8</w:t>
      </w:r>
      <w:r w:rsidR="002B4CBE" w:rsidRPr="00166574">
        <w:rPr>
          <w:i w:val="0"/>
          <w:color w:val="auto"/>
          <w:sz w:val="24"/>
          <w:szCs w:val="24"/>
        </w:rPr>
        <w:fldChar w:fldCharType="end"/>
      </w:r>
      <w:r w:rsidRPr="00166574">
        <w:rPr>
          <w:i w:val="0"/>
          <w:color w:val="auto"/>
          <w:sz w:val="24"/>
          <w:szCs w:val="24"/>
        </w:rPr>
        <w:t xml:space="preserve">  Kültür </w:t>
      </w:r>
      <w:r w:rsidR="00166574" w:rsidRPr="00166574">
        <w:rPr>
          <w:i w:val="0"/>
          <w:color w:val="auto"/>
          <w:sz w:val="24"/>
          <w:szCs w:val="24"/>
        </w:rPr>
        <w:t>Sonucuna Göre Hayatta Kalma Dağılımlarının Eşitliği Testi</w:t>
      </w:r>
      <w:bookmarkEnd w:id="559"/>
    </w:p>
    <w:tbl>
      <w:tblPr>
        <w:tblW w:w="7372" w:type="dxa"/>
        <w:tblInd w:w="-2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86"/>
        <w:gridCol w:w="1909"/>
        <w:gridCol w:w="992"/>
        <w:gridCol w:w="1985"/>
      </w:tblGrid>
      <w:tr w:rsidR="00DE74F9" w:rsidRPr="00BC0CFD" w14:paraId="4D14BEAA" w14:textId="77777777" w:rsidTr="0073714B">
        <w:trPr>
          <w:cantSplit/>
        </w:trPr>
        <w:tc>
          <w:tcPr>
            <w:tcW w:w="2486" w:type="dxa"/>
            <w:tcBorders>
              <w:top w:val="nil"/>
              <w:left w:val="nil"/>
              <w:bottom w:val="single" w:sz="8" w:space="0" w:color="152935"/>
              <w:right w:val="nil"/>
            </w:tcBorders>
            <w:shd w:val="clear" w:color="auto" w:fill="FFFFFF"/>
            <w:vAlign w:val="bottom"/>
          </w:tcPr>
          <w:p w14:paraId="75A4C7AC" w14:textId="77777777" w:rsidR="00DE74F9" w:rsidRPr="00BC0CFD" w:rsidRDefault="00DE74F9" w:rsidP="0073714B"/>
        </w:tc>
        <w:tc>
          <w:tcPr>
            <w:tcW w:w="1909" w:type="dxa"/>
            <w:tcBorders>
              <w:top w:val="nil"/>
              <w:left w:val="nil"/>
              <w:bottom w:val="single" w:sz="8" w:space="0" w:color="152935"/>
              <w:right w:val="single" w:sz="8" w:space="0" w:color="E0E0E0"/>
            </w:tcBorders>
            <w:shd w:val="clear" w:color="auto" w:fill="FFFFFF"/>
            <w:vAlign w:val="bottom"/>
          </w:tcPr>
          <w:p w14:paraId="4D8CFA4F" w14:textId="77777777" w:rsidR="00DE74F9" w:rsidRPr="00BC0CFD" w:rsidRDefault="00DE74F9" w:rsidP="0073714B">
            <w:pPr>
              <w:ind w:firstLine="0"/>
              <w:jc w:val="center"/>
            </w:pPr>
            <w:r w:rsidRPr="00BC0CFD">
              <w:t>Chi-Square</w:t>
            </w:r>
          </w:p>
        </w:tc>
        <w:tc>
          <w:tcPr>
            <w:tcW w:w="992" w:type="dxa"/>
            <w:tcBorders>
              <w:top w:val="nil"/>
              <w:left w:val="single" w:sz="8" w:space="0" w:color="E0E0E0"/>
              <w:bottom w:val="single" w:sz="8" w:space="0" w:color="152935"/>
              <w:right w:val="single" w:sz="8" w:space="0" w:color="E0E0E0"/>
            </w:tcBorders>
            <w:shd w:val="clear" w:color="auto" w:fill="FFFFFF"/>
            <w:vAlign w:val="bottom"/>
          </w:tcPr>
          <w:p w14:paraId="346B8709" w14:textId="77777777" w:rsidR="00DE74F9" w:rsidRPr="00BC0CFD" w:rsidRDefault="00DE74F9" w:rsidP="0073714B">
            <w:pPr>
              <w:ind w:firstLine="0"/>
              <w:jc w:val="center"/>
            </w:pPr>
            <w:r w:rsidRPr="00BC0CFD">
              <w:t>Df</w:t>
            </w:r>
          </w:p>
        </w:tc>
        <w:tc>
          <w:tcPr>
            <w:tcW w:w="1985" w:type="dxa"/>
            <w:tcBorders>
              <w:top w:val="nil"/>
              <w:left w:val="single" w:sz="8" w:space="0" w:color="E0E0E0"/>
              <w:bottom w:val="single" w:sz="8" w:space="0" w:color="152935"/>
              <w:right w:val="nil"/>
            </w:tcBorders>
            <w:shd w:val="clear" w:color="auto" w:fill="FFFFFF"/>
            <w:vAlign w:val="bottom"/>
          </w:tcPr>
          <w:p w14:paraId="1C28320C" w14:textId="77777777" w:rsidR="00DE74F9" w:rsidRPr="00BC0CFD" w:rsidRDefault="00DE74F9" w:rsidP="0073714B">
            <w:pPr>
              <w:ind w:firstLine="0"/>
              <w:jc w:val="center"/>
            </w:pPr>
            <w:r>
              <w:t>(p değeri)</w:t>
            </w:r>
          </w:p>
        </w:tc>
      </w:tr>
      <w:tr w:rsidR="00DE74F9" w:rsidRPr="00BC0CFD" w14:paraId="4AB7001D" w14:textId="77777777" w:rsidTr="0073714B">
        <w:trPr>
          <w:cantSplit/>
        </w:trPr>
        <w:tc>
          <w:tcPr>
            <w:tcW w:w="2486" w:type="dxa"/>
            <w:tcBorders>
              <w:top w:val="single" w:sz="8" w:space="0" w:color="152935"/>
              <w:left w:val="nil"/>
              <w:bottom w:val="single" w:sz="8" w:space="0" w:color="152935"/>
              <w:right w:val="nil"/>
            </w:tcBorders>
            <w:shd w:val="clear" w:color="auto" w:fill="E0E0E0"/>
          </w:tcPr>
          <w:p w14:paraId="2FE36476" w14:textId="77777777" w:rsidR="00DE74F9" w:rsidRPr="00BC0CFD" w:rsidRDefault="00DE74F9" w:rsidP="0073714B">
            <w:pPr>
              <w:ind w:firstLine="0"/>
              <w:jc w:val="left"/>
            </w:pPr>
            <w:r w:rsidRPr="00BC0CFD">
              <w:t>Log</w:t>
            </w:r>
            <w:r>
              <w:t xml:space="preserve"> </w:t>
            </w:r>
            <w:r w:rsidRPr="00BC0CFD">
              <w:t>Rank (Mantel-Cox)</w:t>
            </w:r>
          </w:p>
        </w:tc>
        <w:tc>
          <w:tcPr>
            <w:tcW w:w="1909" w:type="dxa"/>
            <w:tcBorders>
              <w:top w:val="single" w:sz="8" w:space="0" w:color="152935"/>
              <w:left w:val="nil"/>
              <w:bottom w:val="single" w:sz="8" w:space="0" w:color="152935"/>
              <w:right w:val="single" w:sz="8" w:space="0" w:color="E0E0E0"/>
            </w:tcBorders>
            <w:shd w:val="clear" w:color="auto" w:fill="FFFFFF"/>
          </w:tcPr>
          <w:p w14:paraId="4191E180" w14:textId="77777777" w:rsidR="00DE74F9" w:rsidRPr="00BC0CFD" w:rsidRDefault="00DE74F9" w:rsidP="0073714B">
            <w:pPr>
              <w:ind w:firstLine="0"/>
              <w:jc w:val="center"/>
            </w:pPr>
            <w:r w:rsidRPr="00BC0CFD">
              <w:t>.629</w:t>
            </w:r>
          </w:p>
        </w:tc>
        <w:tc>
          <w:tcPr>
            <w:tcW w:w="992" w:type="dxa"/>
            <w:tcBorders>
              <w:top w:val="single" w:sz="8" w:space="0" w:color="152935"/>
              <w:left w:val="single" w:sz="8" w:space="0" w:color="E0E0E0"/>
              <w:bottom w:val="single" w:sz="8" w:space="0" w:color="152935"/>
              <w:right w:val="single" w:sz="8" w:space="0" w:color="E0E0E0"/>
            </w:tcBorders>
            <w:shd w:val="clear" w:color="auto" w:fill="FFFFFF"/>
          </w:tcPr>
          <w:p w14:paraId="1484D527" w14:textId="77777777" w:rsidR="00DE74F9" w:rsidRPr="00BC0CFD" w:rsidRDefault="00DE74F9" w:rsidP="0073714B">
            <w:pPr>
              <w:ind w:firstLine="0"/>
              <w:jc w:val="center"/>
            </w:pPr>
            <w:r w:rsidRPr="00BC0CFD">
              <w:t>1</w:t>
            </w:r>
          </w:p>
        </w:tc>
        <w:tc>
          <w:tcPr>
            <w:tcW w:w="1985" w:type="dxa"/>
            <w:tcBorders>
              <w:top w:val="single" w:sz="8" w:space="0" w:color="152935"/>
              <w:left w:val="single" w:sz="8" w:space="0" w:color="E0E0E0"/>
              <w:bottom w:val="single" w:sz="8" w:space="0" w:color="152935"/>
              <w:right w:val="nil"/>
            </w:tcBorders>
            <w:shd w:val="clear" w:color="auto" w:fill="FFFFFF"/>
          </w:tcPr>
          <w:p w14:paraId="46F1F0FD" w14:textId="77777777" w:rsidR="00DE74F9" w:rsidRPr="00BC0CFD" w:rsidRDefault="00DE74F9" w:rsidP="0073714B">
            <w:pPr>
              <w:ind w:firstLine="0"/>
              <w:jc w:val="center"/>
            </w:pPr>
            <w:r w:rsidRPr="00BC0CFD">
              <w:t>.428</w:t>
            </w:r>
          </w:p>
        </w:tc>
      </w:tr>
      <w:tr w:rsidR="00DE74F9" w:rsidRPr="00BC0CFD" w14:paraId="419DAFCF" w14:textId="77777777" w:rsidTr="0073714B">
        <w:trPr>
          <w:cantSplit/>
        </w:trPr>
        <w:tc>
          <w:tcPr>
            <w:tcW w:w="7372" w:type="dxa"/>
            <w:gridSpan w:val="4"/>
            <w:tcBorders>
              <w:top w:val="nil"/>
              <w:left w:val="nil"/>
              <w:bottom w:val="nil"/>
              <w:right w:val="nil"/>
            </w:tcBorders>
            <w:shd w:val="clear" w:color="auto" w:fill="FFFFFF"/>
          </w:tcPr>
          <w:p w14:paraId="4110EE95" w14:textId="77777777" w:rsidR="00DE74F9" w:rsidRPr="00BC0CFD" w:rsidRDefault="00DE74F9" w:rsidP="0073714B">
            <w:pPr>
              <w:ind w:firstLine="0"/>
            </w:pPr>
          </w:p>
        </w:tc>
      </w:tr>
    </w:tbl>
    <w:p w14:paraId="596E5E55" w14:textId="46D336C9" w:rsidR="00DE74F9" w:rsidRDefault="00DE74F9" w:rsidP="008E65F3">
      <w:pPr>
        <w:pStyle w:val="ResimYazs"/>
        <w:ind w:firstLine="0"/>
        <w:rPr>
          <w:i w:val="0"/>
          <w:color w:val="auto"/>
          <w:sz w:val="24"/>
          <w:szCs w:val="24"/>
        </w:rPr>
      </w:pPr>
      <w:r w:rsidRPr="007024E1">
        <w:br w:type="page"/>
      </w:r>
      <w:bookmarkStart w:id="560" w:name="_Toc45383398"/>
      <w:bookmarkStart w:id="561" w:name="_Toc49818024"/>
      <w:r w:rsidRPr="00166574">
        <w:rPr>
          <w:i w:val="0"/>
          <w:color w:val="auto"/>
          <w:sz w:val="24"/>
          <w:szCs w:val="24"/>
        </w:rPr>
        <w:lastRenderedPageBreak/>
        <w:t xml:space="preserve">Tablo </w:t>
      </w:r>
      <w:r w:rsidR="002B4CBE" w:rsidRPr="00166574">
        <w:rPr>
          <w:i w:val="0"/>
          <w:color w:val="auto"/>
          <w:sz w:val="24"/>
          <w:szCs w:val="24"/>
        </w:rPr>
        <w:fldChar w:fldCharType="begin"/>
      </w:r>
      <w:r w:rsidR="002B4CBE" w:rsidRPr="00166574">
        <w:rPr>
          <w:i w:val="0"/>
          <w:color w:val="auto"/>
          <w:sz w:val="24"/>
          <w:szCs w:val="24"/>
        </w:rPr>
        <w:instrText xml:space="preserve"> STYLEREF 1 \s </w:instrText>
      </w:r>
      <w:r w:rsidR="002B4CBE" w:rsidRPr="00166574">
        <w:rPr>
          <w:i w:val="0"/>
          <w:color w:val="auto"/>
          <w:sz w:val="24"/>
          <w:szCs w:val="24"/>
        </w:rPr>
        <w:fldChar w:fldCharType="separate"/>
      </w:r>
      <w:r w:rsidR="00063441" w:rsidRPr="00166574">
        <w:rPr>
          <w:i w:val="0"/>
          <w:noProof/>
          <w:color w:val="auto"/>
          <w:sz w:val="24"/>
          <w:szCs w:val="24"/>
        </w:rPr>
        <w:t>4</w:t>
      </w:r>
      <w:r w:rsidR="002B4CBE" w:rsidRPr="00166574">
        <w:rPr>
          <w:i w:val="0"/>
          <w:color w:val="auto"/>
          <w:sz w:val="24"/>
          <w:szCs w:val="24"/>
        </w:rPr>
        <w:fldChar w:fldCharType="end"/>
      </w:r>
      <w:r w:rsidR="002B4CBE" w:rsidRPr="00166574">
        <w:rPr>
          <w:i w:val="0"/>
          <w:color w:val="auto"/>
          <w:sz w:val="24"/>
          <w:szCs w:val="24"/>
        </w:rPr>
        <w:t>.</w:t>
      </w:r>
      <w:r w:rsidR="002B4CBE" w:rsidRPr="00166574">
        <w:rPr>
          <w:i w:val="0"/>
          <w:color w:val="auto"/>
          <w:sz w:val="24"/>
          <w:szCs w:val="24"/>
        </w:rPr>
        <w:fldChar w:fldCharType="begin"/>
      </w:r>
      <w:r w:rsidR="002B4CBE" w:rsidRPr="00166574">
        <w:rPr>
          <w:i w:val="0"/>
          <w:color w:val="auto"/>
          <w:sz w:val="24"/>
          <w:szCs w:val="24"/>
        </w:rPr>
        <w:instrText xml:space="preserve"> SEQ Tablo \* ARABIC \s 1 </w:instrText>
      </w:r>
      <w:r w:rsidR="002B4CBE" w:rsidRPr="00166574">
        <w:rPr>
          <w:i w:val="0"/>
          <w:color w:val="auto"/>
          <w:sz w:val="24"/>
          <w:szCs w:val="24"/>
        </w:rPr>
        <w:fldChar w:fldCharType="separate"/>
      </w:r>
      <w:r w:rsidR="00063441" w:rsidRPr="00166574">
        <w:rPr>
          <w:i w:val="0"/>
          <w:noProof/>
          <w:color w:val="auto"/>
          <w:sz w:val="24"/>
          <w:szCs w:val="24"/>
        </w:rPr>
        <w:t>9</w:t>
      </w:r>
      <w:r w:rsidR="002B4CBE" w:rsidRPr="00166574">
        <w:rPr>
          <w:i w:val="0"/>
          <w:color w:val="auto"/>
          <w:sz w:val="24"/>
          <w:szCs w:val="24"/>
        </w:rPr>
        <w:fldChar w:fldCharType="end"/>
      </w:r>
      <w:r w:rsidRPr="00166574">
        <w:rPr>
          <w:i w:val="0"/>
          <w:color w:val="auto"/>
          <w:sz w:val="24"/>
          <w:szCs w:val="24"/>
        </w:rPr>
        <w:t xml:space="preserve"> </w:t>
      </w:r>
      <w:r w:rsidR="00C91A83" w:rsidRPr="00166574">
        <w:rPr>
          <w:i w:val="0"/>
          <w:color w:val="auto"/>
          <w:sz w:val="24"/>
          <w:szCs w:val="24"/>
        </w:rPr>
        <w:t xml:space="preserve">Etiyolojiye </w:t>
      </w:r>
      <w:r w:rsidR="00166574" w:rsidRPr="00166574">
        <w:rPr>
          <w:i w:val="0"/>
          <w:color w:val="auto"/>
          <w:sz w:val="24"/>
          <w:szCs w:val="24"/>
        </w:rPr>
        <w:t>G</w:t>
      </w:r>
      <w:r w:rsidR="00C91A83" w:rsidRPr="00166574">
        <w:rPr>
          <w:i w:val="0"/>
          <w:color w:val="auto"/>
          <w:sz w:val="24"/>
          <w:szCs w:val="24"/>
        </w:rPr>
        <w:t>öre</w:t>
      </w:r>
      <w:r w:rsidR="004930A7" w:rsidRPr="00166574">
        <w:rPr>
          <w:i w:val="0"/>
          <w:color w:val="auto"/>
          <w:sz w:val="24"/>
          <w:szCs w:val="24"/>
        </w:rPr>
        <w:t xml:space="preserve"> </w:t>
      </w:r>
      <w:r w:rsidRPr="00166574">
        <w:rPr>
          <w:i w:val="0"/>
          <w:color w:val="auto"/>
          <w:sz w:val="24"/>
          <w:szCs w:val="24"/>
        </w:rPr>
        <w:t>Patolojik Bulgular ve Kültürde Üreme</w:t>
      </w:r>
      <w:bookmarkEnd w:id="560"/>
      <w:r w:rsidR="004930A7" w:rsidRPr="00166574">
        <w:rPr>
          <w:i w:val="0"/>
          <w:color w:val="auto"/>
          <w:sz w:val="24"/>
          <w:szCs w:val="24"/>
        </w:rPr>
        <w:t xml:space="preserve"> Verileri</w:t>
      </w:r>
      <w:bookmarkEnd w:id="561"/>
    </w:p>
    <w:p w14:paraId="7A25BD50" w14:textId="77777777" w:rsidR="00DE74F9" w:rsidRDefault="00DE74F9" w:rsidP="00DE74F9">
      <w:pPr>
        <w:rPr>
          <w:noProof/>
          <w:lang w:eastAsia="tr-TR"/>
        </w:rPr>
      </w:pPr>
    </w:p>
    <w:p w14:paraId="14DCAF7C" w14:textId="77777777" w:rsidR="00DE74F9" w:rsidRDefault="00DE74F9" w:rsidP="00DE74F9"/>
    <w:p w14:paraId="3F91571C" w14:textId="023BD525" w:rsidR="00D43529" w:rsidRPr="00DE74F9" w:rsidRDefault="00DE74F9" w:rsidP="00DE74F9">
      <w:pPr>
        <w:spacing w:after="160"/>
        <w:ind w:firstLine="0"/>
        <w:rPr>
          <w:iCs/>
          <w:color w:val="44546A" w:themeColor="text2"/>
          <w:szCs w:val="24"/>
        </w:rPr>
      </w:pPr>
      <w:r>
        <w:rPr>
          <w:noProof/>
          <w:lang w:eastAsia="tr-TR"/>
        </w:rPr>
        <w:drawing>
          <wp:anchor distT="0" distB="0" distL="114300" distR="114300" simplePos="0" relativeHeight="251714560" behindDoc="1" locked="0" layoutInCell="1" allowOverlap="1" wp14:anchorId="6FC342D2" wp14:editId="30E759D7">
            <wp:simplePos x="0" y="0"/>
            <wp:positionH relativeFrom="column">
              <wp:posOffset>-1994535</wp:posOffset>
            </wp:positionH>
            <wp:positionV relativeFrom="paragraph">
              <wp:posOffset>984885</wp:posOffset>
            </wp:positionV>
            <wp:extent cx="9038572" cy="6082971"/>
            <wp:effectExtent l="0" t="8255" r="2540" b="2540"/>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94791B.tmp"/>
                    <pic:cNvPicPr/>
                  </pic:nvPicPr>
                  <pic:blipFill rotWithShape="1">
                    <a:blip r:embed="rId22">
                      <a:extLst>
                        <a:ext uri="{28A0092B-C50C-407E-A947-70E740481C1C}">
                          <a14:useLocalDpi xmlns:a14="http://schemas.microsoft.com/office/drawing/2010/main" val="0"/>
                        </a:ext>
                      </a:extLst>
                    </a:blip>
                    <a:srcRect l="17280" t="23844" r="18095" b="3833"/>
                    <a:stretch/>
                  </pic:blipFill>
                  <pic:spPr bwMode="auto">
                    <a:xfrm rot="16200000">
                      <a:off x="0" y="0"/>
                      <a:ext cx="9038572" cy="60829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3529" w:rsidRPr="00DE74F9">
        <w:br w:type="page"/>
      </w:r>
    </w:p>
    <w:p w14:paraId="4681686F" w14:textId="2F24E9C8" w:rsidR="0054678D" w:rsidRPr="006B285C" w:rsidRDefault="0054678D" w:rsidP="00AB2527">
      <w:r>
        <w:rPr>
          <w:b/>
        </w:rPr>
        <w:lastRenderedPageBreak/>
        <w:t>2</w:t>
      </w:r>
      <w:r w:rsidRPr="00994305">
        <w:rPr>
          <w:b/>
        </w:rPr>
        <w:t>.Grup:</w:t>
      </w:r>
      <w:r>
        <w:rPr>
          <w:b/>
        </w:rPr>
        <w:t xml:space="preserve"> </w:t>
      </w:r>
      <w:r w:rsidR="006B285C" w:rsidRPr="003A4709">
        <w:t xml:space="preserve">Survival durumuna göre </w:t>
      </w:r>
      <w:r w:rsidR="00F41A53" w:rsidRPr="003A4709">
        <w:t>oluşturulan</w:t>
      </w:r>
      <w:r w:rsidR="006B285C" w:rsidRPr="003A4709">
        <w:t xml:space="preserve"> i</w:t>
      </w:r>
      <w:r w:rsidR="00EE6B7C" w:rsidRPr="003A4709">
        <w:t>kinci gruptaki</w:t>
      </w:r>
      <w:r w:rsidR="00EE6B7C">
        <w:rPr>
          <w:b/>
        </w:rPr>
        <w:t xml:space="preserve"> </w:t>
      </w:r>
      <w:r w:rsidR="00EE6B7C" w:rsidRPr="00994305">
        <w:t xml:space="preserve">hastaların </w:t>
      </w:r>
      <w:r w:rsidR="00EE6B7C">
        <w:t>8’inde (%33</w:t>
      </w:r>
      <w:r w:rsidR="00A01358">
        <w:t>.</w:t>
      </w:r>
      <w:r w:rsidR="00EE6B7C">
        <w:t>3)</w:t>
      </w:r>
      <w:r w:rsidR="00EE6B7C" w:rsidRPr="00994305">
        <w:t xml:space="preserve"> </w:t>
      </w:r>
      <w:r w:rsidR="00EE6B7C">
        <w:t>mortalite gelişirken,</w:t>
      </w:r>
      <w:r w:rsidR="00EE6B7C" w:rsidRPr="00994305">
        <w:t xml:space="preserve"> </w:t>
      </w:r>
      <w:r w:rsidR="00EE6B7C">
        <w:t>16’sı (%66.6)</w:t>
      </w:r>
      <w:r w:rsidR="00EE6B7C" w:rsidRPr="00994305">
        <w:t xml:space="preserve"> </w:t>
      </w:r>
      <w:r w:rsidR="00EE6B7C">
        <w:t xml:space="preserve">sağdı. </w:t>
      </w:r>
    </w:p>
    <w:p w14:paraId="39244599" w14:textId="0D6893EC" w:rsidR="00F2610F" w:rsidRDefault="006B285C">
      <w:r>
        <w:t xml:space="preserve">Bu </w:t>
      </w:r>
      <w:r w:rsidR="00AB2527" w:rsidRPr="003A4709">
        <w:t>grup</w:t>
      </w:r>
      <w:r>
        <w:t xml:space="preserve">taki </w:t>
      </w:r>
      <w:r w:rsidR="00AB2527">
        <w:t xml:space="preserve">“mortalite gelişen ve yaşayan” </w:t>
      </w:r>
      <w:r w:rsidR="00AB2527" w:rsidRPr="006D478C">
        <w:t>has</w:t>
      </w:r>
      <w:r w:rsidR="00AB2527">
        <w:t xml:space="preserve">ta grupları arasındaki; yaş, acil şartlarda gerçekleştirilen karaciğer nakli operasyonu, kullanılan greft tipi, sepsis etiyolojileri, MARS uygulamaları dağılımında istatistiksel olarak anlamlı farklılık izlenmedi. </w:t>
      </w:r>
    </w:p>
    <w:p w14:paraId="63C135E4" w14:textId="6EA9C1E7" w:rsidR="00AB2527" w:rsidRDefault="00AB2527" w:rsidP="00AB2527">
      <w:r>
        <w:t xml:space="preserve">Ancak </w:t>
      </w:r>
      <w:r w:rsidR="00D84E1C">
        <w:t xml:space="preserve">mortalite </w:t>
      </w:r>
      <w:r w:rsidR="00EE6B7C">
        <w:t>gelişen hastalar,</w:t>
      </w:r>
      <w:r w:rsidR="00D84E1C">
        <w:t xml:space="preserve"> </w:t>
      </w:r>
      <w:r w:rsidR="00D84E1C" w:rsidRPr="00BB5FD7">
        <w:rPr>
          <w:b/>
        </w:rPr>
        <w:t>cinsiyet</w:t>
      </w:r>
      <w:r w:rsidRPr="006D478C">
        <w:t xml:space="preserve"> </w:t>
      </w:r>
      <w:r w:rsidR="00EE6B7C">
        <w:t xml:space="preserve">açısından </w:t>
      </w:r>
      <w:r w:rsidRPr="006D478C">
        <w:t>anlamlı olarak farklı</w:t>
      </w:r>
      <w:r w:rsidR="00D84E1C">
        <w:t>lık gösterdi</w:t>
      </w:r>
      <w:r w:rsidRPr="006D478C">
        <w:t xml:space="preserve">. </w:t>
      </w:r>
      <w:r w:rsidR="00D84E1C">
        <w:t xml:space="preserve">Erkek hastalarda mortalite </w:t>
      </w:r>
      <w:r w:rsidR="00F2610F">
        <w:t xml:space="preserve">oranı </w:t>
      </w:r>
      <w:r w:rsidR="00D84E1C">
        <w:t xml:space="preserve">daha fazlaydı </w:t>
      </w:r>
      <w:r w:rsidR="00F2610F" w:rsidRPr="00AC73D9">
        <w:t>(%87</w:t>
      </w:r>
      <w:r w:rsidR="00A01358">
        <w:t xml:space="preserve">.5 </w:t>
      </w:r>
      <w:r w:rsidR="00C52126">
        <w:t>vs</w:t>
      </w:r>
      <w:r w:rsidR="00A01358">
        <w:t xml:space="preserve"> %12.</w:t>
      </w:r>
      <w:r w:rsidR="00F2610F" w:rsidRPr="00AC73D9">
        <w:t>5; p=0.02).</w:t>
      </w:r>
    </w:p>
    <w:p w14:paraId="42BB2779" w14:textId="3FCE8615" w:rsidR="00F2610F" w:rsidRDefault="00D84E1C" w:rsidP="00AB2527">
      <w:r>
        <w:t>Mortalite gelişen hastalarda</w:t>
      </w:r>
      <w:r w:rsidRPr="006D478C">
        <w:t xml:space="preserve"> retransplantasyon</w:t>
      </w:r>
      <w:r w:rsidR="00F2610F">
        <w:t>un</w:t>
      </w:r>
      <w:r w:rsidRPr="006D478C">
        <w:t xml:space="preserve"> daha </w:t>
      </w:r>
      <w:r>
        <w:t>fazla</w:t>
      </w:r>
      <w:r w:rsidRPr="006D478C">
        <w:t xml:space="preserve"> yapıl</w:t>
      </w:r>
      <w:r w:rsidR="00F2610F">
        <w:t>dığı izlenmiştir</w:t>
      </w:r>
      <w:r>
        <w:t xml:space="preserve"> </w:t>
      </w:r>
      <w:r w:rsidR="00F2610F" w:rsidRPr="00AC73D9">
        <w:t xml:space="preserve">(%50 </w:t>
      </w:r>
      <w:r w:rsidR="00C52126">
        <w:t>vs</w:t>
      </w:r>
      <w:r w:rsidR="00F2610F" w:rsidRPr="00AC73D9">
        <w:t xml:space="preserve"> %12; p=0.04).</w:t>
      </w:r>
      <w:r w:rsidR="00F2610F">
        <w:t xml:space="preserve"> </w:t>
      </w:r>
      <w:r>
        <w:t xml:space="preserve">Plazmaferez uygulaması </w:t>
      </w:r>
      <w:r w:rsidR="00F2610F">
        <w:t xml:space="preserve">da </w:t>
      </w:r>
      <w:r>
        <w:t>mortalite gelişen hastalarda</w:t>
      </w:r>
      <w:r w:rsidRPr="006D478C">
        <w:t xml:space="preserve"> daha </w:t>
      </w:r>
      <w:r>
        <w:t>fazla</w:t>
      </w:r>
      <w:r w:rsidRPr="006D478C">
        <w:t xml:space="preserve"> yapılmıştır</w:t>
      </w:r>
      <w:r>
        <w:t xml:space="preserve"> (p=0.04)</w:t>
      </w:r>
      <w:r w:rsidRPr="006D478C">
        <w:t>.</w:t>
      </w:r>
      <w:r w:rsidR="00F2610F">
        <w:t xml:space="preserve"> </w:t>
      </w:r>
    </w:p>
    <w:p w14:paraId="31904CF3" w14:textId="08BBBFDE" w:rsidR="00D84E1C" w:rsidRDefault="00F2610F" w:rsidP="00AB2527">
      <w:r w:rsidRPr="00BB5FD7">
        <w:rPr>
          <w:b/>
        </w:rPr>
        <w:t>T</w:t>
      </w:r>
      <w:r w:rsidR="00D84E1C" w:rsidRPr="00BB5FD7">
        <w:rPr>
          <w:b/>
        </w:rPr>
        <w:t>akip süreleri</w:t>
      </w:r>
      <w:r w:rsidR="00BB5FD7">
        <w:t>,</w:t>
      </w:r>
      <w:r>
        <w:t xml:space="preserve"> mortalite gelişen hastalarda ortanca 13 gün</w:t>
      </w:r>
      <w:r w:rsidR="00E77C63">
        <w:t xml:space="preserve"> i</w:t>
      </w:r>
      <w:r>
        <w:t xml:space="preserve">ken yaşayan grupta istatistiksel olarak daha uzun </w:t>
      </w:r>
      <w:r w:rsidR="00E77C63">
        <w:t>bulunmuştur</w:t>
      </w:r>
      <w:r>
        <w:t xml:space="preserve"> (</w:t>
      </w:r>
      <w:r w:rsidR="00E77C63">
        <w:t xml:space="preserve">13 vs 215 gün; </w:t>
      </w:r>
      <w:r>
        <w:t xml:space="preserve">p=0.001). </w:t>
      </w:r>
    </w:p>
    <w:p w14:paraId="0163E6F1" w14:textId="7F487EE2" w:rsidR="00EE6B7C" w:rsidRDefault="008C5C02" w:rsidP="00AB2527">
      <w:r w:rsidRPr="003A4709">
        <w:t>İkinci gruptaki</w:t>
      </w:r>
      <w:r>
        <w:t xml:space="preserve"> “mortalite gelişen ve yaşayan” hastaların demografik ve klinik özellikleri Tablo 4.</w:t>
      </w:r>
      <w:r w:rsidR="00280E3A">
        <w:t>10</w:t>
      </w:r>
      <w:r>
        <w:t xml:space="preserve"> d</w:t>
      </w:r>
      <w:r w:rsidR="00280E3A">
        <w:t>a</w:t>
      </w:r>
      <w:r>
        <w:t xml:space="preserve"> gösterilmiştir. </w:t>
      </w:r>
    </w:p>
    <w:p w14:paraId="1B38AD26" w14:textId="77777777" w:rsidR="00280E3A" w:rsidRDefault="00280E3A" w:rsidP="00AB2527"/>
    <w:p w14:paraId="31CB28CA" w14:textId="505A2A31" w:rsidR="004A3864" w:rsidRDefault="0048467D" w:rsidP="005336E5">
      <w:pPr>
        <w:ind w:firstLine="0"/>
      </w:pPr>
      <w:bookmarkStart w:id="562" w:name="_Toc49818025"/>
      <w:bookmarkEnd w:id="549"/>
      <w:r>
        <w:t xml:space="preserve">          </w:t>
      </w:r>
      <w:r w:rsidR="000400EC" w:rsidRPr="000400EC">
        <w:t xml:space="preserve">Tablo </w:t>
      </w:r>
      <w:r w:rsidR="00C07B3D">
        <w:rPr>
          <w:noProof/>
        </w:rPr>
        <w:fldChar w:fldCharType="begin"/>
      </w:r>
      <w:r w:rsidR="00C07B3D">
        <w:rPr>
          <w:noProof/>
        </w:rPr>
        <w:instrText xml:space="preserve"> STYLEREF 1 \s </w:instrText>
      </w:r>
      <w:r w:rsidR="00C07B3D">
        <w:rPr>
          <w:noProof/>
        </w:rPr>
        <w:fldChar w:fldCharType="separate"/>
      </w:r>
      <w:r w:rsidR="00063441">
        <w:rPr>
          <w:noProof/>
        </w:rPr>
        <w:t>4</w:t>
      </w:r>
      <w:r w:rsidR="00C07B3D">
        <w:rPr>
          <w:noProof/>
        </w:rPr>
        <w:fldChar w:fldCharType="end"/>
      </w:r>
      <w:r w:rsidR="002B4CBE">
        <w:t>.</w:t>
      </w:r>
      <w:r w:rsidR="00C07B3D">
        <w:rPr>
          <w:noProof/>
        </w:rPr>
        <w:fldChar w:fldCharType="begin"/>
      </w:r>
      <w:r w:rsidR="00C07B3D">
        <w:rPr>
          <w:noProof/>
        </w:rPr>
        <w:instrText xml:space="preserve"> SEQ Tablo \* ARABIC \s 1 </w:instrText>
      </w:r>
      <w:r w:rsidR="00C07B3D">
        <w:rPr>
          <w:noProof/>
        </w:rPr>
        <w:fldChar w:fldCharType="separate"/>
      </w:r>
      <w:r w:rsidR="00063441">
        <w:rPr>
          <w:noProof/>
        </w:rPr>
        <w:t>10</w:t>
      </w:r>
      <w:r w:rsidR="00C07B3D">
        <w:rPr>
          <w:noProof/>
        </w:rPr>
        <w:fldChar w:fldCharType="end"/>
      </w:r>
      <w:r w:rsidR="000400EC" w:rsidRPr="000400EC">
        <w:t xml:space="preserve"> Hayatta </w:t>
      </w:r>
      <w:r>
        <w:t>Kalma Durumuna Göre Demografik v</w:t>
      </w:r>
      <w:r w:rsidRPr="000400EC">
        <w:t>e Kl</w:t>
      </w:r>
      <w:r>
        <w:t xml:space="preserve">inik Veriler </w:t>
      </w:r>
      <w:r w:rsidR="008C5C02">
        <w:t>(grup-2)</w:t>
      </w:r>
      <w:bookmarkEnd w:id="562"/>
      <w:r w:rsidR="004A3864">
        <w:t xml:space="preserve">                    </w:t>
      </w:r>
    </w:p>
    <w:tbl>
      <w:tblPr>
        <w:tblStyle w:val="TabloKlavuzu"/>
        <w:tblW w:w="0" w:type="auto"/>
        <w:jc w:val="center"/>
        <w:tblLook w:val="04A0" w:firstRow="1" w:lastRow="0" w:firstColumn="1" w:lastColumn="0" w:noHBand="0" w:noVBand="1"/>
      </w:tblPr>
      <w:tblGrid>
        <w:gridCol w:w="2441"/>
        <w:gridCol w:w="1228"/>
        <w:gridCol w:w="1601"/>
        <w:gridCol w:w="1205"/>
      </w:tblGrid>
      <w:tr w:rsidR="00EE6B7C" w:rsidRPr="005E017D" w14:paraId="32C1E236" w14:textId="77777777" w:rsidTr="00EE6B7C">
        <w:trPr>
          <w:trHeight w:val="161"/>
          <w:jc w:val="center"/>
        </w:trPr>
        <w:tc>
          <w:tcPr>
            <w:tcW w:w="0" w:type="auto"/>
          </w:tcPr>
          <w:p w14:paraId="2538F3DE" w14:textId="77777777" w:rsidR="00EE6B7C" w:rsidRPr="005E017D" w:rsidRDefault="00EE6B7C" w:rsidP="000400EC">
            <w:pPr>
              <w:rPr>
                <w:rFonts w:eastAsia="Times New Roman"/>
                <w:b/>
                <w:bCs/>
                <w:color w:val="000000" w:themeColor="text1"/>
                <w:sz w:val="22"/>
              </w:rPr>
            </w:pPr>
          </w:p>
        </w:tc>
        <w:tc>
          <w:tcPr>
            <w:tcW w:w="0" w:type="auto"/>
            <w:gridSpan w:val="2"/>
          </w:tcPr>
          <w:p w14:paraId="62ADAA4F" w14:textId="77777777" w:rsidR="00EE6B7C" w:rsidRDefault="00EE6B7C" w:rsidP="00EE6B7C">
            <w:pPr>
              <w:ind w:firstLine="0"/>
              <w:jc w:val="center"/>
              <w:rPr>
                <w:rFonts w:eastAsia="Times New Roman"/>
                <w:b/>
                <w:bCs/>
                <w:color w:val="000000" w:themeColor="text1"/>
                <w:sz w:val="22"/>
              </w:rPr>
            </w:pPr>
            <w:r>
              <w:rPr>
                <w:rFonts w:eastAsia="Times New Roman"/>
                <w:b/>
                <w:bCs/>
                <w:color w:val="000000" w:themeColor="text1"/>
                <w:sz w:val="22"/>
              </w:rPr>
              <w:t>SURVİVAL</w:t>
            </w:r>
          </w:p>
          <w:p w14:paraId="6213E4E1" w14:textId="77777777" w:rsidR="00EE6B7C" w:rsidRDefault="00EE6B7C" w:rsidP="00EE6B7C">
            <w:pPr>
              <w:ind w:firstLine="0"/>
              <w:rPr>
                <w:rFonts w:eastAsia="Times New Roman"/>
                <w:b/>
                <w:bCs/>
                <w:color w:val="000000" w:themeColor="text1"/>
                <w:sz w:val="22"/>
              </w:rPr>
            </w:pPr>
          </w:p>
        </w:tc>
        <w:tc>
          <w:tcPr>
            <w:tcW w:w="0" w:type="auto"/>
          </w:tcPr>
          <w:p w14:paraId="30406DD2" w14:textId="77777777" w:rsidR="00EE6B7C" w:rsidRDefault="00EE6B7C" w:rsidP="00EE6B7C">
            <w:pPr>
              <w:ind w:firstLine="0"/>
              <w:rPr>
                <w:rFonts w:eastAsia="Times New Roman"/>
                <w:b/>
                <w:bCs/>
                <w:color w:val="000000" w:themeColor="text1"/>
                <w:sz w:val="22"/>
              </w:rPr>
            </w:pPr>
          </w:p>
        </w:tc>
      </w:tr>
      <w:tr w:rsidR="00300268" w:rsidRPr="005E017D" w14:paraId="31CB28D7" w14:textId="77777777" w:rsidTr="008945C5">
        <w:trPr>
          <w:trHeight w:val="161"/>
          <w:jc w:val="center"/>
        </w:trPr>
        <w:tc>
          <w:tcPr>
            <w:tcW w:w="0" w:type="auto"/>
            <w:hideMark/>
          </w:tcPr>
          <w:p w14:paraId="31CB28D3" w14:textId="77777777" w:rsidR="00300268" w:rsidRPr="005E017D" w:rsidRDefault="00300268" w:rsidP="000400EC">
            <w:pPr>
              <w:spacing w:line="360" w:lineRule="auto"/>
              <w:rPr>
                <w:rFonts w:eastAsia="Times New Roman"/>
                <w:b/>
                <w:bCs/>
                <w:color w:val="000000" w:themeColor="text1"/>
                <w:sz w:val="22"/>
              </w:rPr>
            </w:pPr>
          </w:p>
        </w:tc>
        <w:tc>
          <w:tcPr>
            <w:tcW w:w="0" w:type="auto"/>
            <w:hideMark/>
          </w:tcPr>
          <w:p w14:paraId="31CB28D4" w14:textId="1FAAE7F4" w:rsidR="00300268" w:rsidRPr="005E017D" w:rsidRDefault="00300268">
            <w:pPr>
              <w:spacing w:line="360" w:lineRule="auto"/>
              <w:ind w:firstLine="0"/>
              <w:rPr>
                <w:rFonts w:eastAsia="Times New Roman"/>
                <w:b/>
                <w:bCs/>
                <w:color w:val="000000" w:themeColor="text1"/>
                <w:sz w:val="22"/>
              </w:rPr>
            </w:pPr>
            <w:r>
              <w:rPr>
                <w:rFonts w:eastAsia="Times New Roman"/>
                <w:b/>
                <w:bCs/>
                <w:color w:val="000000" w:themeColor="text1"/>
                <w:sz w:val="22"/>
              </w:rPr>
              <w:t>Exitus n</w:t>
            </w:r>
            <w:r w:rsidR="00EE6B7C">
              <w:rPr>
                <w:rFonts w:eastAsia="Times New Roman"/>
                <w:b/>
                <w:bCs/>
                <w:color w:val="000000" w:themeColor="text1"/>
                <w:sz w:val="22"/>
              </w:rPr>
              <w:t>=8</w:t>
            </w:r>
            <w:r>
              <w:rPr>
                <w:rFonts w:eastAsia="Times New Roman"/>
                <w:b/>
                <w:bCs/>
                <w:color w:val="000000" w:themeColor="text1"/>
                <w:sz w:val="22"/>
              </w:rPr>
              <w:t xml:space="preserve"> </w:t>
            </w:r>
          </w:p>
        </w:tc>
        <w:tc>
          <w:tcPr>
            <w:tcW w:w="0" w:type="auto"/>
            <w:hideMark/>
          </w:tcPr>
          <w:p w14:paraId="31CB28D5" w14:textId="7A9141EC" w:rsidR="00300268" w:rsidRPr="005E017D" w:rsidRDefault="00300268">
            <w:pPr>
              <w:spacing w:line="360" w:lineRule="auto"/>
              <w:ind w:firstLine="0"/>
              <w:rPr>
                <w:rFonts w:eastAsia="Times New Roman"/>
                <w:b/>
                <w:bCs/>
                <w:color w:val="000000" w:themeColor="text1"/>
                <w:sz w:val="22"/>
              </w:rPr>
            </w:pPr>
            <w:r>
              <w:rPr>
                <w:rFonts w:eastAsia="Times New Roman"/>
                <w:b/>
                <w:bCs/>
                <w:color w:val="000000" w:themeColor="text1"/>
                <w:sz w:val="22"/>
              </w:rPr>
              <w:t>Yaşayan  n</w:t>
            </w:r>
            <w:r w:rsidR="00EE6B7C">
              <w:rPr>
                <w:rFonts w:eastAsia="Times New Roman"/>
                <w:b/>
                <w:bCs/>
                <w:color w:val="000000" w:themeColor="text1"/>
                <w:sz w:val="22"/>
              </w:rPr>
              <w:t>=16</w:t>
            </w:r>
          </w:p>
        </w:tc>
        <w:tc>
          <w:tcPr>
            <w:tcW w:w="0" w:type="auto"/>
          </w:tcPr>
          <w:p w14:paraId="31CB28D6" w14:textId="319AE31C" w:rsidR="00300268" w:rsidRPr="005E017D" w:rsidRDefault="00300268">
            <w:pPr>
              <w:spacing w:line="360" w:lineRule="auto"/>
              <w:ind w:firstLine="0"/>
              <w:rPr>
                <w:rFonts w:eastAsia="Times New Roman"/>
                <w:b/>
                <w:bCs/>
                <w:color w:val="000000" w:themeColor="text1"/>
                <w:sz w:val="22"/>
              </w:rPr>
            </w:pPr>
            <w:r>
              <w:rPr>
                <w:rFonts w:eastAsia="Times New Roman"/>
                <w:b/>
                <w:bCs/>
                <w:color w:val="000000" w:themeColor="text1"/>
                <w:sz w:val="22"/>
              </w:rPr>
              <w:t>p&lt;0</w:t>
            </w:r>
            <w:r w:rsidR="00EE6B7C">
              <w:rPr>
                <w:rFonts w:eastAsia="Times New Roman"/>
                <w:b/>
                <w:bCs/>
                <w:color w:val="000000" w:themeColor="text1"/>
                <w:sz w:val="22"/>
              </w:rPr>
              <w:t>.</w:t>
            </w:r>
            <w:r>
              <w:rPr>
                <w:rFonts w:eastAsia="Times New Roman"/>
                <w:b/>
                <w:bCs/>
                <w:color w:val="000000" w:themeColor="text1"/>
                <w:sz w:val="22"/>
              </w:rPr>
              <w:t>05</w:t>
            </w:r>
          </w:p>
        </w:tc>
      </w:tr>
      <w:tr w:rsidR="00300268" w:rsidRPr="005E017D" w14:paraId="31CB28E2" w14:textId="77777777" w:rsidTr="008945C5">
        <w:trPr>
          <w:trHeight w:val="440"/>
          <w:jc w:val="center"/>
        </w:trPr>
        <w:tc>
          <w:tcPr>
            <w:tcW w:w="0" w:type="auto"/>
            <w:vAlign w:val="center"/>
            <w:hideMark/>
          </w:tcPr>
          <w:p w14:paraId="31CB28D8" w14:textId="77777777" w:rsidR="00300268" w:rsidRPr="005E017D" w:rsidRDefault="00300268" w:rsidP="000400EC">
            <w:pPr>
              <w:ind w:firstLine="0"/>
              <w:jc w:val="left"/>
              <w:rPr>
                <w:rFonts w:eastAsia="Times New Roman"/>
                <w:b/>
                <w:bCs/>
                <w:color w:val="000000" w:themeColor="text1"/>
                <w:sz w:val="22"/>
              </w:rPr>
            </w:pPr>
            <w:r w:rsidRPr="005E017D">
              <w:rPr>
                <w:rFonts w:eastAsia="Times New Roman"/>
                <w:b/>
                <w:bCs/>
                <w:color w:val="000000" w:themeColor="text1"/>
                <w:sz w:val="22"/>
              </w:rPr>
              <w:t>Cinsiyet</w:t>
            </w:r>
          </w:p>
          <w:p w14:paraId="31CB28D9" w14:textId="77777777" w:rsidR="00300268" w:rsidRPr="005E017D" w:rsidRDefault="00300268" w:rsidP="000400EC">
            <w:pPr>
              <w:jc w:val="left"/>
              <w:rPr>
                <w:rFonts w:eastAsia="Times New Roman"/>
                <w:bCs/>
                <w:color w:val="000000" w:themeColor="text1"/>
                <w:sz w:val="22"/>
              </w:rPr>
            </w:pPr>
            <w:r w:rsidRPr="005E017D">
              <w:rPr>
                <w:rFonts w:eastAsia="Times New Roman"/>
                <w:bCs/>
                <w:color w:val="000000" w:themeColor="text1"/>
                <w:sz w:val="22"/>
              </w:rPr>
              <w:t>Erkek</w:t>
            </w:r>
          </w:p>
          <w:p w14:paraId="31CB28DA" w14:textId="77777777" w:rsidR="00300268" w:rsidRPr="005E017D" w:rsidRDefault="00300268" w:rsidP="000400EC">
            <w:pPr>
              <w:jc w:val="left"/>
              <w:rPr>
                <w:rFonts w:eastAsia="Times New Roman"/>
                <w:b/>
                <w:bCs/>
                <w:color w:val="000000" w:themeColor="text1"/>
                <w:sz w:val="22"/>
              </w:rPr>
            </w:pPr>
            <w:r w:rsidRPr="005E017D">
              <w:rPr>
                <w:rFonts w:eastAsia="Times New Roman"/>
                <w:bCs/>
                <w:color w:val="000000" w:themeColor="text1"/>
                <w:sz w:val="22"/>
              </w:rPr>
              <w:t>Kadın</w:t>
            </w:r>
          </w:p>
        </w:tc>
        <w:tc>
          <w:tcPr>
            <w:tcW w:w="0" w:type="auto"/>
            <w:noWrap/>
            <w:vAlign w:val="center"/>
          </w:tcPr>
          <w:p w14:paraId="31CB28DB" w14:textId="77777777" w:rsidR="00300268" w:rsidRPr="00300268" w:rsidRDefault="00300268" w:rsidP="005336E5">
            <w:pPr>
              <w:jc w:val="center"/>
              <w:rPr>
                <w:rFonts w:ascii="Book Antiqua" w:eastAsia="Times New Roman" w:hAnsi="Book Antiqua" w:cs="Arial"/>
                <w:color w:val="000000" w:themeColor="text1"/>
                <w:sz w:val="22"/>
              </w:rPr>
            </w:pPr>
          </w:p>
          <w:p w14:paraId="31CB28DC" w14:textId="1A612F57"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7 (87.5</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p w14:paraId="31CB28DD" w14:textId="4D5B9D15"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1 (12.5</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tc>
        <w:tc>
          <w:tcPr>
            <w:tcW w:w="0" w:type="auto"/>
            <w:noWrap/>
            <w:vAlign w:val="center"/>
          </w:tcPr>
          <w:p w14:paraId="31CB28DE" w14:textId="77777777" w:rsidR="00300268" w:rsidRPr="00300268" w:rsidRDefault="00300268" w:rsidP="005336E5">
            <w:pPr>
              <w:jc w:val="center"/>
              <w:rPr>
                <w:rFonts w:ascii="Book Antiqua" w:eastAsia="Times New Roman" w:hAnsi="Book Antiqua" w:cs="Arial"/>
                <w:color w:val="000000" w:themeColor="text1"/>
                <w:sz w:val="22"/>
              </w:rPr>
            </w:pPr>
          </w:p>
          <w:p w14:paraId="31CB28DF" w14:textId="4EA61BB9"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6 (37.5</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p w14:paraId="31CB28E0" w14:textId="55827407"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10 (62.5</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tc>
        <w:tc>
          <w:tcPr>
            <w:tcW w:w="0" w:type="auto"/>
            <w:vAlign w:val="center"/>
          </w:tcPr>
          <w:p w14:paraId="31CB28E1" w14:textId="77777777" w:rsidR="00300268" w:rsidRPr="00300268" w:rsidRDefault="00300268" w:rsidP="005336E5">
            <w:pPr>
              <w:ind w:right="360" w:firstLine="0"/>
              <w:rPr>
                <w:rFonts w:ascii="Book Antiqua" w:eastAsia="Times New Roman" w:hAnsi="Book Antiqua" w:cs="Arial"/>
                <w:b/>
                <w:color w:val="000000" w:themeColor="text1"/>
                <w:sz w:val="22"/>
              </w:rPr>
            </w:pPr>
            <w:r w:rsidRPr="00300268">
              <w:rPr>
                <w:rFonts w:ascii="Book Antiqua" w:eastAsia="Times New Roman" w:hAnsi="Book Antiqua" w:cs="Arial"/>
                <w:b/>
                <w:color w:val="000000" w:themeColor="text1"/>
                <w:sz w:val="22"/>
              </w:rPr>
              <w:t>0.02</w:t>
            </w:r>
          </w:p>
        </w:tc>
      </w:tr>
      <w:tr w:rsidR="00300268" w:rsidRPr="005E017D" w14:paraId="31CB28E7" w14:textId="77777777" w:rsidTr="008945C5">
        <w:trPr>
          <w:trHeight w:val="287"/>
          <w:jc w:val="center"/>
        </w:trPr>
        <w:tc>
          <w:tcPr>
            <w:tcW w:w="0" w:type="auto"/>
            <w:vAlign w:val="center"/>
          </w:tcPr>
          <w:p w14:paraId="31CB28E3" w14:textId="77777777" w:rsidR="00300268" w:rsidRPr="005E017D" w:rsidRDefault="00300268" w:rsidP="000400EC">
            <w:pPr>
              <w:ind w:firstLine="0"/>
              <w:jc w:val="left"/>
              <w:rPr>
                <w:rFonts w:eastAsia="Times New Roman"/>
                <w:b/>
                <w:bCs/>
                <w:color w:val="000000" w:themeColor="text1"/>
                <w:sz w:val="22"/>
              </w:rPr>
            </w:pPr>
            <w:r w:rsidRPr="005E017D">
              <w:rPr>
                <w:rFonts w:eastAsia="Times New Roman"/>
                <w:b/>
                <w:bCs/>
                <w:color w:val="000000" w:themeColor="text1"/>
                <w:sz w:val="22"/>
              </w:rPr>
              <w:t>Yaş</w:t>
            </w:r>
          </w:p>
        </w:tc>
        <w:tc>
          <w:tcPr>
            <w:tcW w:w="0" w:type="auto"/>
            <w:noWrap/>
            <w:vAlign w:val="center"/>
          </w:tcPr>
          <w:p w14:paraId="31CB28E4" w14:textId="11A3EC7A"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22 (2-60</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tc>
        <w:tc>
          <w:tcPr>
            <w:tcW w:w="0" w:type="auto"/>
            <w:noWrap/>
            <w:vAlign w:val="center"/>
          </w:tcPr>
          <w:p w14:paraId="31CB28E5" w14:textId="08AA18FF"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16.5 (1-59</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tc>
        <w:tc>
          <w:tcPr>
            <w:tcW w:w="0" w:type="auto"/>
            <w:vAlign w:val="center"/>
          </w:tcPr>
          <w:p w14:paraId="31CB28E6" w14:textId="77777777" w:rsidR="00300268" w:rsidRPr="00300268" w:rsidRDefault="00300268" w:rsidP="005336E5">
            <w:pPr>
              <w:ind w:right="360"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0.38</w:t>
            </w:r>
          </w:p>
        </w:tc>
      </w:tr>
      <w:tr w:rsidR="00300268" w:rsidRPr="005E017D" w14:paraId="31CB28EC" w14:textId="77777777" w:rsidTr="008945C5">
        <w:trPr>
          <w:trHeight w:val="287"/>
          <w:jc w:val="center"/>
        </w:trPr>
        <w:tc>
          <w:tcPr>
            <w:tcW w:w="0" w:type="auto"/>
            <w:vAlign w:val="center"/>
          </w:tcPr>
          <w:p w14:paraId="31CB28E8" w14:textId="77777777" w:rsidR="00300268" w:rsidRPr="005E017D" w:rsidRDefault="00300268" w:rsidP="000400EC">
            <w:pPr>
              <w:ind w:firstLine="0"/>
              <w:jc w:val="left"/>
              <w:rPr>
                <w:rFonts w:eastAsia="Times New Roman"/>
                <w:b/>
                <w:bCs/>
                <w:color w:val="000000" w:themeColor="text1"/>
                <w:sz w:val="22"/>
              </w:rPr>
            </w:pPr>
            <w:r w:rsidRPr="005E017D">
              <w:rPr>
                <w:rFonts w:eastAsia="Times New Roman"/>
                <w:b/>
                <w:bCs/>
                <w:color w:val="000000" w:themeColor="text1"/>
                <w:sz w:val="22"/>
              </w:rPr>
              <w:t>Acil operasyon durumu</w:t>
            </w:r>
          </w:p>
        </w:tc>
        <w:tc>
          <w:tcPr>
            <w:tcW w:w="0" w:type="auto"/>
            <w:noWrap/>
            <w:vAlign w:val="center"/>
          </w:tcPr>
          <w:p w14:paraId="31CB28E9" w14:textId="58B3BE17"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1 (12.5</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tc>
        <w:tc>
          <w:tcPr>
            <w:tcW w:w="0" w:type="auto"/>
            <w:noWrap/>
            <w:vAlign w:val="center"/>
          </w:tcPr>
          <w:p w14:paraId="31CB28EA" w14:textId="008DAA0F"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2 (12.5</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tc>
        <w:tc>
          <w:tcPr>
            <w:tcW w:w="0" w:type="auto"/>
            <w:vAlign w:val="center"/>
          </w:tcPr>
          <w:p w14:paraId="31CB28EB" w14:textId="77777777"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1</w:t>
            </w:r>
          </w:p>
        </w:tc>
      </w:tr>
      <w:tr w:rsidR="00300268" w:rsidRPr="005E017D" w14:paraId="31CB28FD" w14:textId="77777777" w:rsidTr="008945C5">
        <w:trPr>
          <w:trHeight w:val="287"/>
          <w:jc w:val="center"/>
        </w:trPr>
        <w:tc>
          <w:tcPr>
            <w:tcW w:w="0" w:type="auto"/>
            <w:vAlign w:val="center"/>
          </w:tcPr>
          <w:p w14:paraId="31CB28ED" w14:textId="77777777" w:rsidR="00300268" w:rsidRPr="005E017D" w:rsidRDefault="00300268" w:rsidP="000400EC">
            <w:pPr>
              <w:ind w:firstLine="0"/>
              <w:jc w:val="left"/>
              <w:rPr>
                <w:rFonts w:eastAsia="Times New Roman"/>
                <w:b/>
                <w:bCs/>
                <w:color w:val="000000" w:themeColor="text1"/>
                <w:sz w:val="22"/>
              </w:rPr>
            </w:pPr>
            <w:r w:rsidRPr="005E017D">
              <w:rPr>
                <w:rFonts w:eastAsia="Times New Roman"/>
                <w:b/>
                <w:bCs/>
                <w:color w:val="000000" w:themeColor="text1"/>
                <w:sz w:val="22"/>
              </w:rPr>
              <w:t>Greft tipi</w:t>
            </w:r>
          </w:p>
          <w:p w14:paraId="31CB28EE" w14:textId="77777777" w:rsidR="00300268" w:rsidRPr="005E017D" w:rsidRDefault="00300268" w:rsidP="000400EC">
            <w:pPr>
              <w:ind w:left="720" w:firstLine="0"/>
              <w:jc w:val="left"/>
              <w:rPr>
                <w:rFonts w:eastAsia="Times New Roman"/>
                <w:bCs/>
                <w:color w:val="000000" w:themeColor="text1"/>
                <w:sz w:val="22"/>
              </w:rPr>
            </w:pPr>
            <w:r w:rsidRPr="005E017D">
              <w:rPr>
                <w:rFonts w:eastAsia="Times New Roman"/>
                <w:bCs/>
                <w:color w:val="000000" w:themeColor="text1"/>
                <w:sz w:val="22"/>
              </w:rPr>
              <w:t>Kadaverik</w:t>
            </w:r>
          </w:p>
          <w:p w14:paraId="31CB28EF" w14:textId="77777777" w:rsidR="00300268" w:rsidRPr="005E017D" w:rsidRDefault="00300268" w:rsidP="000400EC">
            <w:pPr>
              <w:ind w:left="720" w:firstLine="0"/>
              <w:jc w:val="left"/>
              <w:rPr>
                <w:rFonts w:eastAsia="Times New Roman"/>
                <w:bCs/>
                <w:color w:val="000000" w:themeColor="text1"/>
                <w:sz w:val="22"/>
              </w:rPr>
            </w:pPr>
            <w:r w:rsidRPr="005E017D">
              <w:rPr>
                <w:rFonts w:eastAsia="Times New Roman"/>
                <w:bCs/>
                <w:color w:val="000000" w:themeColor="text1"/>
                <w:sz w:val="22"/>
              </w:rPr>
              <w:t>S2-3</w:t>
            </w:r>
          </w:p>
          <w:p w14:paraId="31CB28F0" w14:textId="77777777" w:rsidR="00300268" w:rsidRPr="005E017D" w:rsidRDefault="00300268" w:rsidP="000400EC">
            <w:pPr>
              <w:ind w:left="720" w:firstLine="0"/>
              <w:jc w:val="left"/>
              <w:rPr>
                <w:rFonts w:eastAsia="Times New Roman"/>
                <w:bCs/>
                <w:color w:val="000000" w:themeColor="text1"/>
                <w:sz w:val="22"/>
              </w:rPr>
            </w:pPr>
            <w:r w:rsidRPr="005E017D">
              <w:rPr>
                <w:rFonts w:eastAsia="Times New Roman"/>
                <w:bCs/>
                <w:color w:val="000000" w:themeColor="text1"/>
                <w:sz w:val="22"/>
              </w:rPr>
              <w:t>Sol</w:t>
            </w:r>
          </w:p>
          <w:p w14:paraId="31CB28F1" w14:textId="77777777" w:rsidR="00300268" w:rsidRPr="005E017D" w:rsidRDefault="00300268" w:rsidP="000400EC">
            <w:pPr>
              <w:ind w:left="720" w:firstLine="0"/>
              <w:jc w:val="left"/>
              <w:rPr>
                <w:rFonts w:eastAsia="Times New Roman"/>
                <w:b/>
                <w:bCs/>
                <w:color w:val="000000" w:themeColor="text1"/>
                <w:sz w:val="22"/>
              </w:rPr>
            </w:pPr>
            <w:r w:rsidRPr="005E017D">
              <w:rPr>
                <w:rFonts w:eastAsia="Times New Roman"/>
                <w:bCs/>
                <w:color w:val="000000" w:themeColor="text1"/>
                <w:sz w:val="22"/>
              </w:rPr>
              <w:t>Sağ</w:t>
            </w:r>
          </w:p>
        </w:tc>
        <w:tc>
          <w:tcPr>
            <w:tcW w:w="0" w:type="auto"/>
            <w:noWrap/>
            <w:vAlign w:val="center"/>
          </w:tcPr>
          <w:p w14:paraId="31CB28F2" w14:textId="77777777" w:rsidR="00300268" w:rsidRPr="00300268" w:rsidRDefault="00300268" w:rsidP="005336E5">
            <w:pPr>
              <w:jc w:val="center"/>
              <w:rPr>
                <w:rFonts w:ascii="Book Antiqua" w:eastAsia="Times New Roman" w:hAnsi="Book Antiqua" w:cs="Arial"/>
                <w:color w:val="000000" w:themeColor="text1"/>
                <w:sz w:val="22"/>
              </w:rPr>
            </w:pPr>
          </w:p>
          <w:p w14:paraId="31CB28F3" w14:textId="029053EC"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1 (12.5</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p w14:paraId="31CB28F4" w14:textId="75F036DC"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2 (25</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p w14:paraId="31CB28F5" w14:textId="1B75839F"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2 (25</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p w14:paraId="31CB28F6" w14:textId="06473252"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3(37.5</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tc>
        <w:tc>
          <w:tcPr>
            <w:tcW w:w="0" w:type="auto"/>
            <w:noWrap/>
            <w:vAlign w:val="center"/>
          </w:tcPr>
          <w:p w14:paraId="31CB28F7" w14:textId="77777777" w:rsidR="00300268" w:rsidRPr="00300268" w:rsidRDefault="00300268" w:rsidP="005336E5">
            <w:pPr>
              <w:jc w:val="center"/>
              <w:rPr>
                <w:rFonts w:ascii="Book Antiqua" w:eastAsia="Times New Roman" w:hAnsi="Book Antiqua" w:cs="Arial"/>
                <w:color w:val="000000" w:themeColor="text1"/>
                <w:sz w:val="22"/>
              </w:rPr>
            </w:pPr>
          </w:p>
          <w:p w14:paraId="31CB28F8" w14:textId="77777777"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 xml:space="preserve">0 </w:t>
            </w:r>
          </w:p>
          <w:p w14:paraId="31CB28F9" w14:textId="55C1B67F"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7 (43.8</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p w14:paraId="31CB28FA" w14:textId="0383170F"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4 (25</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p w14:paraId="31CB28FB" w14:textId="57184F1F" w:rsidR="00300268" w:rsidRPr="00300268" w:rsidRDefault="00300268" w:rsidP="005336E5">
            <w:pPr>
              <w:ind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5 (31.3</w:t>
            </w:r>
            <w:r w:rsidR="00EE6B7C">
              <w:rPr>
                <w:rFonts w:ascii="Book Antiqua" w:eastAsia="Times New Roman" w:hAnsi="Book Antiqua" w:cs="Arial"/>
                <w:color w:val="000000" w:themeColor="text1"/>
                <w:sz w:val="22"/>
              </w:rPr>
              <w:t>%</w:t>
            </w:r>
            <w:r w:rsidRPr="00300268">
              <w:rPr>
                <w:rFonts w:ascii="Book Antiqua" w:eastAsia="Times New Roman" w:hAnsi="Book Antiqua" w:cs="Arial"/>
                <w:color w:val="000000" w:themeColor="text1"/>
                <w:sz w:val="22"/>
              </w:rPr>
              <w:t>)</w:t>
            </w:r>
          </w:p>
        </w:tc>
        <w:tc>
          <w:tcPr>
            <w:tcW w:w="0" w:type="auto"/>
            <w:vAlign w:val="center"/>
          </w:tcPr>
          <w:p w14:paraId="31CB28FC" w14:textId="77777777" w:rsidR="00300268" w:rsidRPr="00300268" w:rsidRDefault="00300268" w:rsidP="005336E5">
            <w:pPr>
              <w:ind w:right="360"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0.46</w:t>
            </w:r>
          </w:p>
        </w:tc>
      </w:tr>
      <w:tr w:rsidR="00300268" w:rsidRPr="005E017D" w14:paraId="31CB2902" w14:textId="77777777" w:rsidTr="008945C5">
        <w:trPr>
          <w:trHeight w:val="137"/>
          <w:jc w:val="center"/>
        </w:trPr>
        <w:tc>
          <w:tcPr>
            <w:tcW w:w="0" w:type="auto"/>
            <w:vAlign w:val="center"/>
          </w:tcPr>
          <w:p w14:paraId="31CB28FE" w14:textId="66839E42" w:rsidR="00300268" w:rsidRPr="00FC51F8" w:rsidRDefault="00FC51F8" w:rsidP="000400EC">
            <w:pPr>
              <w:ind w:firstLine="0"/>
              <w:jc w:val="left"/>
              <w:rPr>
                <w:rFonts w:eastAsia="Times New Roman"/>
                <w:b/>
                <w:bCs/>
                <w:sz w:val="22"/>
              </w:rPr>
            </w:pPr>
            <w:r w:rsidRPr="00FC51F8">
              <w:rPr>
                <w:rFonts w:eastAsia="Times New Roman"/>
                <w:b/>
                <w:bCs/>
                <w:sz w:val="22"/>
              </w:rPr>
              <w:t>Kültürde üreme</w:t>
            </w:r>
          </w:p>
        </w:tc>
        <w:tc>
          <w:tcPr>
            <w:tcW w:w="0" w:type="auto"/>
            <w:noWrap/>
          </w:tcPr>
          <w:p w14:paraId="31CB28FF" w14:textId="7462392B" w:rsidR="00300268" w:rsidRPr="00FC51F8" w:rsidRDefault="00300268" w:rsidP="005336E5">
            <w:pPr>
              <w:ind w:firstLine="0"/>
              <w:rPr>
                <w:rFonts w:ascii="Book Antiqua" w:eastAsia="Times New Roman" w:hAnsi="Book Antiqua" w:cs="Arial"/>
                <w:bCs/>
                <w:sz w:val="22"/>
              </w:rPr>
            </w:pPr>
            <w:r w:rsidRPr="00FC51F8">
              <w:rPr>
                <w:rFonts w:ascii="Book Antiqua" w:eastAsia="Times New Roman" w:hAnsi="Book Antiqua" w:cs="Arial"/>
                <w:bCs/>
                <w:sz w:val="22"/>
              </w:rPr>
              <w:t>6 (75</w:t>
            </w:r>
            <w:r w:rsidR="00EE6B7C">
              <w:rPr>
                <w:rFonts w:ascii="Book Antiqua" w:eastAsia="Times New Roman" w:hAnsi="Book Antiqua" w:cs="Arial"/>
                <w:color w:val="000000" w:themeColor="text1"/>
                <w:sz w:val="22"/>
              </w:rPr>
              <w:t>%</w:t>
            </w:r>
            <w:r w:rsidRPr="00FC51F8">
              <w:rPr>
                <w:rFonts w:ascii="Book Antiqua" w:eastAsia="Times New Roman" w:hAnsi="Book Antiqua" w:cs="Arial"/>
                <w:bCs/>
                <w:sz w:val="22"/>
              </w:rPr>
              <w:t>)</w:t>
            </w:r>
          </w:p>
        </w:tc>
        <w:tc>
          <w:tcPr>
            <w:tcW w:w="0" w:type="auto"/>
            <w:noWrap/>
          </w:tcPr>
          <w:p w14:paraId="31CB2900" w14:textId="5AA04CB3" w:rsidR="00300268" w:rsidRPr="00FC51F8" w:rsidRDefault="00300268" w:rsidP="005336E5">
            <w:pPr>
              <w:ind w:firstLine="0"/>
              <w:rPr>
                <w:rFonts w:ascii="Book Antiqua" w:eastAsia="Times New Roman" w:hAnsi="Book Antiqua" w:cs="Arial"/>
                <w:bCs/>
                <w:sz w:val="22"/>
              </w:rPr>
            </w:pPr>
            <w:r w:rsidRPr="00FC51F8">
              <w:rPr>
                <w:rFonts w:ascii="Book Antiqua" w:eastAsia="Times New Roman" w:hAnsi="Book Antiqua" w:cs="Arial"/>
                <w:bCs/>
                <w:sz w:val="22"/>
              </w:rPr>
              <w:t>10 (62.5</w:t>
            </w:r>
            <w:r w:rsidR="00EE6B7C">
              <w:rPr>
                <w:rFonts w:ascii="Book Antiqua" w:eastAsia="Times New Roman" w:hAnsi="Book Antiqua" w:cs="Arial"/>
                <w:color w:val="000000" w:themeColor="text1"/>
                <w:sz w:val="22"/>
              </w:rPr>
              <w:t>%</w:t>
            </w:r>
            <w:r w:rsidRPr="00FC51F8">
              <w:rPr>
                <w:rFonts w:ascii="Book Antiqua" w:eastAsia="Times New Roman" w:hAnsi="Book Antiqua" w:cs="Arial"/>
                <w:bCs/>
                <w:sz w:val="22"/>
              </w:rPr>
              <w:t>)</w:t>
            </w:r>
          </w:p>
        </w:tc>
        <w:tc>
          <w:tcPr>
            <w:tcW w:w="0" w:type="auto"/>
            <w:vAlign w:val="center"/>
          </w:tcPr>
          <w:p w14:paraId="31CB2901" w14:textId="0A82DF8E" w:rsidR="00300268" w:rsidRPr="003A4709" w:rsidRDefault="00300268" w:rsidP="00FC51F8">
            <w:pPr>
              <w:ind w:right="360" w:firstLine="0"/>
              <w:rPr>
                <w:rFonts w:ascii="Book Antiqua" w:eastAsia="Times New Roman" w:hAnsi="Book Antiqua" w:cs="Arial"/>
                <w:bCs/>
                <w:sz w:val="22"/>
              </w:rPr>
            </w:pPr>
            <w:r w:rsidRPr="003A4709">
              <w:rPr>
                <w:rFonts w:ascii="Book Antiqua" w:eastAsia="Times New Roman" w:hAnsi="Book Antiqua" w:cs="Arial"/>
                <w:bCs/>
                <w:sz w:val="22"/>
              </w:rPr>
              <w:t>0.5</w:t>
            </w:r>
            <w:r w:rsidR="000F02A1" w:rsidRPr="003A4709">
              <w:rPr>
                <w:rFonts w:ascii="Book Antiqua" w:eastAsia="Times New Roman" w:hAnsi="Book Antiqua" w:cs="Arial"/>
                <w:bCs/>
                <w:sz w:val="22"/>
              </w:rPr>
              <w:t xml:space="preserve"> </w:t>
            </w:r>
          </w:p>
        </w:tc>
      </w:tr>
      <w:tr w:rsidR="00300268" w:rsidRPr="005E017D" w14:paraId="31CB2907" w14:textId="77777777" w:rsidTr="008945C5">
        <w:trPr>
          <w:trHeight w:val="137"/>
          <w:jc w:val="center"/>
        </w:trPr>
        <w:tc>
          <w:tcPr>
            <w:tcW w:w="0" w:type="auto"/>
            <w:vAlign w:val="center"/>
          </w:tcPr>
          <w:p w14:paraId="31CB2903" w14:textId="77777777" w:rsidR="00300268" w:rsidRPr="005E017D" w:rsidRDefault="00300268" w:rsidP="000400EC">
            <w:pPr>
              <w:ind w:firstLine="0"/>
              <w:jc w:val="left"/>
              <w:rPr>
                <w:rFonts w:eastAsia="Times New Roman"/>
                <w:b/>
                <w:bCs/>
                <w:color w:val="000000" w:themeColor="text1"/>
                <w:sz w:val="22"/>
              </w:rPr>
            </w:pPr>
            <w:r w:rsidRPr="005E017D">
              <w:rPr>
                <w:rFonts w:eastAsia="Times New Roman"/>
                <w:b/>
                <w:bCs/>
                <w:color w:val="000000" w:themeColor="text1"/>
                <w:sz w:val="22"/>
              </w:rPr>
              <w:t xml:space="preserve">Retransplantasyon </w:t>
            </w:r>
          </w:p>
        </w:tc>
        <w:tc>
          <w:tcPr>
            <w:tcW w:w="0" w:type="auto"/>
            <w:noWrap/>
          </w:tcPr>
          <w:p w14:paraId="31CB2904" w14:textId="77382E77" w:rsidR="00300268" w:rsidRPr="00300268" w:rsidRDefault="00300268" w:rsidP="005336E5">
            <w:pPr>
              <w:ind w:firstLine="0"/>
              <w:rPr>
                <w:rFonts w:ascii="Book Antiqua" w:hAnsi="Book Antiqua"/>
                <w:color w:val="000000" w:themeColor="text1"/>
                <w:sz w:val="22"/>
              </w:rPr>
            </w:pPr>
            <w:r w:rsidRPr="00300268">
              <w:rPr>
                <w:rFonts w:ascii="Book Antiqua" w:hAnsi="Book Antiqua"/>
                <w:color w:val="000000" w:themeColor="text1"/>
                <w:sz w:val="22"/>
              </w:rPr>
              <w:t>4 (50</w:t>
            </w:r>
            <w:r w:rsidR="00EE6B7C">
              <w:rPr>
                <w:rFonts w:ascii="Book Antiqua" w:eastAsia="Times New Roman" w:hAnsi="Book Antiqua" w:cs="Arial"/>
                <w:color w:val="000000" w:themeColor="text1"/>
                <w:sz w:val="22"/>
              </w:rPr>
              <w:t>%</w:t>
            </w:r>
            <w:r w:rsidRPr="00300268">
              <w:rPr>
                <w:rFonts w:ascii="Book Antiqua" w:hAnsi="Book Antiqua"/>
                <w:color w:val="000000" w:themeColor="text1"/>
                <w:sz w:val="22"/>
              </w:rPr>
              <w:t>)</w:t>
            </w:r>
          </w:p>
        </w:tc>
        <w:tc>
          <w:tcPr>
            <w:tcW w:w="0" w:type="auto"/>
            <w:noWrap/>
          </w:tcPr>
          <w:p w14:paraId="31CB2905" w14:textId="52AB5335" w:rsidR="00300268" w:rsidRPr="00300268" w:rsidRDefault="00300268" w:rsidP="005336E5">
            <w:pPr>
              <w:ind w:firstLine="0"/>
              <w:rPr>
                <w:rFonts w:ascii="Book Antiqua" w:hAnsi="Book Antiqua"/>
                <w:color w:val="000000" w:themeColor="text1"/>
                <w:sz w:val="22"/>
              </w:rPr>
            </w:pPr>
            <w:r w:rsidRPr="00300268">
              <w:rPr>
                <w:rFonts w:ascii="Book Antiqua" w:hAnsi="Book Antiqua"/>
                <w:color w:val="000000" w:themeColor="text1"/>
                <w:sz w:val="22"/>
              </w:rPr>
              <w:t>2 (12.5</w:t>
            </w:r>
            <w:r w:rsidR="00EE6B7C">
              <w:rPr>
                <w:rFonts w:ascii="Book Antiqua" w:eastAsia="Times New Roman" w:hAnsi="Book Antiqua" w:cs="Arial"/>
                <w:color w:val="000000" w:themeColor="text1"/>
                <w:sz w:val="22"/>
              </w:rPr>
              <w:t>%</w:t>
            </w:r>
            <w:r w:rsidRPr="00300268">
              <w:rPr>
                <w:rFonts w:ascii="Book Antiqua" w:hAnsi="Book Antiqua"/>
                <w:color w:val="000000" w:themeColor="text1"/>
                <w:sz w:val="22"/>
              </w:rPr>
              <w:t>)</w:t>
            </w:r>
          </w:p>
        </w:tc>
        <w:tc>
          <w:tcPr>
            <w:tcW w:w="0" w:type="auto"/>
            <w:vAlign w:val="center"/>
          </w:tcPr>
          <w:p w14:paraId="31CB2906" w14:textId="77777777" w:rsidR="00300268" w:rsidRPr="00300268" w:rsidRDefault="00300268" w:rsidP="005336E5">
            <w:pPr>
              <w:ind w:right="360" w:firstLine="0"/>
              <w:rPr>
                <w:rFonts w:ascii="Book Antiqua" w:eastAsia="Times New Roman" w:hAnsi="Book Antiqua" w:cs="Arial"/>
                <w:b/>
                <w:bCs/>
                <w:color w:val="000000" w:themeColor="text1"/>
                <w:sz w:val="22"/>
              </w:rPr>
            </w:pPr>
            <w:r w:rsidRPr="00300268">
              <w:rPr>
                <w:rFonts w:ascii="Book Antiqua" w:eastAsia="Times New Roman" w:hAnsi="Book Antiqua" w:cs="Arial"/>
                <w:b/>
                <w:bCs/>
                <w:color w:val="000000" w:themeColor="text1"/>
                <w:sz w:val="22"/>
              </w:rPr>
              <w:t>0.04</w:t>
            </w:r>
          </w:p>
        </w:tc>
      </w:tr>
      <w:tr w:rsidR="00300268" w:rsidRPr="005E017D" w14:paraId="31CB2918" w14:textId="77777777" w:rsidTr="008945C5">
        <w:trPr>
          <w:trHeight w:val="137"/>
          <w:jc w:val="center"/>
        </w:trPr>
        <w:tc>
          <w:tcPr>
            <w:tcW w:w="0" w:type="auto"/>
            <w:vAlign w:val="center"/>
          </w:tcPr>
          <w:p w14:paraId="31CB2908" w14:textId="77777777" w:rsidR="00300268" w:rsidRPr="005E017D" w:rsidRDefault="00300268" w:rsidP="000400EC">
            <w:pPr>
              <w:ind w:firstLine="0"/>
              <w:jc w:val="left"/>
              <w:rPr>
                <w:rFonts w:eastAsia="Times New Roman"/>
                <w:b/>
                <w:bCs/>
                <w:color w:val="000000" w:themeColor="text1"/>
                <w:sz w:val="22"/>
              </w:rPr>
            </w:pPr>
            <w:r w:rsidRPr="005E017D">
              <w:rPr>
                <w:rFonts w:eastAsia="Times New Roman"/>
                <w:b/>
                <w:bCs/>
                <w:color w:val="000000" w:themeColor="text1"/>
                <w:sz w:val="22"/>
              </w:rPr>
              <w:t>Sepsis etiyolojileri</w:t>
            </w:r>
          </w:p>
          <w:p w14:paraId="31CB2909" w14:textId="77777777" w:rsidR="00300268" w:rsidRPr="005E017D" w:rsidRDefault="00300268" w:rsidP="000400EC">
            <w:pPr>
              <w:jc w:val="left"/>
              <w:rPr>
                <w:rFonts w:eastAsia="Times New Roman"/>
                <w:bCs/>
                <w:color w:val="000000" w:themeColor="text1"/>
                <w:sz w:val="22"/>
              </w:rPr>
            </w:pPr>
            <w:r>
              <w:rPr>
                <w:rFonts w:eastAsia="Times New Roman"/>
                <w:bCs/>
                <w:color w:val="000000" w:themeColor="text1"/>
                <w:sz w:val="22"/>
              </w:rPr>
              <w:t>HAT</w:t>
            </w:r>
          </w:p>
          <w:p w14:paraId="31CB290A" w14:textId="77777777" w:rsidR="00300268" w:rsidRPr="005E017D" w:rsidRDefault="00300268" w:rsidP="000400EC">
            <w:pPr>
              <w:jc w:val="left"/>
              <w:rPr>
                <w:rFonts w:eastAsia="Times New Roman"/>
                <w:bCs/>
                <w:color w:val="000000" w:themeColor="text1"/>
                <w:sz w:val="22"/>
              </w:rPr>
            </w:pPr>
            <w:r w:rsidRPr="005E017D">
              <w:rPr>
                <w:rFonts w:eastAsia="Times New Roman"/>
                <w:bCs/>
                <w:color w:val="000000" w:themeColor="text1"/>
                <w:sz w:val="22"/>
              </w:rPr>
              <w:t xml:space="preserve">Bilier kaçak </w:t>
            </w:r>
          </w:p>
          <w:p w14:paraId="31CB290B" w14:textId="77777777" w:rsidR="00300268" w:rsidRPr="005E017D" w:rsidRDefault="00300268" w:rsidP="000400EC">
            <w:pPr>
              <w:jc w:val="left"/>
              <w:rPr>
                <w:rFonts w:eastAsia="Times New Roman"/>
                <w:bCs/>
                <w:color w:val="000000" w:themeColor="text1"/>
                <w:sz w:val="22"/>
              </w:rPr>
            </w:pPr>
            <w:r w:rsidRPr="005E017D">
              <w:rPr>
                <w:rFonts w:eastAsia="Times New Roman"/>
                <w:bCs/>
                <w:color w:val="000000" w:themeColor="text1"/>
                <w:sz w:val="22"/>
              </w:rPr>
              <w:t>Perforasyon</w:t>
            </w:r>
          </w:p>
          <w:p w14:paraId="31CB290C" w14:textId="77777777" w:rsidR="00300268" w:rsidRPr="005E017D" w:rsidRDefault="00300268" w:rsidP="000400EC">
            <w:pPr>
              <w:jc w:val="left"/>
              <w:rPr>
                <w:rFonts w:eastAsia="Times New Roman"/>
                <w:b/>
                <w:bCs/>
                <w:color w:val="000000" w:themeColor="text1"/>
                <w:sz w:val="22"/>
              </w:rPr>
            </w:pPr>
            <w:r w:rsidRPr="005E017D">
              <w:rPr>
                <w:rFonts w:eastAsia="Times New Roman"/>
                <w:bCs/>
                <w:color w:val="000000" w:themeColor="text1"/>
                <w:sz w:val="22"/>
              </w:rPr>
              <w:t>Diğer</w:t>
            </w:r>
            <w:r w:rsidRPr="005E017D">
              <w:rPr>
                <w:rFonts w:eastAsia="Times New Roman"/>
                <w:b/>
                <w:bCs/>
                <w:color w:val="000000" w:themeColor="text1"/>
                <w:sz w:val="22"/>
              </w:rPr>
              <w:t xml:space="preserve"> </w:t>
            </w:r>
          </w:p>
        </w:tc>
        <w:tc>
          <w:tcPr>
            <w:tcW w:w="0" w:type="auto"/>
            <w:noWrap/>
          </w:tcPr>
          <w:p w14:paraId="31CB290D" w14:textId="77777777" w:rsidR="00300268" w:rsidRPr="00300268" w:rsidRDefault="00300268" w:rsidP="005336E5">
            <w:pPr>
              <w:jc w:val="center"/>
              <w:rPr>
                <w:color w:val="000000" w:themeColor="text1"/>
                <w:sz w:val="22"/>
              </w:rPr>
            </w:pPr>
          </w:p>
          <w:p w14:paraId="31CB290E" w14:textId="415B7135" w:rsidR="00300268" w:rsidRPr="00300268" w:rsidRDefault="00300268" w:rsidP="005336E5">
            <w:pPr>
              <w:ind w:firstLine="0"/>
              <w:rPr>
                <w:color w:val="000000" w:themeColor="text1"/>
                <w:sz w:val="22"/>
              </w:rPr>
            </w:pPr>
            <w:r w:rsidRPr="00300268">
              <w:rPr>
                <w:color w:val="000000" w:themeColor="text1"/>
                <w:sz w:val="22"/>
              </w:rPr>
              <w:t>4 (50</w:t>
            </w:r>
            <w:r w:rsidR="00EE6B7C">
              <w:rPr>
                <w:rFonts w:ascii="Book Antiqua" w:eastAsia="Times New Roman" w:hAnsi="Book Antiqua" w:cs="Arial"/>
                <w:color w:val="000000" w:themeColor="text1"/>
                <w:sz w:val="22"/>
              </w:rPr>
              <w:t>%</w:t>
            </w:r>
            <w:r w:rsidRPr="00300268">
              <w:rPr>
                <w:color w:val="000000" w:themeColor="text1"/>
                <w:sz w:val="22"/>
              </w:rPr>
              <w:t>)</w:t>
            </w:r>
          </w:p>
          <w:p w14:paraId="31CB290F" w14:textId="6C12E055" w:rsidR="00300268" w:rsidRPr="00300268" w:rsidRDefault="00300268" w:rsidP="005336E5">
            <w:pPr>
              <w:ind w:firstLine="0"/>
              <w:rPr>
                <w:color w:val="000000" w:themeColor="text1"/>
                <w:sz w:val="22"/>
              </w:rPr>
            </w:pPr>
            <w:r w:rsidRPr="00300268">
              <w:rPr>
                <w:color w:val="000000" w:themeColor="text1"/>
                <w:sz w:val="22"/>
              </w:rPr>
              <w:t>2 (25</w:t>
            </w:r>
            <w:r w:rsidR="00EE6B7C">
              <w:rPr>
                <w:rFonts w:ascii="Book Antiqua" w:eastAsia="Times New Roman" w:hAnsi="Book Antiqua" w:cs="Arial"/>
                <w:color w:val="000000" w:themeColor="text1"/>
                <w:sz w:val="22"/>
              </w:rPr>
              <w:t>%</w:t>
            </w:r>
            <w:r w:rsidRPr="00300268">
              <w:rPr>
                <w:color w:val="000000" w:themeColor="text1"/>
                <w:sz w:val="22"/>
              </w:rPr>
              <w:t>)</w:t>
            </w:r>
          </w:p>
          <w:p w14:paraId="31CB2910" w14:textId="2B35142B" w:rsidR="00300268" w:rsidRPr="00300268" w:rsidRDefault="00300268" w:rsidP="005336E5">
            <w:pPr>
              <w:ind w:firstLine="0"/>
              <w:rPr>
                <w:color w:val="000000" w:themeColor="text1"/>
                <w:sz w:val="22"/>
              </w:rPr>
            </w:pPr>
            <w:r w:rsidRPr="00300268">
              <w:rPr>
                <w:color w:val="000000" w:themeColor="text1"/>
                <w:sz w:val="22"/>
              </w:rPr>
              <w:t>1 (12.5</w:t>
            </w:r>
            <w:r w:rsidR="00EE6B7C">
              <w:rPr>
                <w:rFonts w:ascii="Book Antiqua" w:eastAsia="Times New Roman" w:hAnsi="Book Antiqua" w:cs="Arial"/>
                <w:color w:val="000000" w:themeColor="text1"/>
                <w:sz w:val="22"/>
              </w:rPr>
              <w:t>%</w:t>
            </w:r>
            <w:r w:rsidRPr="00300268">
              <w:rPr>
                <w:color w:val="000000" w:themeColor="text1"/>
                <w:sz w:val="22"/>
              </w:rPr>
              <w:t>)</w:t>
            </w:r>
          </w:p>
          <w:p w14:paraId="31CB2911" w14:textId="2E536FB1" w:rsidR="00300268" w:rsidRPr="00300268" w:rsidRDefault="00300268" w:rsidP="005336E5">
            <w:pPr>
              <w:ind w:firstLine="0"/>
              <w:rPr>
                <w:color w:val="000000" w:themeColor="text1"/>
                <w:sz w:val="22"/>
              </w:rPr>
            </w:pPr>
            <w:r w:rsidRPr="00300268">
              <w:rPr>
                <w:color w:val="000000" w:themeColor="text1"/>
                <w:sz w:val="22"/>
              </w:rPr>
              <w:t>1 (12.5</w:t>
            </w:r>
            <w:r w:rsidR="00EE6B7C">
              <w:rPr>
                <w:rFonts w:ascii="Book Antiqua" w:eastAsia="Times New Roman" w:hAnsi="Book Antiqua" w:cs="Arial"/>
                <w:color w:val="000000" w:themeColor="text1"/>
                <w:sz w:val="22"/>
              </w:rPr>
              <w:t>%</w:t>
            </w:r>
            <w:r w:rsidRPr="00300268">
              <w:rPr>
                <w:color w:val="000000" w:themeColor="text1"/>
                <w:sz w:val="22"/>
              </w:rPr>
              <w:t>)</w:t>
            </w:r>
          </w:p>
        </w:tc>
        <w:tc>
          <w:tcPr>
            <w:tcW w:w="0" w:type="auto"/>
            <w:noWrap/>
          </w:tcPr>
          <w:p w14:paraId="31CB2912" w14:textId="77777777" w:rsidR="00300268" w:rsidRPr="00300268" w:rsidRDefault="00300268" w:rsidP="005336E5">
            <w:pPr>
              <w:jc w:val="center"/>
              <w:rPr>
                <w:color w:val="000000" w:themeColor="text1"/>
                <w:sz w:val="22"/>
              </w:rPr>
            </w:pPr>
          </w:p>
          <w:p w14:paraId="31CB2913" w14:textId="55C062EE" w:rsidR="00300268" w:rsidRPr="00300268" w:rsidRDefault="00300268" w:rsidP="005336E5">
            <w:pPr>
              <w:ind w:firstLine="0"/>
              <w:rPr>
                <w:color w:val="000000" w:themeColor="text1"/>
                <w:sz w:val="22"/>
              </w:rPr>
            </w:pPr>
            <w:r w:rsidRPr="00300268">
              <w:rPr>
                <w:color w:val="000000" w:themeColor="text1"/>
                <w:sz w:val="22"/>
              </w:rPr>
              <w:t>2 (12.5</w:t>
            </w:r>
            <w:r w:rsidR="00EE6B7C">
              <w:rPr>
                <w:rFonts w:ascii="Book Antiqua" w:eastAsia="Times New Roman" w:hAnsi="Book Antiqua" w:cs="Arial"/>
                <w:color w:val="000000" w:themeColor="text1"/>
                <w:sz w:val="22"/>
              </w:rPr>
              <w:t>%</w:t>
            </w:r>
            <w:r w:rsidRPr="00300268">
              <w:rPr>
                <w:color w:val="000000" w:themeColor="text1"/>
                <w:sz w:val="22"/>
              </w:rPr>
              <w:t>)</w:t>
            </w:r>
          </w:p>
          <w:p w14:paraId="31CB2914" w14:textId="50A03394" w:rsidR="00300268" w:rsidRPr="00300268" w:rsidRDefault="00300268" w:rsidP="005336E5">
            <w:pPr>
              <w:ind w:firstLine="0"/>
              <w:rPr>
                <w:color w:val="000000" w:themeColor="text1"/>
                <w:sz w:val="22"/>
              </w:rPr>
            </w:pPr>
            <w:r w:rsidRPr="00300268">
              <w:rPr>
                <w:color w:val="000000" w:themeColor="text1"/>
                <w:sz w:val="22"/>
              </w:rPr>
              <w:t>6 (37.5</w:t>
            </w:r>
            <w:r w:rsidR="00EE6B7C">
              <w:rPr>
                <w:rFonts w:ascii="Book Antiqua" w:eastAsia="Times New Roman" w:hAnsi="Book Antiqua" w:cs="Arial"/>
                <w:color w:val="000000" w:themeColor="text1"/>
                <w:sz w:val="22"/>
              </w:rPr>
              <w:t>%</w:t>
            </w:r>
            <w:r w:rsidRPr="00300268">
              <w:rPr>
                <w:color w:val="000000" w:themeColor="text1"/>
                <w:sz w:val="22"/>
              </w:rPr>
              <w:t>)</w:t>
            </w:r>
          </w:p>
          <w:p w14:paraId="31CB2915" w14:textId="2CE79CEB" w:rsidR="00300268" w:rsidRPr="00300268" w:rsidRDefault="00300268" w:rsidP="005336E5">
            <w:pPr>
              <w:ind w:firstLine="0"/>
              <w:rPr>
                <w:color w:val="000000" w:themeColor="text1"/>
                <w:sz w:val="22"/>
              </w:rPr>
            </w:pPr>
            <w:r w:rsidRPr="00300268">
              <w:rPr>
                <w:color w:val="000000" w:themeColor="text1"/>
                <w:sz w:val="22"/>
              </w:rPr>
              <w:t>5 (31.3</w:t>
            </w:r>
            <w:r w:rsidR="00EE6B7C">
              <w:rPr>
                <w:rFonts w:ascii="Book Antiqua" w:eastAsia="Times New Roman" w:hAnsi="Book Antiqua" w:cs="Arial"/>
                <w:color w:val="000000" w:themeColor="text1"/>
                <w:sz w:val="22"/>
              </w:rPr>
              <w:t>%</w:t>
            </w:r>
            <w:r w:rsidRPr="00300268">
              <w:rPr>
                <w:color w:val="000000" w:themeColor="text1"/>
                <w:sz w:val="22"/>
              </w:rPr>
              <w:t>)</w:t>
            </w:r>
          </w:p>
          <w:p w14:paraId="31CB2916" w14:textId="4C7BA947" w:rsidR="00300268" w:rsidRPr="00300268" w:rsidRDefault="00300268" w:rsidP="005336E5">
            <w:pPr>
              <w:ind w:firstLine="0"/>
              <w:rPr>
                <w:color w:val="000000" w:themeColor="text1"/>
                <w:sz w:val="22"/>
              </w:rPr>
            </w:pPr>
            <w:r w:rsidRPr="00300268">
              <w:rPr>
                <w:color w:val="000000" w:themeColor="text1"/>
                <w:sz w:val="22"/>
              </w:rPr>
              <w:t>3 (18.8</w:t>
            </w:r>
            <w:r w:rsidR="00EE6B7C">
              <w:rPr>
                <w:rFonts w:ascii="Book Antiqua" w:eastAsia="Times New Roman" w:hAnsi="Book Antiqua" w:cs="Arial"/>
                <w:color w:val="000000" w:themeColor="text1"/>
                <w:sz w:val="22"/>
              </w:rPr>
              <w:t>%</w:t>
            </w:r>
            <w:r w:rsidRPr="00300268">
              <w:rPr>
                <w:color w:val="000000" w:themeColor="text1"/>
                <w:sz w:val="22"/>
              </w:rPr>
              <w:t>)</w:t>
            </w:r>
          </w:p>
        </w:tc>
        <w:tc>
          <w:tcPr>
            <w:tcW w:w="0" w:type="auto"/>
            <w:vAlign w:val="center"/>
          </w:tcPr>
          <w:p w14:paraId="31CB2917" w14:textId="77777777" w:rsidR="00300268" w:rsidRPr="00300268" w:rsidRDefault="00300268" w:rsidP="005336E5">
            <w:pPr>
              <w:ind w:right="360"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0.24</w:t>
            </w:r>
          </w:p>
        </w:tc>
      </w:tr>
      <w:tr w:rsidR="00300268" w:rsidRPr="005E017D" w14:paraId="31CB291D" w14:textId="77777777" w:rsidTr="008945C5">
        <w:trPr>
          <w:trHeight w:val="137"/>
          <w:jc w:val="center"/>
        </w:trPr>
        <w:tc>
          <w:tcPr>
            <w:tcW w:w="0" w:type="auto"/>
            <w:vAlign w:val="center"/>
          </w:tcPr>
          <w:p w14:paraId="31CB2919" w14:textId="77777777" w:rsidR="00300268" w:rsidRPr="005E017D" w:rsidRDefault="00300268" w:rsidP="000400EC">
            <w:pPr>
              <w:ind w:firstLine="0"/>
              <w:jc w:val="left"/>
              <w:rPr>
                <w:rFonts w:eastAsia="Times New Roman"/>
                <w:b/>
                <w:bCs/>
                <w:color w:val="000000" w:themeColor="text1"/>
                <w:sz w:val="22"/>
              </w:rPr>
            </w:pPr>
            <w:r w:rsidRPr="005E017D">
              <w:rPr>
                <w:rFonts w:eastAsia="Times New Roman"/>
                <w:b/>
                <w:bCs/>
                <w:color w:val="000000" w:themeColor="text1"/>
                <w:sz w:val="22"/>
              </w:rPr>
              <w:t>Plazmaferez</w:t>
            </w:r>
          </w:p>
        </w:tc>
        <w:tc>
          <w:tcPr>
            <w:tcW w:w="0" w:type="auto"/>
            <w:noWrap/>
          </w:tcPr>
          <w:p w14:paraId="31CB291A" w14:textId="51F0AA5F" w:rsidR="00300268" w:rsidRPr="00300268" w:rsidRDefault="00300268" w:rsidP="005336E5">
            <w:pPr>
              <w:ind w:firstLine="0"/>
              <w:rPr>
                <w:color w:val="000000" w:themeColor="text1"/>
                <w:sz w:val="22"/>
              </w:rPr>
            </w:pPr>
            <w:r w:rsidRPr="00300268">
              <w:rPr>
                <w:color w:val="000000" w:themeColor="text1"/>
                <w:sz w:val="22"/>
              </w:rPr>
              <w:t>7 (87.5</w:t>
            </w:r>
            <w:r w:rsidR="00EE6B7C">
              <w:rPr>
                <w:rFonts w:ascii="Book Antiqua" w:eastAsia="Times New Roman" w:hAnsi="Book Antiqua" w:cs="Arial"/>
                <w:color w:val="000000" w:themeColor="text1"/>
                <w:sz w:val="22"/>
              </w:rPr>
              <w:t>%</w:t>
            </w:r>
            <w:r w:rsidRPr="00300268">
              <w:rPr>
                <w:color w:val="000000" w:themeColor="text1"/>
                <w:sz w:val="22"/>
              </w:rPr>
              <w:t>)</w:t>
            </w:r>
          </w:p>
        </w:tc>
        <w:tc>
          <w:tcPr>
            <w:tcW w:w="0" w:type="auto"/>
            <w:noWrap/>
          </w:tcPr>
          <w:p w14:paraId="31CB291B" w14:textId="3F19F4B1" w:rsidR="00300268" w:rsidRPr="00300268" w:rsidRDefault="00300268" w:rsidP="005336E5">
            <w:pPr>
              <w:ind w:firstLine="0"/>
              <w:rPr>
                <w:color w:val="000000" w:themeColor="text1"/>
                <w:sz w:val="22"/>
              </w:rPr>
            </w:pPr>
            <w:r w:rsidRPr="00300268">
              <w:rPr>
                <w:color w:val="000000" w:themeColor="text1"/>
                <w:sz w:val="22"/>
              </w:rPr>
              <w:t>7 (43.8</w:t>
            </w:r>
            <w:r w:rsidR="00EE6B7C">
              <w:rPr>
                <w:rFonts w:ascii="Book Antiqua" w:eastAsia="Times New Roman" w:hAnsi="Book Antiqua" w:cs="Arial"/>
                <w:color w:val="000000" w:themeColor="text1"/>
                <w:sz w:val="22"/>
              </w:rPr>
              <w:t>%</w:t>
            </w:r>
            <w:r w:rsidRPr="00300268">
              <w:rPr>
                <w:color w:val="000000" w:themeColor="text1"/>
                <w:sz w:val="22"/>
              </w:rPr>
              <w:t>)</w:t>
            </w:r>
          </w:p>
        </w:tc>
        <w:tc>
          <w:tcPr>
            <w:tcW w:w="0" w:type="auto"/>
            <w:vAlign w:val="center"/>
          </w:tcPr>
          <w:p w14:paraId="31CB291C" w14:textId="77777777" w:rsidR="00300268" w:rsidRPr="00300268" w:rsidRDefault="00300268" w:rsidP="005336E5">
            <w:pPr>
              <w:ind w:right="360" w:firstLine="0"/>
              <w:rPr>
                <w:rFonts w:ascii="Book Antiqua" w:eastAsia="Times New Roman" w:hAnsi="Book Antiqua" w:cs="Arial"/>
                <w:b/>
                <w:color w:val="000000" w:themeColor="text1"/>
                <w:sz w:val="22"/>
              </w:rPr>
            </w:pPr>
            <w:r w:rsidRPr="00300268">
              <w:rPr>
                <w:rFonts w:ascii="Book Antiqua" w:eastAsia="Times New Roman" w:hAnsi="Book Antiqua" w:cs="Arial"/>
                <w:b/>
                <w:color w:val="000000" w:themeColor="text1"/>
                <w:sz w:val="22"/>
              </w:rPr>
              <w:t>0.04</w:t>
            </w:r>
          </w:p>
        </w:tc>
      </w:tr>
      <w:tr w:rsidR="00300268" w:rsidRPr="005E017D" w14:paraId="31CB2922" w14:textId="77777777" w:rsidTr="008945C5">
        <w:trPr>
          <w:trHeight w:val="137"/>
          <w:jc w:val="center"/>
        </w:trPr>
        <w:tc>
          <w:tcPr>
            <w:tcW w:w="0" w:type="auto"/>
            <w:vAlign w:val="center"/>
          </w:tcPr>
          <w:p w14:paraId="31CB291E" w14:textId="77777777" w:rsidR="00300268" w:rsidRPr="005E017D" w:rsidRDefault="00300268" w:rsidP="000400EC">
            <w:pPr>
              <w:ind w:firstLine="0"/>
              <w:jc w:val="left"/>
              <w:rPr>
                <w:rFonts w:eastAsia="Times New Roman"/>
                <w:b/>
                <w:bCs/>
                <w:color w:val="000000" w:themeColor="text1"/>
                <w:sz w:val="22"/>
              </w:rPr>
            </w:pPr>
            <w:r>
              <w:rPr>
                <w:rFonts w:eastAsia="Times New Roman"/>
                <w:b/>
                <w:bCs/>
                <w:color w:val="000000" w:themeColor="text1"/>
                <w:sz w:val="22"/>
              </w:rPr>
              <w:t>MARS</w:t>
            </w:r>
          </w:p>
        </w:tc>
        <w:tc>
          <w:tcPr>
            <w:tcW w:w="0" w:type="auto"/>
            <w:noWrap/>
          </w:tcPr>
          <w:p w14:paraId="31CB291F" w14:textId="18C4ECE2" w:rsidR="00300268" w:rsidRPr="00300268" w:rsidRDefault="00300268" w:rsidP="005336E5">
            <w:pPr>
              <w:ind w:firstLine="0"/>
              <w:rPr>
                <w:color w:val="000000" w:themeColor="text1"/>
                <w:sz w:val="22"/>
              </w:rPr>
            </w:pPr>
            <w:r w:rsidRPr="00300268">
              <w:rPr>
                <w:color w:val="000000" w:themeColor="text1"/>
                <w:sz w:val="22"/>
              </w:rPr>
              <w:t>3 (37.5</w:t>
            </w:r>
            <w:r w:rsidR="00EE6B7C">
              <w:rPr>
                <w:rFonts w:ascii="Book Antiqua" w:eastAsia="Times New Roman" w:hAnsi="Book Antiqua" w:cs="Arial"/>
                <w:color w:val="000000" w:themeColor="text1"/>
                <w:sz w:val="22"/>
              </w:rPr>
              <w:t>%</w:t>
            </w:r>
            <w:r w:rsidRPr="00300268">
              <w:rPr>
                <w:color w:val="000000" w:themeColor="text1"/>
                <w:sz w:val="22"/>
              </w:rPr>
              <w:t>)</w:t>
            </w:r>
          </w:p>
        </w:tc>
        <w:tc>
          <w:tcPr>
            <w:tcW w:w="0" w:type="auto"/>
            <w:noWrap/>
          </w:tcPr>
          <w:p w14:paraId="31CB2920" w14:textId="61CCF35B" w:rsidR="00300268" w:rsidRPr="00300268" w:rsidRDefault="00300268" w:rsidP="005336E5">
            <w:pPr>
              <w:ind w:firstLine="0"/>
              <w:rPr>
                <w:color w:val="000000" w:themeColor="text1"/>
                <w:sz w:val="22"/>
              </w:rPr>
            </w:pPr>
            <w:r w:rsidRPr="00300268">
              <w:rPr>
                <w:color w:val="000000" w:themeColor="text1"/>
                <w:sz w:val="22"/>
              </w:rPr>
              <w:t>2 (12.5</w:t>
            </w:r>
            <w:r w:rsidR="00EE6B7C">
              <w:rPr>
                <w:rFonts w:ascii="Book Antiqua" w:eastAsia="Times New Roman" w:hAnsi="Book Antiqua" w:cs="Arial"/>
                <w:color w:val="000000" w:themeColor="text1"/>
                <w:sz w:val="22"/>
              </w:rPr>
              <w:t>%</w:t>
            </w:r>
            <w:r w:rsidRPr="00300268">
              <w:rPr>
                <w:color w:val="000000" w:themeColor="text1"/>
                <w:sz w:val="22"/>
              </w:rPr>
              <w:t>)</w:t>
            </w:r>
          </w:p>
        </w:tc>
        <w:tc>
          <w:tcPr>
            <w:tcW w:w="0" w:type="auto"/>
            <w:vAlign w:val="center"/>
          </w:tcPr>
          <w:p w14:paraId="31CB2921" w14:textId="77777777" w:rsidR="00300268" w:rsidRPr="00300268" w:rsidRDefault="00300268" w:rsidP="005336E5">
            <w:pPr>
              <w:ind w:right="360" w:firstLine="0"/>
              <w:rPr>
                <w:rFonts w:ascii="Book Antiqua" w:eastAsia="Times New Roman" w:hAnsi="Book Antiqua" w:cs="Arial"/>
                <w:color w:val="000000" w:themeColor="text1"/>
                <w:sz w:val="22"/>
              </w:rPr>
            </w:pPr>
            <w:r w:rsidRPr="00300268">
              <w:rPr>
                <w:rFonts w:ascii="Book Antiqua" w:eastAsia="Times New Roman" w:hAnsi="Book Antiqua" w:cs="Arial"/>
                <w:color w:val="000000" w:themeColor="text1"/>
                <w:sz w:val="22"/>
              </w:rPr>
              <w:t>0.15</w:t>
            </w:r>
          </w:p>
        </w:tc>
      </w:tr>
      <w:tr w:rsidR="00300268" w:rsidRPr="005E017D" w14:paraId="31CB2927" w14:textId="77777777" w:rsidTr="008945C5">
        <w:trPr>
          <w:trHeight w:val="137"/>
          <w:jc w:val="center"/>
        </w:trPr>
        <w:tc>
          <w:tcPr>
            <w:tcW w:w="0" w:type="auto"/>
            <w:vAlign w:val="center"/>
          </w:tcPr>
          <w:p w14:paraId="31CB2923" w14:textId="77777777" w:rsidR="00300268" w:rsidRPr="005E017D" w:rsidRDefault="00300268" w:rsidP="000400EC">
            <w:pPr>
              <w:ind w:firstLine="0"/>
              <w:jc w:val="left"/>
              <w:rPr>
                <w:rFonts w:eastAsia="Times New Roman"/>
                <w:b/>
                <w:bCs/>
                <w:color w:val="000000" w:themeColor="text1"/>
                <w:sz w:val="22"/>
              </w:rPr>
            </w:pPr>
            <w:r w:rsidRPr="005E017D">
              <w:rPr>
                <w:rFonts w:eastAsia="Times New Roman"/>
                <w:b/>
                <w:bCs/>
                <w:color w:val="000000" w:themeColor="text1"/>
                <w:sz w:val="22"/>
              </w:rPr>
              <w:t>Takip süreleri (gün)</w:t>
            </w:r>
          </w:p>
        </w:tc>
        <w:tc>
          <w:tcPr>
            <w:tcW w:w="0" w:type="auto"/>
            <w:noWrap/>
          </w:tcPr>
          <w:p w14:paraId="31CB2924" w14:textId="77777777" w:rsidR="00300268" w:rsidRPr="00300268" w:rsidRDefault="00300268" w:rsidP="005336E5">
            <w:pPr>
              <w:ind w:firstLine="0"/>
              <w:rPr>
                <w:color w:val="000000" w:themeColor="text1"/>
                <w:sz w:val="22"/>
              </w:rPr>
            </w:pPr>
            <w:r w:rsidRPr="00300268">
              <w:rPr>
                <w:color w:val="000000" w:themeColor="text1"/>
                <w:sz w:val="22"/>
              </w:rPr>
              <w:t>13 (1-73)</w:t>
            </w:r>
          </w:p>
        </w:tc>
        <w:tc>
          <w:tcPr>
            <w:tcW w:w="0" w:type="auto"/>
            <w:noWrap/>
          </w:tcPr>
          <w:p w14:paraId="31CB2925" w14:textId="77777777" w:rsidR="00300268" w:rsidRPr="00300268" w:rsidRDefault="00300268" w:rsidP="005336E5">
            <w:pPr>
              <w:ind w:firstLine="0"/>
              <w:rPr>
                <w:color w:val="000000" w:themeColor="text1"/>
                <w:sz w:val="22"/>
              </w:rPr>
            </w:pPr>
            <w:r w:rsidRPr="00300268">
              <w:rPr>
                <w:color w:val="000000" w:themeColor="text1"/>
                <w:sz w:val="22"/>
              </w:rPr>
              <w:t>215 (90-444)</w:t>
            </w:r>
          </w:p>
        </w:tc>
        <w:tc>
          <w:tcPr>
            <w:tcW w:w="0" w:type="auto"/>
            <w:vAlign w:val="center"/>
          </w:tcPr>
          <w:p w14:paraId="31CB2926" w14:textId="77777777" w:rsidR="00300268" w:rsidRPr="00300268" w:rsidRDefault="00300268" w:rsidP="005336E5">
            <w:pPr>
              <w:ind w:right="360" w:firstLine="0"/>
              <w:rPr>
                <w:rFonts w:ascii="Book Antiqua" w:eastAsia="Times New Roman" w:hAnsi="Book Antiqua" w:cs="Arial"/>
                <w:b/>
                <w:color w:val="000000" w:themeColor="text1"/>
                <w:sz w:val="22"/>
              </w:rPr>
            </w:pPr>
            <w:r w:rsidRPr="00300268">
              <w:rPr>
                <w:rFonts w:ascii="Book Antiqua" w:eastAsia="Times New Roman" w:hAnsi="Book Antiqua" w:cs="Arial"/>
                <w:b/>
                <w:color w:val="000000" w:themeColor="text1"/>
                <w:sz w:val="22"/>
              </w:rPr>
              <w:t>&lt;0.001</w:t>
            </w:r>
          </w:p>
        </w:tc>
      </w:tr>
    </w:tbl>
    <w:p w14:paraId="31CB2928" w14:textId="7715EA0E" w:rsidR="000400EC" w:rsidRDefault="0054678D" w:rsidP="003A4709">
      <w:pPr>
        <w:spacing w:after="160"/>
        <w:ind w:firstLine="0"/>
      </w:pPr>
      <w:r>
        <w:t xml:space="preserve">      </w:t>
      </w:r>
      <w:r w:rsidR="006A41D2">
        <w:t xml:space="preserve">      </w:t>
      </w:r>
      <w:r>
        <w:t xml:space="preserve">   </w:t>
      </w:r>
      <w:r w:rsidR="008945C5">
        <w:t xml:space="preserve"> (</w:t>
      </w:r>
      <w:r w:rsidR="008945C5" w:rsidRPr="00594591">
        <w:t>Pearson</w:t>
      </w:r>
      <w:r w:rsidR="008945C5">
        <w:t>’s</w:t>
      </w:r>
      <w:r w:rsidR="008945C5" w:rsidRPr="00594591">
        <w:t xml:space="preserve"> chi</w:t>
      </w:r>
      <w:r w:rsidR="008945C5">
        <w:t>-</w:t>
      </w:r>
      <w:r w:rsidR="008945C5" w:rsidRPr="00594591">
        <w:t>square</w:t>
      </w:r>
      <w:r w:rsidR="008945C5">
        <w:t>d</w:t>
      </w:r>
      <w:r w:rsidR="008945C5" w:rsidRPr="00594591">
        <w:t xml:space="preserve"> test</w:t>
      </w:r>
      <w:r w:rsidR="008945C5">
        <w:t>)</w:t>
      </w:r>
      <w:r w:rsidR="006B285C">
        <w:t>,</w:t>
      </w:r>
      <w:r w:rsidR="00EE6B7C">
        <w:t xml:space="preserve"> (n=hasta sayısı)</w:t>
      </w:r>
    </w:p>
    <w:p w14:paraId="4C60A641" w14:textId="77777777" w:rsidR="00BB5FD7" w:rsidRDefault="00BB5FD7" w:rsidP="00BB5FD7">
      <w:r w:rsidRPr="00994305">
        <w:lastRenderedPageBreak/>
        <w:t>İkinci gruptaki</w:t>
      </w:r>
      <w:r>
        <w:t xml:space="preserve"> hastaların ölçülen biyokimyasal ve sitokin parametreleri sonucuna göre mortalite gelişen ve yaşayan gruplar kıyaslandığında </w:t>
      </w:r>
      <w:r w:rsidRPr="00BB5FD7">
        <w:rPr>
          <w:b/>
        </w:rPr>
        <w:t>fibrinojen, bilirübin ve protrombin zamanı (PTZ)</w:t>
      </w:r>
      <w:r>
        <w:t xml:space="preserve"> açısından istatistiksel olarak anlamlı farklılık izlendi. </w:t>
      </w:r>
    </w:p>
    <w:p w14:paraId="32D6F7E3" w14:textId="6E482B0D" w:rsidR="00BB5FD7" w:rsidRDefault="00BB5FD7" w:rsidP="00BB5FD7">
      <w:r>
        <w:t>Mortalite</w:t>
      </w:r>
      <w:r w:rsidRPr="00FC51F8">
        <w:t xml:space="preserve"> gelişen hast</w:t>
      </w:r>
      <w:r>
        <w:t>a</w:t>
      </w:r>
      <w:r w:rsidRPr="00FC51F8">
        <w:t xml:space="preserve">ların </w:t>
      </w:r>
      <w:r>
        <w:t xml:space="preserve">laboratuvar değerleri </w:t>
      </w:r>
      <w:r w:rsidRPr="00FC51F8">
        <w:t>yaşayanlarla karşılaştırıl</w:t>
      </w:r>
      <w:r>
        <w:t>dığında</w:t>
      </w:r>
      <w:r w:rsidRPr="00FC51F8">
        <w:t xml:space="preserve"> fibrinojen</w:t>
      </w:r>
      <w:r>
        <w:t xml:space="preserve"> değeri istatistiksel açıdan anlamlı </w:t>
      </w:r>
      <w:r w:rsidRPr="00FC51F8">
        <w:t>olarak</w:t>
      </w:r>
      <w:r>
        <w:t xml:space="preserve"> düşük bulundu </w:t>
      </w:r>
      <w:r w:rsidRPr="00FC51F8">
        <w:t xml:space="preserve">(97.6 </w:t>
      </w:r>
      <w:r>
        <w:t>vs</w:t>
      </w:r>
      <w:r w:rsidRPr="00FC51F8">
        <w:t xml:space="preserve"> 220 </w:t>
      </w:r>
      <w:r w:rsidR="00742672">
        <w:t>mg/dl</w:t>
      </w:r>
      <w:r w:rsidRPr="00FC51F8">
        <w:t>; p=0.001)</w:t>
      </w:r>
      <w:r>
        <w:t>.</w:t>
      </w:r>
    </w:p>
    <w:p w14:paraId="7BF084FF" w14:textId="466A6CFD" w:rsidR="00BB5FD7" w:rsidRDefault="00BB5FD7" w:rsidP="00BB5FD7">
      <w:r>
        <w:t>Mortalite</w:t>
      </w:r>
      <w:r w:rsidRPr="00FC51F8">
        <w:t xml:space="preserve"> gelişen hast</w:t>
      </w:r>
      <w:r>
        <w:t>a</w:t>
      </w:r>
      <w:r w:rsidRPr="00FC51F8">
        <w:t xml:space="preserve">ların </w:t>
      </w:r>
      <w:r>
        <w:t xml:space="preserve">total bilirübin ve direkt bilirübin değerleri </w:t>
      </w:r>
      <w:r w:rsidRPr="00FC51F8">
        <w:t>yaşayanlarla karşılaştırıl</w:t>
      </w:r>
      <w:r>
        <w:t>dığında</w:t>
      </w:r>
      <w:r w:rsidRPr="00FC51F8">
        <w:t xml:space="preserve"> </w:t>
      </w:r>
      <w:r>
        <w:t xml:space="preserve">total bilirübin ve direkt bilirübin değerleri istatistiksel açıdan anlamlı </w:t>
      </w:r>
      <w:r w:rsidRPr="00FC51F8">
        <w:t>olarak</w:t>
      </w:r>
      <w:r>
        <w:t xml:space="preserve"> yüksek bulundu. Mortalite gelişenler, yaşayan gruba kıyaslandığında sırasıyla t</w:t>
      </w:r>
      <w:r w:rsidRPr="00FC51F8">
        <w:t xml:space="preserve">otal bilirübin (18.3 vs 5.1 </w:t>
      </w:r>
      <w:r w:rsidR="00742672">
        <w:t>mg/dl</w:t>
      </w:r>
      <w:r w:rsidRPr="00FC51F8">
        <w:t xml:space="preserve">; p=0.006 ) </w:t>
      </w:r>
      <w:r>
        <w:t xml:space="preserve">ve direkt </w:t>
      </w:r>
      <w:r w:rsidRPr="00FC51F8">
        <w:t>bilirübin</w:t>
      </w:r>
      <w:r>
        <w:t xml:space="preserve"> (11.2 vs 3.5 </w:t>
      </w:r>
      <w:r w:rsidR="00742672">
        <w:t>mg/dl</w:t>
      </w:r>
      <w:r w:rsidRPr="00FC51F8">
        <w:t xml:space="preserve">; </w:t>
      </w:r>
      <w:r>
        <w:t>p=0.02) şeklinde ölçülmüştür.</w:t>
      </w:r>
    </w:p>
    <w:p w14:paraId="552B1A0E" w14:textId="6B526345" w:rsidR="00BB5FD7" w:rsidRPr="00994305" w:rsidRDefault="00BB5FD7" w:rsidP="00BB5FD7">
      <w:r>
        <w:t>Mortalite</w:t>
      </w:r>
      <w:r w:rsidRPr="00FC51F8">
        <w:t xml:space="preserve"> gelişen hast</w:t>
      </w:r>
      <w:r>
        <w:t>a</w:t>
      </w:r>
      <w:r w:rsidRPr="00FC51F8">
        <w:t xml:space="preserve">ların </w:t>
      </w:r>
      <w:r>
        <w:t xml:space="preserve">PTZ değeri </w:t>
      </w:r>
      <w:r w:rsidRPr="00FC51F8">
        <w:t>yaşayan</w:t>
      </w:r>
      <w:r>
        <w:t xml:space="preserve"> hastala</w:t>
      </w:r>
      <w:r w:rsidRPr="00FC51F8">
        <w:t>rla karşılaştırıl</w:t>
      </w:r>
      <w:r>
        <w:t>dığında</w:t>
      </w:r>
      <w:r w:rsidRPr="00FC51F8">
        <w:t xml:space="preserve"> </w:t>
      </w:r>
      <w:r>
        <w:t xml:space="preserve">istatistiksel açıdan anlamlı </w:t>
      </w:r>
      <w:r w:rsidRPr="00FC51F8">
        <w:t>olarak</w:t>
      </w:r>
      <w:r>
        <w:t xml:space="preserve"> yüksek bulundu. Mortalite gelişen ve yaşayan grup kıyaslandığında </w:t>
      </w:r>
      <w:r w:rsidRPr="00FC51F8">
        <w:t>PTZ</w:t>
      </w:r>
      <w:r>
        <w:t xml:space="preserve"> değeri</w:t>
      </w:r>
      <w:r w:rsidRPr="00FC51F8">
        <w:t xml:space="preserve"> </w:t>
      </w:r>
      <w:r>
        <w:t xml:space="preserve">sırasıyla </w:t>
      </w:r>
      <w:r w:rsidRPr="00FC51F8">
        <w:t>20.5 vs 15.2 sn</w:t>
      </w:r>
      <w:r>
        <w:t xml:space="preserve"> olarak ölçüldü (</w:t>
      </w:r>
      <w:r w:rsidRPr="00FC51F8">
        <w:t>p=0.009)</w:t>
      </w:r>
      <w:r>
        <w:t>.</w:t>
      </w:r>
      <w:r w:rsidRPr="00D84F3A">
        <w:rPr>
          <w:highlight w:val="yellow"/>
        </w:rPr>
        <w:t xml:space="preserve"> </w:t>
      </w:r>
      <w:r>
        <w:t xml:space="preserve"> </w:t>
      </w:r>
    </w:p>
    <w:p w14:paraId="719368D2" w14:textId="75B4C339" w:rsidR="00BB5FD7" w:rsidRDefault="00BB5FD7" w:rsidP="00BB5FD7">
      <w:r>
        <w:t xml:space="preserve">İkinci gruptaki hastalar arasında diğer laboratuvar verileri açısından istatistiksel olarak anlamlı bir farklılık görülmedi. </w:t>
      </w:r>
      <w:r w:rsidRPr="00BD49E0">
        <w:t>IFN-</w:t>
      </w:r>
      <w:r w:rsidRPr="009103C3">
        <w:t xml:space="preserve"> </w:t>
      </w:r>
      <w:r w:rsidRPr="007974E9">
        <w:t>γ</w:t>
      </w:r>
      <w:r>
        <w:t xml:space="preserve"> test sonucu ise çalışılan </w:t>
      </w:r>
      <w:r w:rsidRPr="00BD49E0">
        <w:t>hiçbir</w:t>
      </w:r>
      <w:r>
        <w:t xml:space="preserve"> hastada ELISA kit limitleri içinde ölçülmedi. </w:t>
      </w:r>
    </w:p>
    <w:p w14:paraId="2ADFD4E9" w14:textId="77777777" w:rsidR="00BF0F9A" w:rsidRDefault="00BF0F9A" w:rsidP="00BB5FD7"/>
    <w:p w14:paraId="3F29230C" w14:textId="4CE47F16" w:rsidR="00BB5FD7" w:rsidRDefault="00BB5FD7" w:rsidP="00BB5FD7">
      <w:r w:rsidRPr="00994305">
        <w:t>İkinci gruptaki</w:t>
      </w:r>
      <w:r>
        <w:t xml:space="preserve"> hastaların ölçülen biyokimyasal ve sitokin parametreleri sonucuna göre “mortalite gelişen ve yaşayan” hastalar arasındaki ilişki Tablo 4.</w:t>
      </w:r>
      <w:r w:rsidR="00280E3A">
        <w:t>11</w:t>
      </w:r>
      <w:r>
        <w:t xml:space="preserve"> de gösterilmiştir.</w:t>
      </w:r>
    </w:p>
    <w:p w14:paraId="56FD3ED7" w14:textId="2832466C" w:rsidR="00BB5FD7" w:rsidRDefault="00BB5FD7">
      <w:pPr>
        <w:spacing w:after="160"/>
        <w:ind w:left="680" w:firstLine="0"/>
      </w:pPr>
      <w:r>
        <w:br w:type="page"/>
      </w:r>
    </w:p>
    <w:p w14:paraId="31CB2929" w14:textId="22CBEDE0" w:rsidR="00376435" w:rsidRPr="003A4709" w:rsidRDefault="00D87E93" w:rsidP="003A4709">
      <w:pPr>
        <w:pStyle w:val="ResimYazs"/>
        <w:rPr>
          <w:color w:val="000000" w:themeColor="text1"/>
          <w:szCs w:val="24"/>
        </w:rPr>
      </w:pPr>
      <w:bookmarkStart w:id="563" w:name="_Toc49818026"/>
      <w:r w:rsidRPr="006E1BB9">
        <w:rPr>
          <w:i w:val="0"/>
          <w:color w:val="000000" w:themeColor="text1"/>
          <w:sz w:val="24"/>
          <w:szCs w:val="24"/>
        </w:rPr>
        <w:lastRenderedPageBreak/>
        <w:t xml:space="preserve">Tablo </w:t>
      </w:r>
      <w:r w:rsidR="002B4CBE">
        <w:rPr>
          <w:i w:val="0"/>
          <w:color w:val="000000" w:themeColor="text1"/>
          <w:sz w:val="24"/>
          <w:szCs w:val="24"/>
        </w:rPr>
        <w:fldChar w:fldCharType="begin"/>
      </w:r>
      <w:r w:rsidR="002B4CBE">
        <w:rPr>
          <w:i w:val="0"/>
          <w:color w:val="000000" w:themeColor="text1"/>
          <w:sz w:val="24"/>
          <w:szCs w:val="24"/>
        </w:rPr>
        <w:instrText xml:space="preserve"> STYLEREF 1 \s </w:instrText>
      </w:r>
      <w:r w:rsidR="002B4CBE">
        <w:rPr>
          <w:i w:val="0"/>
          <w:color w:val="000000" w:themeColor="text1"/>
          <w:sz w:val="24"/>
          <w:szCs w:val="24"/>
        </w:rPr>
        <w:fldChar w:fldCharType="separate"/>
      </w:r>
      <w:r w:rsidR="00063441">
        <w:rPr>
          <w:i w:val="0"/>
          <w:noProof/>
          <w:color w:val="000000" w:themeColor="text1"/>
          <w:sz w:val="24"/>
          <w:szCs w:val="24"/>
        </w:rPr>
        <w:t>4</w:t>
      </w:r>
      <w:r w:rsidR="002B4CBE">
        <w:rPr>
          <w:i w:val="0"/>
          <w:color w:val="000000" w:themeColor="text1"/>
          <w:sz w:val="24"/>
          <w:szCs w:val="24"/>
        </w:rPr>
        <w:fldChar w:fldCharType="end"/>
      </w:r>
      <w:r w:rsidR="002B4CBE">
        <w:rPr>
          <w:i w:val="0"/>
          <w:color w:val="000000" w:themeColor="text1"/>
          <w:sz w:val="24"/>
          <w:szCs w:val="24"/>
        </w:rPr>
        <w:t>.</w:t>
      </w:r>
      <w:r w:rsidR="002B4CBE">
        <w:rPr>
          <w:i w:val="0"/>
          <w:color w:val="000000" w:themeColor="text1"/>
          <w:sz w:val="24"/>
          <w:szCs w:val="24"/>
        </w:rPr>
        <w:fldChar w:fldCharType="begin"/>
      </w:r>
      <w:r w:rsidR="002B4CBE">
        <w:rPr>
          <w:i w:val="0"/>
          <w:color w:val="000000" w:themeColor="text1"/>
          <w:sz w:val="24"/>
          <w:szCs w:val="24"/>
        </w:rPr>
        <w:instrText xml:space="preserve"> SEQ Tablo \* ARABIC \s 1 </w:instrText>
      </w:r>
      <w:r w:rsidR="002B4CBE">
        <w:rPr>
          <w:i w:val="0"/>
          <w:color w:val="000000" w:themeColor="text1"/>
          <w:sz w:val="24"/>
          <w:szCs w:val="24"/>
        </w:rPr>
        <w:fldChar w:fldCharType="separate"/>
      </w:r>
      <w:r w:rsidR="00063441">
        <w:rPr>
          <w:i w:val="0"/>
          <w:noProof/>
          <w:color w:val="000000" w:themeColor="text1"/>
          <w:sz w:val="24"/>
          <w:szCs w:val="24"/>
        </w:rPr>
        <w:t>11</w:t>
      </w:r>
      <w:r w:rsidR="002B4CBE">
        <w:rPr>
          <w:i w:val="0"/>
          <w:color w:val="000000" w:themeColor="text1"/>
          <w:sz w:val="24"/>
          <w:szCs w:val="24"/>
        </w:rPr>
        <w:fldChar w:fldCharType="end"/>
      </w:r>
      <w:r w:rsidRPr="006E1BB9">
        <w:rPr>
          <w:i w:val="0"/>
          <w:color w:val="000000" w:themeColor="text1"/>
          <w:sz w:val="24"/>
          <w:szCs w:val="24"/>
        </w:rPr>
        <w:t xml:space="preserve"> </w:t>
      </w:r>
      <w:r>
        <w:rPr>
          <w:i w:val="0"/>
          <w:color w:val="000000" w:themeColor="text1"/>
          <w:sz w:val="24"/>
          <w:szCs w:val="24"/>
        </w:rPr>
        <w:t>H</w:t>
      </w:r>
      <w:r w:rsidRPr="006E1BB9">
        <w:rPr>
          <w:i w:val="0"/>
          <w:color w:val="000000" w:themeColor="text1"/>
          <w:sz w:val="24"/>
          <w:szCs w:val="24"/>
        </w:rPr>
        <w:t xml:space="preserve">ayatta </w:t>
      </w:r>
      <w:r w:rsidR="001110C5">
        <w:rPr>
          <w:i w:val="0"/>
          <w:color w:val="000000" w:themeColor="text1"/>
          <w:sz w:val="24"/>
          <w:szCs w:val="24"/>
        </w:rPr>
        <w:t>Kalma v</w:t>
      </w:r>
      <w:r w:rsidR="001110C5" w:rsidRPr="006E1BB9">
        <w:rPr>
          <w:i w:val="0"/>
          <w:color w:val="000000" w:themeColor="text1"/>
          <w:sz w:val="24"/>
          <w:szCs w:val="24"/>
        </w:rPr>
        <w:t>e Laboratuvar</w:t>
      </w:r>
      <w:r w:rsidR="001110C5">
        <w:rPr>
          <w:i w:val="0"/>
          <w:color w:val="000000" w:themeColor="text1"/>
          <w:sz w:val="24"/>
          <w:szCs w:val="24"/>
        </w:rPr>
        <w:t xml:space="preserve"> Değerleri Arasındaki İlişki </w:t>
      </w:r>
      <w:r w:rsidRPr="00994305">
        <w:rPr>
          <w:i w:val="0"/>
          <w:color w:val="auto"/>
          <w:sz w:val="24"/>
          <w:szCs w:val="24"/>
        </w:rPr>
        <w:t>(grup-2)</w:t>
      </w:r>
      <w:bookmarkEnd w:id="563"/>
    </w:p>
    <w:tbl>
      <w:tblPr>
        <w:tblStyle w:val="TabloKlavuzu"/>
        <w:tblW w:w="9577" w:type="dxa"/>
        <w:jc w:val="center"/>
        <w:tblLook w:val="04A0" w:firstRow="1" w:lastRow="0" w:firstColumn="1" w:lastColumn="0" w:noHBand="0" w:noVBand="1"/>
      </w:tblPr>
      <w:tblGrid>
        <w:gridCol w:w="2496"/>
        <w:gridCol w:w="3095"/>
        <w:gridCol w:w="2280"/>
        <w:gridCol w:w="1706"/>
      </w:tblGrid>
      <w:tr w:rsidR="008D636C" w:rsidRPr="00BD49E0" w14:paraId="31CB292D" w14:textId="77777777" w:rsidTr="00D87E93">
        <w:trPr>
          <w:trHeight w:val="449"/>
          <w:jc w:val="center"/>
        </w:trPr>
        <w:tc>
          <w:tcPr>
            <w:tcW w:w="2496" w:type="dxa"/>
            <w:vMerge w:val="restart"/>
          </w:tcPr>
          <w:p w14:paraId="31CB292A" w14:textId="77777777" w:rsidR="008D636C" w:rsidRPr="00BD49E0" w:rsidRDefault="008D636C" w:rsidP="008C5C02">
            <w:pPr>
              <w:spacing w:line="360" w:lineRule="auto"/>
              <w:rPr>
                <w:rFonts w:eastAsia="Times New Roman"/>
                <w:b/>
                <w:bCs/>
                <w:sz w:val="20"/>
                <w:szCs w:val="20"/>
              </w:rPr>
            </w:pPr>
          </w:p>
        </w:tc>
        <w:tc>
          <w:tcPr>
            <w:tcW w:w="5375" w:type="dxa"/>
            <w:gridSpan w:val="2"/>
          </w:tcPr>
          <w:p w14:paraId="31CB292B" w14:textId="77777777" w:rsidR="008D636C" w:rsidRPr="00BF5C17" w:rsidRDefault="008D636C" w:rsidP="008C5C02">
            <w:pPr>
              <w:spacing w:line="360" w:lineRule="auto"/>
              <w:ind w:firstLine="0"/>
              <w:jc w:val="center"/>
              <w:rPr>
                <w:rFonts w:eastAsia="Times New Roman"/>
                <w:b/>
                <w:bCs/>
                <w:sz w:val="20"/>
                <w:szCs w:val="20"/>
              </w:rPr>
            </w:pPr>
            <w:r w:rsidRPr="00BF5C17">
              <w:rPr>
                <w:rFonts w:eastAsia="Times New Roman"/>
                <w:b/>
                <w:bCs/>
                <w:sz w:val="20"/>
                <w:szCs w:val="20"/>
              </w:rPr>
              <w:t>SURVİVAL</w:t>
            </w:r>
          </w:p>
        </w:tc>
        <w:tc>
          <w:tcPr>
            <w:tcW w:w="1706" w:type="dxa"/>
          </w:tcPr>
          <w:p w14:paraId="31CB292C" w14:textId="77777777" w:rsidR="008D636C" w:rsidRPr="00BD49E0" w:rsidRDefault="008D636C" w:rsidP="008C5C02">
            <w:pPr>
              <w:spacing w:line="360" w:lineRule="auto"/>
              <w:jc w:val="center"/>
              <w:rPr>
                <w:rFonts w:eastAsia="Times New Roman"/>
                <w:b/>
                <w:bCs/>
                <w:sz w:val="20"/>
                <w:szCs w:val="20"/>
              </w:rPr>
            </w:pPr>
          </w:p>
        </w:tc>
      </w:tr>
      <w:tr w:rsidR="008D636C" w:rsidRPr="00BD49E0" w14:paraId="31CB2932" w14:textId="77777777" w:rsidTr="00D87E93">
        <w:trPr>
          <w:trHeight w:val="333"/>
          <w:jc w:val="center"/>
        </w:trPr>
        <w:tc>
          <w:tcPr>
            <w:tcW w:w="2496" w:type="dxa"/>
            <w:vMerge/>
            <w:hideMark/>
          </w:tcPr>
          <w:p w14:paraId="31CB292E" w14:textId="77777777" w:rsidR="008D636C" w:rsidRPr="00BD49E0" w:rsidRDefault="008D636C" w:rsidP="008C5C02">
            <w:pPr>
              <w:spacing w:line="360" w:lineRule="auto"/>
              <w:rPr>
                <w:rFonts w:eastAsia="Times New Roman"/>
                <w:b/>
                <w:bCs/>
                <w:sz w:val="20"/>
                <w:szCs w:val="20"/>
              </w:rPr>
            </w:pPr>
          </w:p>
        </w:tc>
        <w:tc>
          <w:tcPr>
            <w:tcW w:w="3095" w:type="dxa"/>
            <w:hideMark/>
          </w:tcPr>
          <w:p w14:paraId="31CB292F" w14:textId="6DF55291" w:rsidR="008D636C" w:rsidRPr="00BD49E0" w:rsidRDefault="008D636C" w:rsidP="008C5C02">
            <w:pPr>
              <w:spacing w:line="360" w:lineRule="auto"/>
              <w:ind w:firstLine="0"/>
              <w:jc w:val="center"/>
              <w:rPr>
                <w:rFonts w:eastAsia="Times New Roman"/>
                <w:b/>
                <w:bCs/>
                <w:sz w:val="20"/>
                <w:szCs w:val="20"/>
              </w:rPr>
            </w:pPr>
            <w:r w:rsidRPr="00BD49E0">
              <w:rPr>
                <w:rFonts w:eastAsia="Times New Roman"/>
                <w:b/>
                <w:bCs/>
                <w:sz w:val="20"/>
                <w:szCs w:val="20"/>
              </w:rPr>
              <w:t>EXITUS</w:t>
            </w:r>
            <w:r w:rsidR="006B285C">
              <w:rPr>
                <w:rFonts w:eastAsia="Times New Roman"/>
                <w:b/>
                <w:bCs/>
                <w:sz w:val="20"/>
                <w:szCs w:val="20"/>
              </w:rPr>
              <w:t>, n=8</w:t>
            </w:r>
          </w:p>
        </w:tc>
        <w:tc>
          <w:tcPr>
            <w:tcW w:w="2280" w:type="dxa"/>
            <w:hideMark/>
          </w:tcPr>
          <w:p w14:paraId="31CB2930" w14:textId="776D8493" w:rsidR="008D636C" w:rsidRPr="00BD49E0" w:rsidRDefault="008D636C" w:rsidP="008C5C02">
            <w:pPr>
              <w:spacing w:line="360" w:lineRule="auto"/>
              <w:ind w:firstLine="0"/>
              <w:jc w:val="center"/>
              <w:rPr>
                <w:rFonts w:eastAsia="Times New Roman"/>
                <w:b/>
                <w:bCs/>
                <w:sz w:val="20"/>
                <w:szCs w:val="20"/>
              </w:rPr>
            </w:pPr>
            <w:r w:rsidRPr="00BD49E0">
              <w:rPr>
                <w:rFonts w:eastAsia="Times New Roman"/>
                <w:b/>
                <w:bCs/>
                <w:sz w:val="20"/>
                <w:szCs w:val="20"/>
              </w:rPr>
              <w:t>YAŞAYAN</w:t>
            </w:r>
            <w:r w:rsidR="006B285C">
              <w:rPr>
                <w:rFonts w:eastAsia="Times New Roman"/>
                <w:b/>
                <w:bCs/>
                <w:sz w:val="20"/>
                <w:szCs w:val="20"/>
              </w:rPr>
              <w:t>, n=16</w:t>
            </w:r>
          </w:p>
        </w:tc>
        <w:tc>
          <w:tcPr>
            <w:tcW w:w="1706" w:type="dxa"/>
          </w:tcPr>
          <w:p w14:paraId="31CB2931" w14:textId="77777777" w:rsidR="008D636C" w:rsidRPr="00BD49E0" w:rsidRDefault="002D027A" w:rsidP="008C5C02">
            <w:pPr>
              <w:spacing w:line="360" w:lineRule="auto"/>
              <w:ind w:firstLine="0"/>
              <w:jc w:val="center"/>
              <w:rPr>
                <w:rFonts w:eastAsia="Times New Roman"/>
                <w:b/>
                <w:bCs/>
                <w:sz w:val="20"/>
                <w:szCs w:val="20"/>
              </w:rPr>
            </w:pPr>
            <w:r>
              <w:rPr>
                <w:rFonts w:eastAsia="Times New Roman"/>
                <w:b/>
                <w:bCs/>
                <w:color w:val="000000" w:themeColor="text1"/>
                <w:sz w:val="22"/>
              </w:rPr>
              <w:t>p&lt;0,05</w:t>
            </w:r>
          </w:p>
        </w:tc>
      </w:tr>
      <w:tr w:rsidR="008D636C" w:rsidRPr="00BD49E0" w14:paraId="31CB2937" w14:textId="77777777" w:rsidTr="00D87E93">
        <w:trPr>
          <w:trHeight w:val="352"/>
          <w:jc w:val="center"/>
        </w:trPr>
        <w:tc>
          <w:tcPr>
            <w:tcW w:w="2496" w:type="dxa"/>
            <w:vAlign w:val="center"/>
          </w:tcPr>
          <w:p w14:paraId="31CB2933" w14:textId="77777777" w:rsidR="008D636C" w:rsidRPr="00BD49E0" w:rsidRDefault="008D636C" w:rsidP="008C5C02">
            <w:pPr>
              <w:spacing w:line="360" w:lineRule="auto"/>
              <w:ind w:firstLine="0"/>
              <w:rPr>
                <w:sz w:val="20"/>
                <w:szCs w:val="20"/>
              </w:rPr>
            </w:pPr>
            <w:r w:rsidRPr="00BD49E0">
              <w:rPr>
                <w:b/>
                <w:sz w:val="20"/>
                <w:szCs w:val="20"/>
              </w:rPr>
              <w:t>FİBRİNOJEN</w:t>
            </w:r>
            <w:r w:rsidRPr="00BD49E0">
              <w:rPr>
                <w:b/>
                <w:sz w:val="20"/>
                <w:szCs w:val="20"/>
              </w:rPr>
              <w:tab/>
            </w:r>
          </w:p>
        </w:tc>
        <w:tc>
          <w:tcPr>
            <w:tcW w:w="3095" w:type="dxa"/>
            <w:noWrap/>
          </w:tcPr>
          <w:p w14:paraId="31CB2934" w14:textId="77777777" w:rsidR="008D636C" w:rsidRPr="00BD49E0" w:rsidRDefault="008D636C" w:rsidP="008C5C02">
            <w:pPr>
              <w:spacing w:line="360" w:lineRule="auto"/>
              <w:ind w:firstLine="0"/>
              <w:rPr>
                <w:rFonts w:eastAsia="Times New Roman"/>
                <w:sz w:val="20"/>
                <w:szCs w:val="20"/>
              </w:rPr>
            </w:pPr>
            <w:r w:rsidRPr="00BD49E0">
              <w:rPr>
                <w:b/>
                <w:sz w:val="20"/>
                <w:szCs w:val="20"/>
              </w:rPr>
              <w:t>97.6 (50.2-222)</w:t>
            </w:r>
          </w:p>
        </w:tc>
        <w:tc>
          <w:tcPr>
            <w:tcW w:w="2280" w:type="dxa"/>
            <w:noWrap/>
          </w:tcPr>
          <w:p w14:paraId="31CB2935" w14:textId="77777777" w:rsidR="008D636C" w:rsidRPr="00BD49E0" w:rsidRDefault="008D636C" w:rsidP="008C5C02">
            <w:pPr>
              <w:spacing w:line="360" w:lineRule="auto"/>
              <w:ind w:firstLine="0"/>
              <w:rPr>
                <w:rFonts w:eastAsia="Times New Roman"/>
                <w:sz w:val="20"/>
                <w:szCs w:val="20"/>
              </w:rPr>
            </w:pPr>
            <w:r w:rsidRPr="00BD49E0">
              <w:rPr>
                <w:b/>
                <w:sz w:val="20"/>
                <w:szCs w:val="20"/>
              </w:rPr>
              <w:t>220 (120-330)</w:t>
            </w:r>
          </w:p>
        </w:tc>
        <w:tc>
          <w:tcPr>
            <w:tcW w:w="1706" w:type="dxa"/>
            <w:vAlign w:val="center"/>
          </w:tcPr>
          <w:p w14:paraId="31CB2936"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b/>
                <w:sz w:val="20"/>
                <w:szCs w:val="20"/>
              </w:rPr>
              <w:t>0.001</w:t>
            </w:r>
          </w:p>
        </w:tc>
      </w:tr>
      <w:tr w:rsidR="008D636C" w:rsidRPr="00BD49E0" w14:paraId="31CB293C" w14:textId="77777777" w:rsidTr="00D87E93">
        <w:trPr>
          <w:trHeight w:val="352"/>
          <w:jc w:val="center"/>
        </w:trPr>
        <w:tc>
          <w:tcPr>
            <w:tcW w:w="2496" w:type="dxa"/>
            <w:vAlign w:val="center"/>
          </w:tcPr>
          <w:p w14:paraId="31CB2938" w14:textId="77777777" w:rsidR="008D636C" w:rsidRPr="00BD49E0" w:rsidRDefault="008D636C" w:rsidP="008C5C02">
            <w:pPr>
              <w:spacing w:line="360" w:lineRule="auto"/>
              <w:ind w:firstLine="0"/>
              <w:rPr>
                <w:sz w:val="20"/>
                <w:szCs w:val="20"/>
              </w:rPr>
            </w:pPr>
            <w:r w:rsidRPr="00BD49E0">
              <w:rPr>
                <w:b/>
                <w:sz w:val="20"/>
                <w:szCs w:val="20"/>
              </w:rPr>
              <w:t>T</w:t>
            </w:r>
            <w:r>
              <w:rPr>
                <w:b/>
                <w:sz w:val="20"/>
                <w:szCs w:val="20"/>
              </w:rPr>
              <w:t>.</w:t>
            </w:r>
            <w:r w:rsidRPr="00BD49E0">
              <w:rPr>
                <w:b/>
                <w:sz w:val="20"/>
                <w:szCs w:val="20"/>
              </w:rPr>
              <w:t>BİLİRUBİN</w:t>
            </w:r>
            <w:r w:rsidRPr="00BD49E0">
              <w:rPr>
                <w:b/>
                <w:sz w:val="20"/>
                <w:szCs w:val="20"/>
              </w:rPr>
              <w:tab/>
            </w:r>
          </w:p>
        </w:tc>
        <w:tc>
          <w:tcPr>
            <w:tcW w:w="3095" w:type="dxa"/>
            <w:noWrap/>
          </w:tcPr>
          <w:p w14:paraId="31CB2939" w14:textId="77777777" w:rsidR="008D636C" w:rsidRPr="00BD49E0" w:rsidRDefault="008D636C" w:rsidP="008C5C02">
            <w:pPr>
              <w:spacing w:line="360" w:lineRule="auto"/>
              <w:ind w:firstLine="0"/>
              <w:rPr>
                <w:rFonts w:eastAsia="Times New Roman"/>
                <w:sz w:val="20"/>
                <w:szCs w:val="20"/>
              </w:rPr>
            </w:pPr>
            <w:r w:rsidRPr="00BD49E0">
              <w:rPr>
                <w:b/>
                <w:sz w:val="20"/>
                <w:szCs w:val="20"/>
              </w:rPr>
              <w:t>18.3 (3.6-31.7)</w:t>
            </w:r>
          </w:p>
        </w:tc>
        <w:tc>
          <w:tcPr>
            <w:tcW w:w="2280" w:type="dxa"/>
            <w:noWrap/>
          </w:tcPr>
          <w:p w14:paraId="31CB293A" w14:textId="77777777" w:rsidR="008D636C" w:rsidRPr="00BD49E0" w:rsidRDefault="008D636C" w:rsidP="008C5C02">
            <w:pPr>
              <w:spacing w:line="360" w:lineRule="auto"/>
              <w:ind w:firstLine="0"/>
              <w:rPr>
                <w:rFonts w:eastAsia="Times New Roman"/>
                <w:sz w:val="20"/>
                <w:szCs w:val="20"/>
              </w:rPr>
            </w:pPr>
            <w:r w:rsidRPr="00BD49E0">
              <w:rPr>
                <w:b/>
                <w:sz w:val="20"/>
                <w:szCs w:val="20"/>
              </w:rPr>
              <w:t>5.1 (1.3-17.3)</w:t>
            </w:r>
          </w:p>
        </w:tc>
        <w:tc>
          <w:tcPr>
            <w:tcW w:w="1706" w:type="dxa"/>
            <w:vAlign w:val="center"/>
          </w:tcPr>
          <w:p w14:paraId="31CB293B"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b/>
                <w:sz w:val="20"/>
                <w:szCs w:val="20"/>
              </w:rPr>
              <w:t>0.006</w:t>
            </w:r>
          </w:p>
        </w:tc>
      </w:tr>
      <w:tr w:rsidR="008D636C" w:rsidRPr="00BD49E0" w14:paraId="31CB2941" w14:textId="77777777" w:rsidTr="00D87E93">
        <w:trPr>
          <w:trHeight w:val="352"/>
          <w:jc w:val="center"/>
        </w:trPr>
        <w:tc>
          <w:tcPr>
            <w:tcW w:w="2496" w:type="dxa"/>
            <w:vAlign w:val="center"/>
          </w:tcPr>
          <w:p w14:paraId="31CB293D" w14:textId="77777777" w:rsidR="008D636C" w:rsidRPr="00BD49E0" w:rsidRDefault="008D636C" w:rsidP="008C5C02">
            <w:pPr>
              <w:spacing w:line="360" w:lineRule="auto"/>
              <w:ind w:firstLine="0"/>
              <w:rPr>
                <w:sz w:val="20"/>
                <w:szCs w:val="20"/>
              </w:rPr>
            </w:pPr>
            <w:r w:rsidRPr="00BD49E0">
              <w:rPr>
                <w:b/>
                <w:sz w:val="20"/>
                <w:szCs w:val="20"/>
              </w:rPr>
              <w:t>D</w:t>
            </w:r>
            <w:r>
              <w:rPr>
                <w:b/>
                <w:sz w:val="20"/>
                <w:szCs w:val="20"/>
              </w:rPr>
              <w:t>.</w:t>
            </w:r>
            <w:r w:rsidRPr="00BD49E0">
              <w:rPr>
                <w:b/>
                <w:sz w:val="20"/>
                <w:szCs w:val="20"/>
              </w:rPr>
              <w:t>BİLİRUBİN</w:t>
            </w:r>
          </w:p>
        </w:tc>
        <w:tc>
          <w:tcPr>
            <w:tcW w:w="3095" w:type="dxa"/>
            <w:noWrap/>
          </w:tcPr>
          <w:p w14:paraId="31CB293E" w14:textId="77777777" w:rsidR="008D636C" w:rsidRPr="00BD49E0" w:rsidRDefault="008D636C" w:rsidP="008C5C02">
            <w:pPr>
              <w:spacing w:line="360" w:lineRule="auto"/>
              <w:ind w:firstLine="0"/>
              <w:rPr>
                <w:rFonts w:eastAsia="Times New Roman"/>
                <w:sz w:val="20"/>
                <w:szCs w:val="20"/>
              </w:rPr>
            </w:pPr>
            <w:r w:rsidRPr="00BD49E0">
              <w:rPr>
                <w:b/>
                <w:sz w:val="20"/>
                <w:szCs w:val="20"/>
              </w:rPr>
              <w:t>11.2 (2-21.4)</w:t>
            </w:r>
          </w:p>
        </w:tc>
        <w:tc>
          <w:tcPr>
            <w:tcW w:w="2280" w:type="dxa"/>
            <w:noWrap/>
          </w:tcPr>
          <w:p w14:paraId="31CB293F" w14:textId="77777777" w:rsidR="008D636C" w:rsidRPr="00BD49E0" w:rsidRDefault="008D636C" w:rsidP="008C5C02">
            <w:pPr>
              <w:spacing w:line="360" w:lineRule="auto"/>
              <w:ind w:firstLine="0"/>
              <w:rPr>
                <w:rFonts w:eastAsia="Times New Roman"/>
                <w:sz w:val="20"/>
                <w:szCs w:val="20"/>
              </w:rPr>
            </w:pPr>
            <w:r w:rsidRPr="00BD49E0">
              <w:rPr>
                <w:b/>
                <w:sz w:val="20"/>
                <w:szCs w:val="20"/>
              </w:rPr>
              <w:t>3.5 (0.66-12.2)</w:t>
            </w:r>
          </w:p>
        </w:tc>
        <w:tc>
          <w:tcPr>
            <w:tcW w:w="1706" w:type="dxa"/>
            <w:vAlign w:val="center"/>
          </w:tcPr>
          <w:p w14:paraId="31CB2940"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b/>
                <w:sz w:val="20"/>
                <w:szCs w:val="20"/>
              </w:rPr>
              <w:t>0.02</w:t>
            </w:r>
          </w:p>
        </w:tc>
      </w:tr>
      <w:tr w:rsidR="008D636C" w:rsidRPr="00BD49E0" w14:paraId="31CB2946" w14:textId="77777777" w:rsidTr="00D87E93">
        <w:trPr>
          <w:trHeight w:val="352"/>
          <w:jc w:val="center"/>
        </w:trPr>
        <w:tc>
          <w:tcPr>
            <w:tcW w:w="2496" w:type="dxa"/>
            <w:vAlign w:val="center"/>
          </w:tcPr>
          <w:p w14:paraId="31CB2942" w14:textId="77777777" w:rsidR="008D636C" w:rsidRPr="00BD49E0" w:rsidRDefault="008D636C" w:rsidP="008C5C02">
            <w:pPr>
              <w:spacing w:line="360" w:lineRule="auto"/>
              <w:ind w:firstLine="0"/>
              <w:rPr>
                <w:b/>
                <w:sz w:val="20"/>
                <w:szCs w:val="20"/>
              </w:rPr>
            </w:pPr>
            <w:r w:rsidRPr="00BD49E0">
              <w:rPr>
                <w:b/>
                <w:sz w:val="20"/>
                <w:szCs w:val="20"/>
              </w:rPr>
              <w:t>PTZ</w:t>
            </w:r>
          </w:p>
        </w:tc>
        <w:tc>
          <w:tcPr>
            <w:tcW w:w="3095" w:type="dxa"/>
            <w:noWrap/>
          </w:tcPr>
          <w:p w14:paraId="31CB2943" w14:textId="77777777" w:rsidR="008D636C" w:rsidRPr="00BD49E0" w:rsidRDefault="008D636C" w:rsidP="008C5C02">
            <w:pPr>
              <w:spacing w:line="360" w:lineRule="auto"/>
              <w:ind w:firstLine="0"/>
              <w:rPr>
                <w:b/>
                <w:sz w:val="20"/>
                <w:szCs w:val="20"/>
              </w:rPr>
            </w:pPr>
            <w:r w:rsidRPr="00BD49E0">
              <w:rPr>
                <w:b/>
                <w:sz w:val="20"/>
                <w:szCs w:val="20"/>
              </w:rPr>
              <w:t>20.5 (14.1-45.1)</w:t>
            </w:r>
          </w:p>
        </w:tc>
        <w:tc>
          <w:tcPr>
            <w:tcW w:w="2280" w:type="dxa"/>
            <w:noWrap/>
          </w:tcPr>
          <w:p w14:paraId="31CB2944" w14:textId="77777777" w:rsidR="008D636C" w:rsidRPr="00BD49E0" w:rsidRDefault="008D636C" w:rsidP="008C5C02">
            <w:pPr>
              <w:spacing w:line="360" w:lineRule="auto"/>
              <w:ind w:firstLine="0"/>
              <w:rPr>
                <w:b/>
                <w:sz w:val="20"/>
                <w:szCs w:val="20"/>
              </w:rPr>
            </w:pPr>
            <w:r w:rsidRPr="00BD49E0">
              <w:rPr>
                <w:b/>
                <w:sz w:val="20"/>
                <w:szCs w:val="20"/>
              </w:rPr>
              <w:t>15.2 (12.2-19.2)</w:t>
            </w:r>
          </w:p>
        </w:tc>
        <w:tc>
          <w:tcPr>
            <w:tcW w:w="1706" w:type="dxa"/>
            <w:vAlign w:val="center"/>
          </w:tcPr>
          <w:p w14:paraId="31CB2945" w14:textId="77777777" w:rsidR="008D636C" w:rsidRPr="00BD49E0" w:rsidRDefault="008D636C" w:rsidP="008C5C02">
            <w:pPr>
              <w:spacing w:line="360" w:lineRule="auto"/>
              <w:ind w:right="360" w:firstLine="0"/>
              <w:jc w:val="center"/>
              <w:rPr>
                <w:rFonts w:eastAsia="Times New Roman"/>
                <w:b/>
                <w:sz w:val="20"/>
                <w:szCs w:val="20"/>
              </w:rPr>
            </w:pPr>
            <w:r w:rsidRPr="00BD49E0">
              <w:rPr>
                <w:rFonts w:eastAsia="Times New Roman"/>
                <w:b/>
                <w:sz w:val="20"/>
                <w:szCs w:val="20"/>
              </w:rPr>
              <w:t>0.009</w:t>
            </w:r>
          </w:p>
        </w:tc>
      </w:tr>
      <w:tr w:rsidR="008D636C" w:rsidRPr="00BD49E0" w14:paraId="31CB294B" w14:textId="77777777" w:rsidTr="00D87E93">
        <w:trPr>
          <w:trHeight w:val="352"/>
          <w:jc w:val="center"/>
        </w:trPr>
        <w:tc>
          <w:tcPr>
            <w:tcW w:w="2496" w:type="dxa"/>
            <w:vAlign w:val="bottom"/>
          </w:tcPr>
          <w:p w14:paraId="31CB2947" w14:textId="77777777" w:rsidR="008D636C" w:rsidRPr="00BD49E0" w:rsidRDefault="008D636C" w:rsidP="008C5C02">
            <w:pPr>
              <w:spacing w:line="360" w:lineRule="auto"/>
              <w:ind w:firstLine="0"/>
              <w:rPr>
                <w:sz w:val="20"/>
                <w:szCs w:val="20"/>
              </w:rPr>
            </w:pPr>
            <w:r w:rsidRPr="00BD49E0">
              <w:rPr>
                <w:sz w:val="20"/>
                <w:szCs w:val="20"/>
              </w:rPr>
              <w:t>TNF</w:t>
            </w:r>
            <w:r>
              <w:rPr>
                <w:sz w:val="20"/>
                <w:szCs w:val="20"/>
              </w:rPr>
              <w:t>-ALPHA</w:t>
            </w:r>
          </w:p>
        </w:tc>
        <w:tc>
          <w:tcPr>
            <w:tcW w:w="3095" w:type="dxa"/>
            <w:noWrap/>
            <w:vAlign w:val="center"/>
          </w:tcPr>
          <w:p w14:paraId="31CB2948" w14:textId="77777777" w:rsidR="008D636C" w:rsidRPr="00BD49E0" w:rsidRDefault="008D636C" w:rsidP="008C5C02">
            <w:pPr>
              <w:spacing w:line="360" w:lineRule="auto"/>
              <w:ind w:firstLine="0"/>
              <w:rPr>
                <w:rFonts w:eastAsia="Times New Roman"/>
                <w:sz w:val="20"/>
                <w:szCs w:val="20"/>
              </w:rPr>
            </w:pPr>
            <w:r w:rsidRPr="00BD49E0">
              <w:rPr>
                <w:rFonts w:eastAsia="Times New Roman"/>
                <w:sz w:val="20"/>
                <w:szCs w:val="20"/>
              </w:rPr>
              <w:t>15.6 (15.6-85.9)</w:t>
            </w:r>
          </w:p>
        </w:tc>
        <w:tc>
          <w:tcPr>
            <w:tcW w:w="2280" w:type="dxa"/>
            <w:noWrap/>
            <w:vAlign w:val="center"/>
          </w:tcPr>
          <w:p w14:paraId="31CB2949" w14:textId="77777777" w:rsidR="008D636C" w:rsidRPr="00BD49E0" w:rsidRDefault="008D636C" w:rsidP="008C5C02">
            <w:pPr>
              <w:spacing w:line="360" w:lineRule="auto"/>
              <w:ind w:firstLine="0"/>
              <w:rPr>
                <w:rFonts w:eastAsia="Times New Roman"/>
                <w:sz w:val="20"/>
                <w:szCs w:val="20"/>
              </w:rPr>
            </w:pPr>
            <w:r w:rsidRPr="00BD49E0">
              <w:rPr>
                <w:rFonts w:eastAsia="Times New Roman"/>
                <w:sz w:val="20"/>
                <w:szCs w:val="20"/>
              </w:rPr>
              <w:t>15.6 (15.6-1000)</w:t>
            </w:r>
          </w:p>
        </w:tc>
        <w:tc>
          <w:tcPr>
            <w:tcW w:w="1706" w:type="dxa"/>
            <w:vAlign w:val="center"/>
          </w:tcPr>
          <w:p w14:paraId="31CB294A"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0.97</w:t>
            </w:r>
          </w:p>
        </w:tc>
      </w:tr>
      <w:tr w:rsidR="008D636C" w:rsidRPr="00BD49E0" w14:paraId="31CB2950" w14:textId="77777777" w:rsidTr="00D87E93">
        <w:trPr>
          <w:trHeight w:val="406"/>
          <w:jc w:val="center"/>
        </w:trPr>
        <w:tc>
          <w:tcPr>
            <w:tcW w:w="2496" w:type="dxa"/>
            <w:vAlign w:val="center"/>
          </w:tcPr>
          <w:p w14:paraId="31CB294C" w14:textId="77777777" w:rsidR="008D636C" w:rsidRPr="00BD49E0" w:rsidRDefault="008D636C" w:rsidP="008C5C02">
            <w:pPr>
              <w:spacing w:line="360" w:lineRule="auto"/>
              <w:ind w:firstLine="0"/>
              <w:rPr>
                <w:rFonts w:eastAsia="Times New Roman"/>
                <w:b/>
                <w:bCs/>
                <w:sz w:val="20"/>
                <w:szCs w:val="20"/>
              </w:rPr>
            </w:pPr>
            <w:r w:rsidRPr="00BD49E0">
              <w:rPr>
                <w:sz w:val="20"/>
                <w:szCs w:val="20"/>
              </w:rPr>
              <w:t>TGF</w:t>
            </w:r>
            <w:r>
              <w:rPr>
                <w:sz w:val="20"/>
                <w:szCs w:val="20"/>
              </w:rPr>
              <w:t>-</w:t>
            </w:r>
            <w:r w:rsidRPr="00BD49E0">
              <w:rPr>
                <w:sz w:val="20"/>
                <w:szCs w:val="20"/>
              </w:rPr>
              <w:t>BETA</w:t>
            </w:r>
          </w:p>
        </w:tc>
        <w:tc>
          <w:tcPr>
            <w:tcW w:w="3095" w:type="dxa"/>
            <w:noWrap/>
            <w:vAlign w:val="center"/>
          </w:tcPr>
          <w:p w14:paraId="31CB294D" w14:textId="77777777" w:rsidR="008D636C" w:rsidRPr="00BD49E0" w:rsidRDefault="008D636C" w:rsidP="008C5C02">
            <w:pPr>
              <w:spacing w:line="360" w:lineRule="auto"/>
              <w:ind w:firstLine="0"/>
              <w:rPr>
                <w:rFonts w:eastAsia="Times New Roman"/>
                <w:sz w:val="20"/>
                <w:szCs w:val="20"/>
              </w:rPr>
            </w:pPr>
            <w:r w:rsidRPr="00BD49E0">
              <w:rPr>
                <w:rFonts w:eastAsia="Times New Roman"/>
                <w:sz w:val="20"/>
                <w:szCs w:val="20"/>
              </w:rPr>
              <w:t>923.9 (647.8-2000)</w:t>
            </w:r>
          </w:p>
        </w:tc>
        <w:tc>
          <w:tcPr>
            <w:tcW w:w="2280" w:type="dxa"/>
            <w:noWrap/>
            <w:vAlign w:val="center"/>
          </w:tcPr>
          <w:p w14:paraId="31CB294E" w14:textId="77777777" w:rsidR="008D636C" w:rsidRPr="00BD49E0" w:rsidRDefault="008D636C" w:rsidP="008C5C02">
            <w:pPr>
              <w:spacing w:line="360" w:lineRule="auto"/>
              <w:ind w:firstLine="0"/>
              <w:rPr>
                <w:rFonts w:eastAsia="Times New Roman"/>
                <w:sz w:val="20"/>
                <w:szCs w:val="20"/>
              </w:rPr>
            </w:pPr>
            <w:r w:rsidRPr="00BD49E0">
              <w:rPr>
                <w:rFonts w:eastAsia="Times New Roman"/>
                <w:sz w:val="20"/>
                <w:szCs w:val="20"/>
              </w:rPr>
              <w:t>1030.5 (195.1-2000)</w:t>
            </w:r>
          </w:p>
        </w:tc>
        <w:tc>
          <w:tcPr>
            <w:tcW w:w="1706" w:type="dxa"/>
            <w:vAlign w:val="center"/>
          </w:tcPr>
          <w:p w14:paraId="31CB294F" w14:textId="77777777" w:rsidR="008D636C" w:rsidRPr="00BD49E0" w:rsidRDefault="002D027A" w:rsidP="008C5C02">
            <w:pPr>
              <w:spacing w:line="360" w:lineRule="auto"/>
              <w:ind w:firstLine="0"/>
              <w:rPr>
                <w:rFonts w:eastAsia="Times New Roman"/>
                <w:sz w:val="20"/>
                <w:szCs w:val="20"/>
              </w:rPr>
            </w:pPr>
            <w:r>
              <w:rPr>
                <w:rFonts w:eastAsia="Times New Roman"/>
                <w:sz w:val="20"/>
                <w:szCs w:val="20"/>
              </w:rPr>
              <w:t xml:space="preserve">       </w:t>
            </w:r>
            <w:r w:rsidR="008D636C" w:rsidRPr="00BD49E0">
              <w:rPr>
                <w:rFonts w:eastAsia="Times New Roman"/>
                <w:sz w:val="20"/>
                <w:szCs w:val="20"/>
              </w:rPr>
              <w:t>0.78</w:t>
            </w:r>
          </w:p>
        </w:tc>
      </w:tr>
      <w:tr w:rsidR="008D636C" w:rsidRPr="00BD49E0" w14:paraId="31CB2955" w14:textId="77777777" w:rsidTr="00D87E93">
        <w:trPr>
          <w:trHeight w:val="432"/>
          <w:jc w:val="center"/>
        </w:trPr>
        <w:tc>
          <w:tcPr>
            <w:tcW w:w="2496" w:type="dxa"/>
            <w:vAlign w:val="center"/>
          </w:tcPr>
          <w:p w14:paraId="31CB2951" w14:textId="77777777" w:rsidR="008D636C" w:rsidRPr="00BD49E0" w:rsidRDefault="008D636C" w:rsidP="008C5C02">
            <w:pPr>
              <w:spacing w:line="360" w:lineRule="auto"/>
              <w:ind w:firstLine="0"/>
              <w:rPr>
                <w:rFonts w:eastAsia="Times New Roman"/>
                <w:b/>
                <w:bCs/>
                <w:sz w:val="20"/>
                <w:szCs w:val="20"/>
              </w:rPr>
            </w:pPr>
            <w:r w:rsidRPr="00BD49E0">
              <w:rPr>
                <w:sz w:val="20"/>
                <w:szCs w:val="20"/>
              </w:rPr>
              <w:t>IL4</w:t>
            </w:r>
          </w:p>
        </w:tc>
        <w:tc>
          <w:tcPr>
            <w:tcW w:w="3095" w:type="dxa"/>
            <w:noWrap/>
            <w:vAlign w:val="center"/>
          </w:tcPr>
          <w:p w14:paraId="31CB2952" w14:textId="77777777" w:rsidR="008D636C" w:rsidRPr="00BD49E0" w:rsidRDefault="008D636C" w:rsidP="008C5C02">
            <w:pPr>
              <w:spacing w:line="360" w:lineRule="auto"/>
              <w:ind w:firstLine="0"/>
              <w:rPr>
                <w:rFonts w:eastAsia="Times New Roman"/>
                <w:sz w:val="20"/>
                <w:szCs w:val="20"/>
              </w:rPr>
            </w:pPr>
            <w:r w:rsidRPr="00BD49E0">
              <w:rPr>
                <w:rFonts w:eastAsia="Times New Roman"/>
                <w:sz w:val="20"/>
                <w:szCs w:val="20"/>
              </w:rPr>
              <w:t>119.5 (81.5-284.7)</w:t>
            </w:r>
          </w:p>
        </w:tc>
        <w:tc>
          <w:tcPr>
            <w:tcW w:w="2280" w:type="dxa"/>
            <w:noWrap/>
            <w:vAlign w:val="center"/>
          </w:tcPr>
          <w:p w14:paraId="31CB2953" w14:textId="77777777" w:rsidR="008D636C" w:rsidRPr="00BD49E0" w:rsidRDefault="008D636C" w:rsidP="008C5C02">
            <w:pPr>
              <w:spacing w:line="360" w:lineRule="auto"/>
              <w:ind w:firstLine="0"/>
              <w:rPr>
                <w:rFonts w:eastAsia="Times New Roman"/>
                <w:sz w:val="20"/>
                <w:szCs w:val="20"/>
              </w:rPr>
            </w:pPr>
            <w:r w:rsidRPr="00BD49E0">
              <w:rPr>
                <w:rFonts w:eastAsia="Times New Roman"/>
                <w:sz w:val="20"/>
                <w:szCs w:val="20"/>
              </w:rPr>
              <w:t>108.2 (31.3-1166.4)</w:t>
            </w:r>
          </w:p>
        </w:tc>
        <w:tc>
          <w:tcPr>
            <w:tcW w:w="1706" w:type="dxa"/>
            <w:vAlign w:val="center"/>
          </w:tcPr>
          <w:p w14:paraId="31CB2954"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0.52</w:t>
            </w:r>
          </w:p>
        </w:tc>
      </w:tr>
      <w:tr w:rsidR="008D636C" w:rsidRPr="00BD49E0" w14:paraId="31CB295A" w14:textId="77777777" w:rsidTr="00D87E93">
        <w:trPr>
          <w:trHeight w:val="282"/>
          <w:jc w:val="center"/>
        </w:trPr>
        <w:tc>
          <w:tcPr>
            <w:tcW w:w="2496" w:type="dxa"/>
            <w:vAlign w:val="center"/>
          </w:tcPr>
          <w:p w14:paraId="31CB2956" w14:textId="77777777" w:rsidR="008D636C" w:rsidRPr="00BD49E0" w:rsidRDefault="008D636C" w:rsidP="008C5C02">
            <w:pPr>
              <w:spacing w:line="360" w:lineRule="auto"/>
              <w:ind w:firstLine="0"/>
              <w:rPr>
                <w:rFonts w:eastAsia="Times New Roman"/>
                <w:sz w:val="20"/>
                <w:szCs w:val="20"/>
              </w:rPr>
            </w:pPr>
            <w:r w:rsidRPr="00BD49E0">
              <w:rPr>
                <w:sz w:val="20"/>
                <w:szCs w:val="20"/>
              </w:rPr>
              <w:t>IL10</w:t>
            </w:r>
          </w:p>
        </w:tc>
        <w:tc>
          <w:tcPr>
            <w:tcW w:w="3095" w:type="dxa"/>
            <w:noWrap/>
          </w:tcPr>
          <w:p w14:paraId="31CB2957" w14:textId="77777777" w:rsidR="008D636C" w:rsidRPr="00BD49E0" w:rsidRDefault="008D636C" w:rsidP="008C5C02">
            <w:pPr>
              <w:spacing w:line="360" w:lineRule="auto"/>
              <w:ind w:firstLine="0"/>
              <w:rPr>
                <w:rFonts w:eastAsia="Times New Roman"/>
                <w:sz w:val="20"/>
                <w:szCs w:val="20"/>
              </w:rPr>
            </w:pPr>
            <w:r w:rsidRPr="00BD49E0">
              <w:rPr>
                <w:rFonts w:eastAsia="Times New Roman"/>
                <w:sz w:val="20"/>
                <w:szCs w:val="20"/>
              </w:rPr>
              <w:t>133.2 (7.8-500.000)</w:t>
            </w:r>
          </w:p>
        </w:tc>
        <w:tc>
          <w:tcPr>
            <w:tcW w:w="2280" w:type="dxa"/>
            <w:noWrap/>
          </w:tcPr>
          <w:p w14:paraId="31CB2958" w14:textId="77777777" w:rsidR="008D636C" w:rsidRPr="00BD49E0" w:rsidRDefault="008D636C" w:rsidP="008C5C02">
            <w:pPr>
              <w:spacing w:line="360" w:lineRule="auto"/>
              <w:ind w:firstLine="0"/>
              <w:rPr>
                <w:rFonts w:eastAsia="Times New Roman"/>
                <w:sz w:val="20"/>
                <w:szCs w:val="20"/>
              </w:rPr>
            </w:pPr>
            <w:r w:rsidRPr="00BD49E0">
              <w:rPr>
                <w:rFonts w:eastAsia="Times New Roman"/>
                <w:sz w:val="20"/>
                <w:szCs w:val="20"/>
              </w:rPr>
              <w:t>58.8 (7.8-500000)</w:t>
            </w:r>
          </w:p>
        </w:tc>
        <w:tc>
          <w:tcPr>
            <w:tcW w:w="1706" w:type="dxa"/>
            <w:vAlign w:val="center"/>
          </w:tcPr>
          <w:p w14:paraId="31CB2959"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0.49</w:t>
            </w:r>
          </w:p>
        </w:tc>
      </w:tr>
      <w:tr w:rsidR="008D636C" w:rsidRPr="00BD49E0" w14:paraId="31CB295F" w14:textId="77777777" w:rsidTr="00D87E93">
        <w:trPr>
          <w:trHeight w:val="282"/>
          <w:jc w:val="center"/>
        </w:trPr>
        <w:tc>
          <w:tcPr>
            <w:tcW w:w="2496" w:type="dxa"/>
            <w:vAlign w:val="center"/>
          </w:tcPr>
          <w:p w14:paraId="31CB295B" w14:textId="77777777" w:rsidR="008D636C" w:rsidRPr="00BD49E0" w:rsidRDefault="008D636C" w:rsidP="008C5C02">
            <w:pPr>
              <w:spacing w:line="360" w:lineRule="auto"/>
              <w:ind w:firstLine="0"/>
              <w:rPr>
                <w:rFonts w:eastAsia="Times New Roman"/>
                <w:bCs/>
                <w:sz w:val="20"/>
                <w:szCs w:val="20"/>
              </w:rPr>
            </w:pPr>
            <w:r w:rsidRPr="00BD49E0">
              <w:rPr>
                <w:sz w:val="20"/>
                <w:szCs w:val="20"/>
              </w:rPr>
              <w:t>IL17</w:t>
            </w:r>
          </w:p>
        </w:tc>
        <w:tc>
          <w:tcPr>
            <w:tcW w:w="3095" w:type="dxa"/>
            <w:noWrap/>
          </w:tcPr>
          <w:p w14:paraId="31CB295C" w14:textId="77777777" w:rsidR="008D636C" w:rsidRPr="00BD49E0" w:rsidRDefault="008D636C" w:rsidP="008C5C02">
            <w:pPr>
              <w:spacing w:line="360" w:lineRule="auto"/>
              <w:ind w:firstLine="0"/>
              <w:rPr>
                <w:sz w:val="20"/>
                <w:szCs w:val="20"/>
              </w:rPr>
            </w:pPr>
            <w:r w:rsidRPr="00BD49E0">
              <w:rPr>
                <w:sz w:val="20"/>
                <w:szCs w:val="20"/>
              </w:rPr>
              <w:t>31.3 (31.3-223.09)</w:t>
            </w:r>
          </w:p>
        </w:tc>
        <w:tc>
          <w:tcPr>
            <w:tcW w:w="2280" w:type="dxa"/>
            <w:noWrap/>
          </w:tcPr>
          <w:p w14:paraId="31CB295D" w14:textId="77777777" w:rsidR="008D636C" w:rsidRPr="00BD49E0" w:rsidRDefault="008D636C" w:rsidP="008C5C02">
            <w:pPr>
              <w:spacing w:line="360" w:lineRule="auto"/>
              <w:ind w:firstLine="0"/>
              <w:rPr>
                <w:sz w:val="20"/>
                <w:szCs w:val="20"/>
              </w:rPr>
            </w:pPr>
            <w:r w:rsidRPr="00BD49E0">
              <w:rPr>
                <w:sz w:val="20"/>
                <w:szCs w:val="20"/>
              </w:rPr>
              <w:t>31.3 (31.3-2000)</w:t>
            </w:r>
          </w:p>
        </w:tc>
        <w:tc>
          <w:tcPr>
            <w:tcW w:w="1706" w:type="dxa"/>
            <w:vAlign w:val="center"/>
          </w:tcPr>
          <w:p w14:paraId="31CB295E" w14:textId="77777777" w:rsidR="008D636C" w:rsidRPr="00BD49E0" w:rsidRDefault="008D636C" w:rsidP="008C5C02">
            <w:pPr>
              <w:spacing w:line="360" w:lineRule="auto"/>
              <w:ind w:right="360" w:firstLine="0"/>
              <w:jc w:val="center"/>
              <w:rPr>
                <w:rFonts w:eastAsia="Times New Roman"/>
                <w:bCs/>
                <w:sz w:val="20"/>
                <w:szCs w:val="20"/>
              </w:rPr>
            </w:pPr>
            <w:r w:rsidRPr="00BD49E0">
              <w:rPr>
                <w:rFonts w:eastAsia="Times New Roman"/>
                <w:bCs/>
                <w:sz w:val="20"/>
                <w:szCs w:val="20"/>
              </w:rPr>
              <w:t>0.97</w:t>
            </w:r>
          </w:p>
        </w:tc>
      </w:tr>
      <w:tr w:rsidR="008D636C" w:rsidRPr="00BD49E0" w14:paraId="31CB2964" w14:textId="77777777" w:rsidTr="00D87E93">
        <w:trPr>
          <w:trHeight w:val="282"/>
          <w:jc w:val="center"/>
        </w:trPr>
        <w:tc>
          <w:tcPr>
            <w:tcW w:w="2496" w:type="dxa"/>
            <w:vAlign w:val="center"/>
          </w:tcPr>
          <w:p w14:paraId="31CB2960" w14:textId="77777777" w:rsidR="008D636C" w:rsidRPr="00BD49E0" w:rsidRDefault="008D636C" w:rsidP="008C5C02">
            <w:pPr>
              <w:spacing w:line="360" w:lineRule="auto"/>
              <w:ind w:firstLine="0"/>
              <w:rPr>
                <w:rFonts w:eastAsia="Times New Roman"/>
                <w:b/>
                <w:bCs/>
                <w:sz w:val="20"/>
                <w:szCs w:val="20"/>
              </w:rPr>
            </w:pPr>
            <w:r w:rsidRPr="00BD49E0">
              <w:rPr>
                <w:sz w:val="20"/>
                <w:szCs w:val="20"/>
              </w:rPr>
              <w:t>IL6</w:t>
            </w:r>
          </w:p>
        </w:tc>
        <w:tc>
          <w:tcPr>
            <w:tcW w:w="3095" w:type="dxa"/>
            <w:noWrap/>
          </w:tcPr>
          <w:p w14:paraId="31CB2961" w14:textId="77777777" w:rsidR="008D636C" w:rsidRPr="00BD49E0" w:rsidRDefault="008D636C" w:rsidP="008C5C02">
            <w:pPr>
              <w:spacing w:line="360" w:lineRule="auto"/>
              <w:ind w:firstLine="0"/>
              <w:rPr>
                <w:sz w:val="20"/>
                <w:szCs w:val="20"/>
              </w:rPr>
            </w:pPr>
            <w:r w:rsidRPr="00BD49E0">
              <w:rPr>
                <w:sz w:val="20"/>
                <w:szCs w:val="20"/>
              </w:rPr>
              <w:t>319.7 (14.8-5000)</w:t>
            </w:r>
          </w:p>
        </w:tc>
        <w:tc>
          <w:tcPr>
            <w:tcW w:w="2280" w:type="dxa"/>
            <w:noWrap/>
          </w:tcPr>
          <w:p w14:paraId="31CB2962" w14:textId="77777777" w:rsidR="008D636C" w:rsidRPr="00BD49E0" w:rsidRDefault="008D636C" w:rsidP="008C5C02">
            <w:pPr>
              <w:spacing w:line="360" w:lineRule="auto"/>
              <w:ind w:firstLine="0"/>
              <w:rPr>
                <w:sz w:val="20"/>
                <w:szCs w:val="20"/>
              </w:rPr>
            </w:pPr>
            <w:r w:rsidRPr="00BD49E0">
              <w:rPr>
                <w:sz w:val="20"/>
                <w:szCs w:val="20"/>
              </w:rPr>
              <w:t>206.5 (29.9-1759)</w:t>
            </w:r>
          </w:p>
        </w:tc>
        <w:tc>
          <w:tcPr>
            <w:tcW w:w="1706" w:type="dxa"/>
            <w:vAlign w:val="center"/>
          </w:tcPr>
          <w:p w14:paraId="31CB2963"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0.23</w:t>
            </w:r>
          </w:p>
        </w:tc>
      </w:tr>
      <w:tr w:rsidR="008D636C" w:rsidRPr="00BD49E0" w14:paraId="31CB2969" w14:textId="77777777" w:rsidTr="00D87E93">
        <w:trPr>
          <w:trHeight w:val="282"/>
          <w:jc w:val="center"/>
        </w:trPr>
        <w:tc>
          <w:tcPr>
            <w:tcW w:w="2496" w:type="dxa"/>
            <w:vAlign w:val="bottom"/>
          </w:tcPr>
          <w:p w14:paraId="31CB2965" w14:textId="77777777" w:rsidR="008D636C" w:rsidRPr="00BD49E0" w:rsidRDefault="008D636C" w:rsidP="008C5C02">
            <w:pPr>
              <w:spacing w:line="360" w:lineRule="auto"/>
              <w:ind w:firstLine="0"/>
              <w:rPr>
                <w:sz w:val="20"/>
                <w:szCs w:val="20"/>
              </w:rPr>
            </w:pPr>
            <w:r w:rsidRPr="00BD49E0">
              <w:rPr>
                <w:sz w:val="20"/>
                <w:szCs w:val="20"/>
              </w:rPr>
              <w:t>SHLA-G</w:t>
            </w:r>
          </w:p>
        </w:tc>
        <w:tc>
          <w:tcPr>
            <w:tcW w:w="3095" w:type="dxa"/>
            <w:noWrap/>
          </w:tcPr>
          <w:p w14:paraId="31CB2966" w14:textId="77777777" w:rsidR="008D636C" w:rsidRPr="00BD49E0" w:rsidRDefault="008D636C" w:rsidP="008C5C02">
            <w:pPr>
              <w:spacing w:line="360" w:lineRule="auto"/>
              <w:ind w:firstLine="0"/>
              <w:rPr>
                <w:sz w:val="20"/>
                <w:szCs w:val="20"/>
              </w:rPr>
            </w:pPr>
            <w:r w:rsidRPr="00BD49E0">
              <w:rPr>
                <w:sz w:val="20"/>
                <w:szCs w:val="20"/>
              </w:rPr>
              <w:t>124.7 (51.9-172.8)</w:t>
            </w:r>
          </w:p>
        </w:tc>
        <w:tc>
          <w:tcPr>
            <w:tcW w:w="2280" w:type="dxa"/>
            <w:noWrap/>
          </w:tcPr>
          <w:p w14:paraId="31CB2967" w14:textId="77777777" w:rsidR="008D636C" w:rsidRPr="00BD49E0" w:rsidRDefault="008D636C" w:rsidP="008C5C02">
            <w:pPr>
              <w:spacing w:line="360" w:lineRule="auto"/>
              <w:ind w:firstLine="0"/>
              <w:rPr>
                <w:sz w:val="20"/>
                <w:szCs w:val="20"/>
              </w:rPr>
            </w:pPr>
            <w:r w:rsidRPr="00BD49E0">
              <w:rPr>
                <w:sz w:val="20"/>
                <w:szCs w:val="20"/>
              </w:rPr>
              <w:t>84.4 (30.6-192.4)</w:t>
            </w:r>
          </w:p>
        </w:tc>
        <w:tc>
          <w:tcPr>
            <w:tcW w:w="1706" w:type="dxa"/>
            <w:vAlign w:val="center"/>
          </w:tcPr>
          <w:p w14:paraId="31CB2968"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0.12</w:t>
            </w:r>
          </w:p>
        </w:tc>
      </w:tr>
      <w:tr w:rsidR="008D636C" w:rsidRPr="00BD49E0" w14:paraId="31CB296E" w14:textId="77777777" w:rsidTr="00D87E93">
        <w:trPr>
          <w:trHeight w:val="282"/>
          <w:jc w:val="center"/>
        </w:trPr>
        <w:tc>
          <w:tcPr>
            <w:tcW w:w="2496" w:type="dxa"/>
            <w:vAlign w:val="bottom"/>
          </w:tcPr>
          <w:p w14:paraId="31CB296A" w14:textId="77777777" w:rsidR="008D636C" w:rsidRPr="00BD49E0" w:rsidRDefault="008D636C" w:rsidP="008C5C02">
            <w:pPr>
              <w:spacing w:line="360" w:lineRule="auto"/>
              <w:ind w:firstLine="0"/>
              <w:rPr>
                <w:rFonts w:eastAsia="Times New Roman"/>
                <w:bCs/>
                <w:sz w:val="20"/>
                <w:szCs w:val="20"/>
              </w:rPr>
            </w:pPr>
            <w:r w:rsidRPr="00BD49E0">
              <w:rPr>
                <w:sz w:val="20"/>
                <w:szCs w:val="20"/>
              </w:rPr>
              <w:t>TREM1</w:t>
            </w:r>
          </w:p>
        </w:tc>
        <w:tc>
          <w:tcPr>
            <w:tcW w:w="3095" w:type="dxa"/>
            <w:noWrap/>
          </w:tcPr>
          <w:p w14:paraId="31CB296B" w14:textId="77777777" w:rsidR="008D636C" w:rsidRPr="00BD49E0" w:rsidRDefault="008D636C" w:rsidP="008C5C02">
            <w:pPr>
              <w:spacing w:line="360" w:lineRule="auto"/>
              <w:ind w:firstLine="0"/>
              <w:rPr>
                <w:sz w:val="20"/>
                <w:szCs w:val="20"/>
              </w:rPr>
            </w:pPr>
            <w:r w:rsidRPr="00BD49E0">
              <w:rPr>
                <w:sz w:val="20"/>
                <w:szCs w:val="20"/>
              </w:rPr>
              <w:t>1238.7 (632-2842)</w:t>
            </w:r>
          </w:p>
        </w:tc>
        <w:tc>
          <w:tcPr>
            <w:tcW w:w="2280" w:type="dxa"/>
            <w:noWrap/>
          </w:tcPr>
          <w:p w14:paraId="31CB296C" w14:textId="77777777" w:rsidR="008D636C" w:rsidRPr="00BD49E0" w:rsidRDefault="008D636C" w:rsidP="008C5C02">
            <w:pPr>
              <w:spacing w:line="360" w:lineRule="auto"/>
              <w:ind w:firstLine="0"/>
              <w:rPr>
                <w:sz w:val="20"/>
                <w:szCs w:val="20"/>
              </w:rPr>
            </w:pPr>
            <w:r w:rsidRPr="00BD49E0">
              <w:rPr>
                <w:sz w:val="20"/>
                <w:szCs w:val="20"/>
              </w:rPr>
              <w:t>1455.3 (205.3-3655.3)</w:t>
            </w:r>
          </w:p>
        </w:tc>
        <w:tc>
          <w:tcPr>
            <w:tcW w:w="1706" w:type="dxa"/>
            <w:vAlign w:val="center"/>
          </w:tcPr>
          <w:p w14:paraId="31CB296D"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0.74</w:t>
            </w:r>
          </w:p>
        </w:tc>
      </w:tr>
      <w:tr w:rsidR="008D636C" w:rsidRPr="00BD49E0" w14:paraId="31CB2973" w14:textId="77777777" w:rsidTr="00D87E93">
        <w:trPr>
          <w:trHeight w:val="282"/>
          <w:jc w:val="center"/>
        </w:trPr>
        <w:tc>
          <w:tcPr>
            <w:tcW w:w="2496" w:type="dxa"/>
            <w:vAlign w:val="center"/>
          </w:tcPr>
          <w:p w14:paraId="31CB296F" w14:textId="77777777" w:rsidR="008D636C" w:rsidRPr="00BD49E0" w:rsidRDefault="008D636C" w:rsidP="008C5C02">
            <w:pPr>
              <w:spacing w:line="360" w:lineRule="auto"/>
              <w:ind w:firstLine="0"/>
              <w:rPr>
                <w:rFonts w:eastAsia="Times New Roman"/>
                <w:b/>
                <w:bCs/>
                <w:sz w:val="20"/>
                <w:szCs w:val="20"/>
              </w:rPr>
            </w:pPr>
            <w:r w:rsidRPr="00BD49E0">
              <w:rPr>
                <w:sz w:val="20"/>
                <w:szCs w:val="20"/>
              </w:rPr>
              <w:t>WBC</w:t>
            </w:r>
          </w:p>
        </w:tc>
        <w:tc>
          <w:tcPr>
            <w:tcW w:w="3095" w:type="dxa"/>
            <w:noWrap/>
          </w:tcPr>
          <w:p w14:paraId="31CB2970" w14:textId="77777777" w:rsidR="008D636C" w:rsidRPr="00BD49E0" w:rsidRDefault="008D636C" w:rsidP="008C5C02">
            <w:pPr>
              <w:spacing w:line="360" w:lineRule="auto"/>
              <w:ind w:firstLine="0"/>
              <w:rPr>
                <w:sz w:val="20"/>
                <w:szCs w:val="20"/>
              </w:rPr>
            </w:pPr>
            <w:r w:rsidRPr="00BD49E0">
              <w:rPr>
                <w:sz w:val="20"/>
                <w:szCs w:val="20"/>
              </w:rPr>
              <w:t>15200 (2600-36100)</w:t>
            </w:r>
          </w:p>
        </w:tc>
        <w:tc>
          <w:tcPr>
            <w:tcW w:w="2280" w:type="dxa"/>
            <w:noWrap/>
          </w:tcPr>
          <w:p w14:paraId="31CB2971" w14:textId="77777777" w:rsidR="008D636C" w:rsidRPr="00BD49E0" w:rsidRDefault="008D636C" w:rsidP="008C5C02">
            <w:pPr>
              <w:spacing w:line="360" w:lineRule="auto"/>
              <w:ind w:firstLine="0"/>
              <w:rPr>
                <w:sz w:val="20"/>
                <w:szCs w:val="20"/>
              </w:rPr>
            </w:pPr>
            <w:r w:rsidRPr="00BD49E0">
              <w:rPr>
                <w:sz w:val="20"/>
                <w:szCs w:val="20"/>
              </w:rPr>
              <w:t>17530 (4500-53430)</w:t>
            </w:r>
          </w:p>
        </w:tc>
        <w:tc>
          <w:tcPr>
            <w:tcW w:w="1706" w:type="dxa"/>
            <w:vAlign w:val="center"/>
          </w:tcPr>
          <w:p w14:paraId="31CB2972"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0.97</w:t>
            </w:r>
          </w:p>
        </w:tc>
      </w:tr>
      <w:tr w:rsidR="008D636C" w:rsidRPr="00BD49E0" w14:paraId="31CB2978" w14:textId="77777777" w:rsidTr="00D87E93">
        <w:trPr>
          <w:trHeight w:val="282"/>
          <w:jc w:val="center"/>
        </w:trPr>
        <w:tc>
          <w:tcPr>
            <w:tcW w:w="2496" w:type="dxa"/>
            <w:vAlign w:val="center"/>
          </w:tcPr>
          <w:p w14:paraId="31CB2974" w14:textId="77777777" w:rsidR="008D636C" w:rsidRPr="00BD49E0" w:rsidRDefault="008D636C" w:rsidP="008C5C02">
            <w:pPr>
              <w:spacing w:line="360" w:lineRule="auto"/>
              <w:ind w:firstLine="0"/>
              <w:rPr>
                <w:rFonts w:eastAsia="Times New Roman"/>
                <w:b/>
                <w:bCs/>
                <w:sz w:val="20"/>
                <w:szCs w:val="20"/>
              </w:rPr>
            </w:pPr>
            <w:r w:rsidRPr="00BD49E0">
              <w:rPr>
                <w:sz w:val="20"/>
                <w:szCs w:val="20"/>
              </w:rPr>
              <w:t>HGB</w:t>
            </w:r>
          </w:p>
        </w:tc>
        <w:tc>
          <w:tcPr>
            <w:tcW w:w="3095" w:type="dxa"/>
            <w:noWrap/>
          </w:tcPr>
          <w:p w14:paraId="31CB2975" w14:textId="77777777" w:rsidR="008D636C" w:rsidRPr="00BD49E0" w:rsidRDefault="008D636C" w:rsidP="008C5C02">
            <w:pPr>
              <w:spacing w:line="360" w:lineRule="auto"/>
              <w:ind w:firstLine="0"/>
              <w:rPr>
                <w:sz w:val="20"/>
                <w:szCs w:val="20"/>
              </w:rPr>
            </w:pPr>
            <w:r w:rsidRPr="00BD49E0">
              <w:rPr>
                <w:sz w:val="20"/>
                <w:szCs w:val="20"/>
              </w:rPr>
              <w:t>8.9 (7.3-11.9)</w:t>
            </w:r>
          </w:p>
        </w:tc>
        <w:tc>
          <w:tcPr>
            <w:tcW w:w="2280" w:type="dxa"/>
            <w:noWrap/>
          </w:tcPr>
          <w:p w14:paraId="31CB2976" w14:textId="77777777" w:rsidR="008D636C" w:rsidRPr="00BD49E0" w:rsidRDefault="008D636C" w:rsidP="008C5C02">
            <w:pPr>
              <w:spacing w:line="360" w:lineRule="auto"/>
              <w:ind w:firstLine="0"/>
              <w:rPr>
                <w:sz w:val="20"/>
                <w:szCs w:val="20"/>
              </w:rPr>
            </w:pPr>
            <w:r w:rsidRPr="00BD49E0">
              <w:rPr>
                <w:sz w:val="20"/>
                <w:szCs w:val="20"/>
              </w:rPr>
              <w:t>9.6 (8.1-14.5)</w:t>
            </w:r>
          </w:p>
        </w:tc>
        <w:tc>
          <w:tcPr>
            <w:tcW w:w="1706" w:type="dxa"/>
            <w:vAlign w:val="center"/>
          </w:tcPr>
          <w:p w14:paraId="31CB2977"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0.06</w:t>
            </w:r>
          </w:p>
        </w:tc>
      </w:tr>
      <w:tr w:rsidR="008D636C" w:rsidRPr="00BD49E0" w14:paraId="31CB297D" w14:textId="77777777" w:rsidTr="00D87E93">
        <w:trPr>
          <w:trHeight w:val="282"/>
          <w:jc w:val="center"/>
        </w:trPr>
        <w:tc>
          <w:tcPr>
            <w:tcW w:w="2496" w:type="dxa"/>
            <w:vAlign w:val="center"/>
          </w:tcPr>
          <w:p w14:paraId="31CB2979" w14:textId="77777777" w:rsidR="008D636C" w:rsidRPr="00BD49E0" w:rsidRDefault="008D636C" w:rsidP="008C5C02">
            <w:pPr>
              <w:spacing w:line="360" w:lineRule="auto"/>
              <w:ind w:firstLine="0"/>
              <w:rPr>
                <w:sz w:val="20"/>
                <w:szCs w:val="20"/>
              </w:rPr>
            </w:pPr>
            <w:r w:rsidRPr="00BD49E0">
              <w:rPr>
                <w:sz w:val="20"/>
                <w:szCs w:val="20"/>
              </w:rPr>
              <w:t>HTC</w:t>
            </w:r>
          </w:p>
        </w:tc>
        <w:tc>
          <w:tcPr>
            <w:tcW w:w="3095" w:type="dxa"/>
            <w:noWrap/>
          </w:tcPr>
          <w:p w14:paraId="31CB297A" w14:textId="77777777" w:rsidR="008D636C" w:rsidRPr="00BD49E0" w:rsidRDefault="008D636C" w:rsidP="008C5C02">
            <w:pPr>
              <w:spacing w:line="360" w:lineRule="auto"/>
              <w:ind w:firstLine="0"/>
              <w:rPr>
                <w:sz w:val="20"/>
                <w:szCs w:val="20"/>
              </w:rPr>
            </w:pPr>
            <w:r w:rsidRPr="00BD49E0">
              <w:rPr>
                <w:sz w:val="20"/>
                <w:szCs w:val="20"/>
              </w:rPr>
              <w:t>24.4 (22-37.9)</w:t>
            </w:r>
          </w:p>
        </w:tc>
        <w:tc>
          <w:tcPr>
            <w:tcW w:w="2280" w:type="dxa"/>
            <w:noWrap/>
          </w:tcPr>
          <w:p w14:paraId="31CB297B" w14:textId="77777777" w:rsidR="008D636C" w:rsidRPr="00BD49E0" w:rsidRDefault="008D636C" w:rsidP="008C5C02">
            <w:pPr>
              <w:spacing w:line="360" w:lineRule="auto"/>
              <w:ind w:firstLine="0"/>
              <w:rPr>
                <w:sz w:val="20"/>
                <w:szCs w:val="20"/>
              </w:rPr>
            </w:pPr>
            <w:r w:rsidRPr="00BD49E0">
              <w:rPr>
                <w:sz w:val="20"/>
                <w:szCs w:val="20"/>
              </w:rPr>
              <w:t>29.5 (24.2-42.2)</w:t>
            </w:r>
          </w:p>
        </w:tc>
        <w:tc>
          <w:tcPr>
            <w:tcW w:w="1706" w:type="dxa"/>
            <w:vAlign w:val="center"/>
          </w:tcPr>
          <w:p w14:paraId="31CB297C"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0.08</w:t>
            </w:r>
          </w:p>
        </w:tc>
      </w:tr>
      <w:tr w:rsidR="008D636C" w:rsidRPr="00BD49E0" w14:paraId="31CB2982" w14:textId="77777777" w:rsidTr="00D87E93">
        <w:trPr>
          <w:trHeight w:val="282"/>
          <w:jc w:val="center"/>
        </w:trPr>
        <w:tc>
          <w:tcPr>
            <w:tcW w:w="2496" w:type="dxa"/>
            <w:vAlign w:val="center"/>
          </w:tcPr>
          <w:p w14:paraId="31CB297E" w14:textId="77777777" w:rsidR="008D636C" w:rsidRPr="00BD49E0" w:rsidRDefault="008D636C" w:rsidP="008C5C02">
            <w:pPr>
              <w:spacing w:line="360" w:lineRule="auto"/>
              <w:ind w:firstLine="0"/>
              <w:rPr>
                <w:sz w:val="20"/>
                <w:szCs w:val="20"/>
              </w:rPr>
            </w:pPr>
            <w:r w:rsidRPr="00BD49E0">
              <w:rPr>
                <w:sz w:val="20"/>
                <w:szCs w:val="20"/>
              </w:rPr>
              <w:t>LENFOSİT</w:t>
            </w:r>
          </w:p>
        </w:tc>
        <w:tc>
          <w:tcPr>
            <w:tcW w:w="3095" w:type="dxa"/>
            <w:noWrap/>
          </w:tcPr>
          <w:p w14:paraId="31CB297F" w14:textId="77777777" w:rsidR="008D636C" w:rsidRPr="00BD49E0" w:rsidRDefault="008D636C" w:rsidP="008C5C02">
            <w:pPr>
              <w:spacing w:line="360" w:lineRule="auto"/>
              <w:ind w:firstLine="0"/>
              <w:rPr>
                <w:sz w:val="20"/>
                <w:szCs w:val="20"/>
              </w:rPr>
            </w:pPr>
            <w:r w:rsidRPr="00BD49E0">
              <w:rPr>
                <w:sz w:val="20"/>
                <w:szCs w:val="20"/>
              </w:rPr>
              <w:t>945 (120-2300)</w:t>
            </w:r>
          </w:p>
        </w:tc>
        <w:tc>
          <w:tcPr>
            <w:tcW w:w="2280" w:type="dxa"/>
            <w:noWrap/>
          </w:tcPr>
          <w:p w14:paraId="31CB2980" w14:textId="77777777" w:rsidR="008D636C" w:rsidRPr="00BD49E0" w:rsidRDefault="008D636C" w:rsidP="008C5C02">
            <w:pPr>
              <w:spacing w:line="360" w:lineRule="auto"/>
              <w:ind w:firstLine="0"/>
              <w:rPr>
                <w:sz w:val="20"/>
                <w:szCs w:val="20"/>
              </w:rPr>
            </w:pPr>
            <w:r w:rsidRPr="00BD49E0">
              <w:rPr>
                <w:sz w:val="20"/>
                <w:szCs w:val="20"/>
              </w:rPr>
              <w:t>1410 (110-3340)</w:t>
            </w:r>
          </w:p>
        </w:tc>
        <w:tc>
          <w:tcPr>
            <w:tcW w:w="1706" w:type="dxa"/>
            <w:vAlign w:val="center"/>
          </w:tcPr>
          <w:p w14:paraId="31CB2981"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0.41</w:t>
            </w:r>
          </w:p>
        </w:tc>
      </w:tr>
      <w:tr w:rsidR="008D636C" w:rsidRPr="00BD49E0" w14:paraId="31CB2987" w14:textId="77777777" w:rsidTr="00D87E93">
        <w:trPr>
          <w:trHeight w:val="282"/>
          <w:jc w:val="center"/>
        </w:trPr>
        <w:tc>
          <w:tcPr>
            <w:tcW w:w="2496" w:type="dxa"/>
            <w:vAlign w:val="center"/>
          </w:tcPr>
          <w:p w14:paraId="31CB2983" w14:textId="77777777" w:rsidR="008D636C" w:rsidRPr="00BD49E0" w:rsidRDefault="008D636C" w:rsidP="008C5C02">
            <w:pPr>
              <w:spacing w:line="360" w:lineRule="auto"/>
              <w:ind w:firstLine="0"/>
              <w:rPr>
                <w:sz w:val="20"/>
                <w:szCs w:val="20"/>
              </w:rPr>
            </w:pPr>
            <w:r w:rsidRPr="00BD49E0">
              <w:rPr>
                <w:sz w:val="20"/>
                <w:szCs w:val="20"/>
              </w:rPr>
              <w:t>NÖTROFİL</w:t>
            </w:r>
          </w:p>
        </w:tc>
        <w:tc>
          <w:tcPr>
            <w:tcW w:w="3095" w:type="dxa"/>
            <w:noWrap/>
          </w:tcPr>
          <w:p w14:paraId="31CB2984" w14:textId="77777777" w:rsidR="008D636C" w:rsidRPr="00BD49E0" w:rsidRDefault="008D636C" w:rsidP="008C5C02">
            <w:pPr>
              <w:spacing w:line="360" w:lineRule="auto"/>
              <w:ind w:firstLine="0"/>
              <w:rPr>
                <w:sz w:val="20"/>
                <w:szCs w:val="20"/>
              </w:rPr>
            </w:pPr>
            <w:r w:rsidRPr="00BD49E0">
              <w:rPr>
                <w:sz w:val="20"/>
                <w:szCs w:val="20"/>
              </w:rPr>
              <w:t>1394 (1720-31410)</w:t>
            </w:r>
          </w:p>
        </w:tc>
        <w:tc>
          <w:tcPr>
            <w:tcW w:w="2280" w:type="dxa"/>
            <w:noWrap/>
          </w:tcPr>
          <w:p w14:paraId="31CB2985" w14:textId="77777777" w:rsidR="008D636C" w:rsidRPr="00BD49E0" w:rsidRDefault="008D636C" w:rsidP="008C5C02">
            <w:pPr>
              <w:spacing w:line="360" w:lineRule="auto"/>
              <w:ind w:firstLine="0"/>
              <w:rPr>
                <w:sz w:val="20"/>
                <w:szCs w:val="20"/>
              </w:rPr>
            </w:pPr>
            <w:r w:rsidRPr="00BD49E0">
              <w:rPr>
                <w:sz w:val="20"/>
                <w:szCs w:val="20"/>
              </w:rPr>
              <w:t>14490 (4130-47100)</w:t>
            </w:r>
          </w:p>
        </w:tc>
        <w:tc>
          <w:tcPr>
            <w:tcW w:w="1706" w:type="dxa"/>
            <w:vAlign w:val="center"/>
          </w:tcPr>
          <w:p w14:paraId="31CB2986"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0.97</w:t>
            </w:r>
          </w:p>
        </w:tc>
      </w:tr>
      <w:tr w:rsidR="008D636C" w:rsidRPr="00BD49E0" w14:paraId="31CB298C" w14:textId="77777777" w:rsidTr="00D87E93">
        <w:trPr>
          <w:trHeight w:val="282"/>
          <w:jc w:val="center"/>
        </w:trPr>
        <w:tc>
          <w:tcPr>
            <w:tcW w:w="2496" w:type="dxa"/>
            <w:vAlign w:val="center"/>
          </w:tcPr>
          <w:p w14:paraId="31CB2988" w14:textId="77777777" w:rsidR="008D636C" w:rsidRPr="00BD49E0" w:rsidRDefault="008D636C" w:rsidP="008C5C02">
            <w:pPr>
              <w:spacing w:line="360" w:lineRule="auto"/>
              <w:ind w:firstLine="0"/>
              <w:rPr>
                <w:sz w:val="20"/>
                <w:szCs w:val="20"/>
              </w:rPr>
            </w:pPr>
            <w:r w:rsidRPr="00BD49E0">
              <w:rPr>
                <w:sz w:val="20"/>
                <w:szCs w:val="20"/>
              </w:rPr>
              <w:t>PLT</w:t>
            </w:r>
            <w:r w:rsidRPr="00BD49E0">
              <w:rPr>
                <w:sz w:val="20"/>
                <w:szCs w:val="20"/>
              </w:rPr>
              <w:tab/>
            </w:r>
          </w:p>
        </w:tc>
        <w:tc>
          <w:tcPr>
            <w:tcW w:w="3095" w:type="dxa"/>
            <w:noWrap/>
          </w:tcPr>
          <w:p w14:paraId="31CB2989" w14:textId="77777777" w:rsidR="008D636C" w:rsidRPr="00BD49E0" w:rsidRDefault="008D636C" w:rsidP="008C5C02">
            <w:pPr>
              <w:spacing w:line="360" w:lineRule="auto"/>
              <w:ind w:firstLine="0"/>
              <w:rPr>
                <w:sz w:val="20"/>
                <w:szCs w:val="20"/>
              </w:rPr>
            </w:pPr>
            <w:r w:rsidRPr="00BD49E0">
              <w:rPr>
                <w:sz w:val="20"/>
                <w:szCs w:val="20"/>
              </w:rPr>
              <w:t>53000 (23000-212000)</w:t>
            </w:r>
          </w:p>
        </w:tc>
        <w:tc>
          <w:tcPr>
            <w:tcW w:w="2280" w:type="dxa"/>
            <w:noWrap/>
          </w:tcPr>
          <w:p w14:paraId="31CB298A" w14:textId="77777777" w:rsidR="008D636C" w:rsidRPr="00BD49E0" w:rsidRDefault="008D636C" w:rsidP="008C5C02">
            <w:pPr>
              <w:spacing w:line="360" w:lineRule="auto"/>
              <w:ind w:firstLine="0"/>
              <w:jc w:val="left"/>
              <w:rPr>
                <w:sz w:val="20"/>
                <w:szCs w:val="20"/>
              </w:rPr>
            </w:pPr>
            <w:r w:rsidRPr="00BD49E0">
              <w:rPr>
                <w:sz w:val="20"/>
                <w:szCs w:val="20"/>
              </w:rPr>
              <w:t>121500 (22000-277000)</w:t>
            </w:r>
          </w:p>
        </w:tc>
        <w:tc>
          <w:tcPr>
            <w:tcW w:w="1706" w:type="dxa"/>
            <w:vAlign w:val="center"/>
          </w:tcPr>
          <w:p w14:paraId="31CB298B"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0.14</w:t>
            </w:r>
          </w:p>
        </w:tc>
      </w:tr>
      <w:tr w:rsidR="008D636C" w:rsidRPr="00BD49E0" w14:paraId="31CB2991" w14:textId="77777777" w:rsidTr="00D87E93">
        <w:trPr>
          <w:trHeight w:val="282"/>
          <w:jc w:val="center"/>
        </w:trPr>
        <w:tc>
          <w:tcPr>
            <w:tcW w:w="2496" w:type="dxa"/>
            <w:vAlign w:val="center"/>
          </w:tcPr>
          <w:p w14:paraId="31CB298D" w14:textId="77777777" w:rsidR="008D636C" w:rsidRPr="00BD49E0" w:rsidRDefault="008D636C" w:rsidP="008C5C02">
            <w:pPr>
              <w:spacing w:line="360" w:lineRule="auto"/>
              <w:ind w:firstLine="0"/>
              <w:rPr>
                <w:sz w:val="20"/>
                <w:szCs w:val="20"/>
              </w:rPr>
            </w:pPr>
            <w:r w:rsidRPr="00BD49E0">
              <w:rPr>
                <w:sz w:val="20"/>
                <w:szCs w:val="20"/>
              </w:rPr>
              <w:t>INR</w:t>
            </w:r>
          </w:p>
        </w:tc>
        <w:tc>
          <w:tcPr>
            <w:tcW w:w="3095" w:type="dxa"/>
            <w:noWrap/>
          </w:tcPr>
          <w:p w14:paraId="31CB298E" w14:textId="77777777" w:rsidR="008D636C" w:rsidRPr="00BD49E0" w:rsidRDefault="008D636C" w:rsidP="008C5C02">
            <w:pPr>
              <w:spacing w:line="360" w:lineRule="auto"/>
              <w:ind w:firstLine="0"/>
              <w:rPr>
                <w:sz w:val="20"/>
                <w:szCs w:val="20"/>
              </w:rPr>
            </w:pPr>
            <w:r w:rsidRPr="00BD49E0">
              <w:rPr>
                <w:sz w:val="20"/>
                <w:szCs w:val="20"/>
              </w:rPr>
              <w:t>1.7 (1.2-2.9)</w:t>
            </w:r>
          </w:p>
        </w:tc>
        <w:tc>
          <w:tcPr>
            <w:tcW w:w="2280" w:type="dxa"/>
            <w:noWrap/>
          </w:tcPr>
          <w:p w14:paraId="31CB298F" w14:textId="77777777" w:rsidR="008D636C" w:rsidRPr="00BD49E0" w:rsidRDefault="008D636C" w:rsidP="008C5C02">
            <w:pPr>
              <w:spacing w:line="360" w:lineRule="auto"/>
              <w:ind w:firstLine="0"/>
              <w:rPr>
                <w:sz w:val="20"/>
                <w:szCs w:val="20"/>
              </w:rPr>
            </w:pPr>
            <w:r w:rsidRPr="00BD49E0">
              <w:rPr>
                <w:sz w:val="20"/>
                <w:szCs w:val="20"/>
              </w:rPr>
              <w:t>1.2 (1-1.6)</w:t>
            </w:r>
          </w:p>
        </w:tc>
        <w:tc>
          <w:tcPr>
            <w:tcW w:w="1706" w:type="dxa"/>
            <w:vAlign w:val="center"/>
          </w:tcPr>
          <w:p w14:paraId="31CB2990"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0.08</w:t>
            </w:r>
          </w:p>
        </w:tc>
      </w:tr>
      <w:tr w:rsidR="008D636C" w:rsidRPr="00BD49E0" w14:paraId="31CB2996" w14:textId="77777777" w:rsidTr="00D87E93">
        <w:trPr>
          <w:trHeight w:val="282"/>
          <w:jc w:val="center"/>
        </w:trPr>
        <w:tc>
          <w:tcPr>
            <w:tcW w:w="2496" w:type="dxa"/>
            <w:vAlign w:val="center"/>
          </w:tcPr>
          <w:p w14:paraId="31CB2992" w14:textId="77BE01DA" w:rsidR="008D636C" w:rsidRPr="00BD49E0" w:rsidRDefault="00EE69CB" w:rsidP="008C5C02">
            <w:pPr>
              <w:spacing w:line="360" w:lineRule="auto"/>
              <w:ind w:firstLine="0"/>
              <w:rPr>
                <w:sz w:val="20"/>
                <w:szCs w:val="20"/>
              </w:rPr>
            </w:pPr>
            <w:r>
              <w:rPr>
                <w:sz w:val="20"/>
                <w:szCs w:val="20"/>
              </w:rPr>
              <w:t>a</w:t>
            </w:r>
            <w:r w:rsidR="00CE1309">
              <w:rPr>
                <w:sz w:val="20"/>
                <w:szCs w:val="20"/>
              </w:rPr>
              <w:t>PTT</w:t>
            </w:r>
          </w:p>
        </w:tc>
        <w:tc>
          <w:tcPr>
            <w:tcW w:w="3095" w:type="dxa"/>
            <w:noWrap/>
          </w:tcPr>
          <w:p w14:paraId="31CB2993" w14:textId="77777777" w:rsidR="008D636C" w:rsidRPr="00BD49E0" w:rsidRDefault="008D636C" w:rsidP="008C5C02">
            <w:pPr>
              <w:spacing w:line="360" w:lineRule="auto"/>
              <w:ind w:firstLine="0"/>
              <w:rPr>
                <w:sz w:val="20"/>
                <w:szCs w:val="20"/>
              </w:rPr>
            </w:pPr>
            <w:r w:rsidRPr="00BD49E0">
              <w:rPr>
                <w:sz w:val="20"/>
                <w:szCs w:val="20"/>
              </w:rPr>
              <w:t>26.7 (19-60.3)</w:t>
            </w:r>
          </w:p>
        </w:tc>
        <w:tc>
          <w:tcPr>
            <w:tcW w:w="2280" w:type="dxa"/>
            <w:noWrap/>
          </w:tcPr>
          <w:p w14:paraId="31CB2994" w14:textId="77777777" w:rsidR="008D636C" w:rsidRPr="00BD49E0" w:rsidRDefault="008D636C" w:rsidP="008C5C02">
            <w:pPr>
              <w:spacing w:line="360" w:lineRule="auto"/>
              <w:ind w:firstLine="0"/>
              <w:rPr>
                <w:sz w:val="20"/>
                <w:szCs w:val="20"/>
              </w:rPr>
            </w:pPr>
            <w:r w:rsidRPr="00BD49E0">
              <w:rPr>
                <w:sz w:val="20"/>
                <w:szCs w:val="20"/>
              </w:rPr>
              <w:t>24.9 (20.4-31.1)</w:t>
            </w:r>
          </w:p>
        </w:tc>
        <w:tc>
          <w:tcPr>
            <w:tcW w:w="1706" w:type="dxa"/>
            <w:vAlign w:val="center"/>
          </w:tcPr>
          <w:p w14:paraId="31CB2995"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0.38</w:t>
            </w:r>
          </w:p>
        </w:tc>
      </w:tr>
      <w:tr w:rsidR="008D636C" w:rsidRPr="00BD49E0" w14:paraId="31CB299B" w14:textId="77777777" w:rsidTr="00D87E93">
        <w:trPr>
          <w:trHeight w:val="282"/>
          <w:jc w:val="center"/>
        </w:trPr>
        <w:tc>
          <w:tcPr>
            <w:tcW w:w="2496" w:type="dxa"/>
            <w:vAlign w:val="center"/>
          </w:tcPr>
          <w:p w14:paraId="31CB2997" w14:textId="77777777" w:rsidR="008D636C" w:rsidRPr="00BD49E0" w:rsidRDefault="008D636C" w:rsidP="008C5C02">
            <w:pPr>
              <w:spacing w:line="360" w:lineRule="auto"/>
              <w:ind w:firstLine="0"/>
              <w:rPr>
                <w:sz w:val="20"/>
                <w:szCs w:val="20"/>
              </w:rPr>
            </w:pPr>
            <w:r w:rsidRPr="00BD49E0">
              <w:rPr>
                <w:sz w:val="20"/>
                <w:szCs w:val="20"/>
              </w:rPr>
              <w:t>CRP</w:t>
            </w:r>
          </w:p>
        </w:tc>
        <w:tc>
          <w:tcPr>
            <w:tcW w:w="3095" w:type="dxa"/>
            <w:noWrap/>
          </w:tcPr>
          <w:p w14:paraId="31CB2998" w14:textId="77777777" w:rsidR="008D636C" w:rsidRPr="00BD49E0" w:rsidRDefault="008D636C" w:rsidP="008C5C02">
            <w:pPr>
              <w:spacing w:line="360" w:lineRule="auto"/>
              <w:ind w:firstLine="0"/>
              <w:rPr>
                <w:sz w:val="20"/>
                <w:szCs w:val="20"/>
              </w:rPr>
            </w:pPr>
            <w:r w:rsidRPr="00BD49E0">
              <w:rPr>
                <w:sz w:val="20"/>
                <w:szCs w:val="20"/>
              </w:rPr>
              <w:t>5.3 (0.32-13.9)</w:t>
            </w:r>
          </w:p>
        </w:tc>
        <w:tc>
          <w:tcPr>
            <w:tcW w:w="2280" w:type="dxa"/>
            <w:noWrap/>
          </w:tcPr>
          <w:p w14:paraId="31CB2999" w14:textId="77777777" w:rsidR="008D636C" w:rsidRPr="00BD49E0" w:rsidRDefault="008D636C" w:rsidP="008C5C02">
            <w:pPr>
              <w:spacing w:line="360" w:lineRule="auto"/>
              <w:ind w:firstLine="0"/>
              <w:rPr>
                <w:sz w:val="20"/>
                <w:szCs w:val="20"/>
              </w:rPr>
            </w:pPr>
            <w:r w:rsidRPr="00BD49E0">
              <w:rPr>
                <w:sz w:val="20"/>
                <w:szCs w:val="20"/>
              </w:rPr>
              <w:t>7.6 (1.8-20.7)</w:t>
            </w:r>
          </w:p>
        </w:tc>
        <w:tc>
          <w:tcPr>
            <w:tcW w:w="1706" w:type="dxa"/>
            <w:vAlign w:val="center"/>
          </w:tcPr>
          <w:p w14:paraId="31CB299A"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0.29</w:t>
            </w:r>
          </w:p>
        </w:tc>
      </w:tr>
      <w:tr w:rsidR="008D636C" w:rsidRPr="00BD49E0" w14:paraId="31CB29A0" w14:textId="77777777" w:rsidTr="00D87E93">
        <w:trPr>
          <w:trHeight w:val="282"/>
          <w:jc w:val="center"/>
        </w:trPr>
        <w:tc>
          <w:tcPr>
            <w:tcW w:w="2496" w:type="dxa"/>
            <w:vAlign w:val="center"/>
          </w:tcPr>
          <w:p w14:paraId="31CB299C" w14:textId="77777777" w:rsidR="008D636C" w:rsidRPr="00BD49E0" w:rsidRDefault="008D636C" w:rsidP="008C5C02">
            <w:pPr>
              <w:spacing w:line="360" w:lineRule="auto"/>
              <w:ind w:firstLine="0"/>
              <w:rPr>
                <w:sz w:val="20"/>
                <w:szCs w:val="20"/>
              </w:rPr>
            </w:pPr>
            <w:r w:rsidRPr="00BD49E0">
              <w:rPr>
                <w:sz w:val="20"/>
                <w:szCs w:val="20"/>
              </w:rPr>
              <w:t>PROKALSİTONİN</w:t>
            </w:r>
          </w:p>
        </w:tc>
        <w:tc>
          <w:tcPr>
            <w:tcW w:w="3095" w:type="dxa"/>
            <w:noWrap/>
          </w:tcPr>
          <w:p w14:paraId="31CB299D" w14:textId="77777777" w:rsidR="008D636C" w:rsidRPr="00BD49E0" w:rsidRDefault="008D636C" w:rsidP="008C5C02">
            <w:pPr>
              <w:spacing w:line="360" w:lineRule="auto"/>
              <w:ind w:firstLine="0"/>
              <w:rPr>
                <w:sz w:val="20"/>
                <w:szCs w:val="20"/>
              </w:rPr>
            </w:pPr>
            <w:r w:rsidRPr="00BD49E0">
              <w:rPr>
                <w:sz w:val="20"/>
                <w:szCs w:val="20"/>
              </w:rPr>
              <w:t>2.1 (0.74-47.9)</w:t>
            </w:r>
          </w:p>
        </w:tc>
        <w:tc>
          <w:tcPr>
            <w:tcW w:w="2280" w:type="dxa"/>
            <w:noWrap/>
          </w:tcPr>
          <w:p w14:paraId="31CB299E" w14:textId="77777777" w:rsidR="008D636C" w:rsidRPr="00BD49E0" w:rsidRDefault="008D636C" w:rsidP="008C5C02">
            <w:pPr>
              <w:spacing w:line="360" w:lineRule="auto"/>
              <w:ind w:firstLine="0"/>
              <w:rPr>
                <w:sz w:val="20"/>
                <w:szCs w:val="20"/>
              </w:rPr>
            </w:pPr>
            <w:r w:rsidRPr="00BD49E0">
              <w:rPr>
                <w:sz w:val="20"/>
                <w:szCs w:val="20"/>
              </w:rPr>
              <w:t>2.7 (0.18-9.8)</w:t>
            </w:r>
          </w:p>
        </w:tc>
        <w:tc>
          <w:tcPr>
            <w:tcW w:w="1706" w:type="dxa"/>
            <w:vAlign w:val="center"/>
          </w:tcPr>
          <w:p w14:paraId="31CB299F"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1</w:t>
            </w:r>
          </w:p>
        </w:tc>
      </w:tr>
      <w:tr w:rsidR="008D636C" w:rsidRPr="00BD49E0" w14:paraId="31CB29A5" w14:textId="77777777" w:rsidTr="00D87E93">
        <w:trPr>
          <w:trHeight w:val="282"/>
          <w:jc w:val="center"/>
        </w:trPr>
        <w:tc>
          <w:tcPr>
            <w:tcW w:w="2496" w:type="dxa"/>
            <w:vAlign w:val="center"/>
          </w:tcPr>
          <w:p w14:paraId="31CB29A1" w14:textId="77777777" w:rsidR="008D636C" w:rsidRPr="00BD49E0" w:rsidRDefault="008D636C" w:rsidP="008C5C02">
            <w:pPr>
              <w:spacing w:line="360" w:lineRule="auto"/>
              <w:ind w:firstLine="0"/>
              <w:rPr>
                <w:sz w:val="20"/>
                <w:szCs w:val="20"/>
              </w:rPr>
            </w:pPr>
            <w:r w:rsidRPr="00BD49E0">
              <w:rPr>
                <w:sz w:val="20"/>
                <w:szCs w:val="20"/>
              </w:rPr>
              <w:t>ALBUMİN</w:t>
            </w:r>
          </w:p>
        </w:tc>
        <w:tc>
          <w:tcPr>
            <w:tcW w:w="3095" w:type="dxa"/>
            <w:noWrap/>
          </w:tcPr>
          <w:p w14:paraId="31CB29A2" w14:textId="77777777" w:rsidR="008D636C" w:rsidRPr="00BD49E0" w:rsidRDefault="008D636C" w:rsidP="008C5C02">
            <w:pPr>
              <w:spacing w:line="360" w:lineRule="auto"/>
              <w:ind w:firstLine="0"/>
              <w:rPr>
                <w:sz w:val="20"/>
                <w:szCs w:val="20"/>
              </w:rPr>
            </w:pPr>
            <w:r w:rsidRPr="00BD49E0">
              <w:rPr>
                <w:sz w:val="20"/>
                <w:szCs w:val="20"/>
              </w:rPr>
              <w:t>2.6 (2.3-2.8)</w:t>
            </w:r>
          </w:p>
        </w:tc>
        <w:tc>
          <w:tcPr>
            <w:tcW w:w="2280" w:type="dxa"/>
            <w:noWrap/>
          </w:tcPr>
          <w:p w14:paraId="31CB29A3" w14:textId="77777777" w:rsidR="008D636C" w:rsidRPr="00BD49E0" w:rsidRDefault="008D636C" w:rsidP="008C5C02">
            <w:pPr>
              <w:spacing w:line="360" w:lineRule="auto"/>
              <w:ind w:firstLine="0"/>
              <w:rPr>
                <w:sz w:val="20"/>
                <w:szCs w:val="20"/>
              </w:rPr>
            </w:pPr>
            <w:r w:rsidRPr="00BD49E0">
              <w:rPr>
                <w:sz w:val="20"/>
                <w:szCs w:val="20"/>
              </w:rPr>
              <w:t>2.7 (2.1-3.6)</w:t>
            </w:r>
          </w:p>
        </w:tc>
        <w:tc>
          <w:tcPr>
            <w:tcW w:w="1706" w:type="dxa"/>
            <w:vAlign w:val="center"/>
          </w:tcPr>
          <w:p w14:paraId="31CB29A4"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0.23</w:t>
            </w:r>
          </w:p>
        </w:tc>
      </w:tr>
      <w:tr w:rsidR="008D636C" w:rsidRPr="00BD49E0" w14:paraId="31CB29AA" w14:textId="77777777" w:rsidTr="00D87E93">
        <w:trPr>
          <w:trHeight w:val="282"/>
          <w:jc w:val="center"/>
        </w:trPr>
        <w:tc>
          <w:tcPr>
            <w:tcW w:w="2496" w:type="dxa"/>
            <w:vAlign w:val="center"/>
          </w:tcPr>
          <w:p w14:paraId="31CB29A6" w14:textId="77777777" w:rsidR="008D636C" w:rsidRPr="00BD49E0" w:rsidRDefault="008D636C" w:rsidP="008C5C02">
            <w:pPr>
              <w:spacing w:line="360" w:lineRule="auto"/>
              <w:ind w:firstLine="0"/>
              <w:rPr>
                <w:sz w:val="20"/>
                <w:szCs w:val="20"/>
              </w:rPr>
            </w:pPr>
            <w:r w:rsidRPr="00BD49E0">
              <w:rPr>
                <w:sz w:val="20"/>
                <w:szCs w:val="20"/>
              </w:rPr>
              <w:t>AST</w:t>
            </w:r>
          </w:p>
        </w:tc>
        <w:tc>
          <w:tcPr>
            <w:tcW w:w="3095" w:type="dxa"/>
            <w:noWrap/>
          </w:tcPr>
          <w:p w14:paraId="31CB29A7" w14:textId="77777777" w:rsidR="008D636C" w:rsidRPr="00BD49E0" w:rsidRDefault="008D636C" w:rsidP="008C5C02">
            <w:pPr>
              <w:spacing w:line="360" w:lineRule="auto"/>
              <w:ind w:firstLine="0"/>
              <w:rPr>
                <w:sz w:val="20"/>
                <w:szCs w:val="20"/>
              </w:rPr>
            </w:pPr>
            <w:r w:rsidRPr="00BD49E0">
              <w:rPr>
                <w:sz w:val="20"/>
                <w:szCs w:val="20"/>
              </w:rPr>
              <w:t>106.5 (17-14830)</w:t>
            </w:r>
          </w:p>
        </w:tc>
        <w:tc>
          <w:tcPr>
            <w:tcW w:w="2280" w:type="dxa"/>
            <w:noWrap/>
          </w:tcPr>
          <w:p w14:paraId="31CB29A8" w14:textId="77777777" w:rsidR="008D636C" w:rsidRPr="00BD49E0" w:rsidRDefault="008D636C" w:rsidP="008C5C02">
            <w:pPr>
              <w:spacing w:line="360" w:lineRule="auto"/>
              <w:ind w:firstLine="0"/>
              <w:rPr>
                <w:sz w:val="20"/>
                <w:szCs w:val="20"/>
              </w:rPr>
            </w:pPr>
            <w:r w:rsidRPr="00BD49E0">
              <w:rPr>
                <w:sz w:val="20"/>
                <w:szCs w:val="20"/>
              </w:rPr>
              <w:t>50.5 (13-144)</w:t>
            </w:r>
          </w:p>
        </w:tc>
        <w:tc>
          <w:tcPr>
            <w:tcW w:w="1706" w:type="dxa"/>
            <w:vAlign w:val="center"/>
          </w:tcPr>
          <w:p w14:paraId="31CB29A9"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0.09</w:t>
            </w:r>
          </w:p>
        </w:tc>
      </w:tr>
      <w:tr w:rsidR="008D636C" w:rsidRPr="00BD49E0" w14:paraId="31CB29AF" w14:textId="77777777" w:rsidTr="00D87E93">
        <w:trPr>
          <w:trHeight w:val="282"/>
          <w:jc w:val="center"/>
        </w:trPr>
        <w:tc>
          <w:tcPr>
            <w:tcW w:w="2496" w:type="dxa"/>
            <w:vAlign w:val="center"/>
          </w:tcPr>
          <w:p w14:paraId="31CB29AB" w14:textId="77777777" w:rsidR="008D636C" w:rsidRPr="00BD49E0" w:rsidRDefault="008D636C" w:rsidP="008C5C02">
            <w:pPr>
              <w:spacing w:line="360" w:lineRule="auto"/>
              <w:ind w:firstLine="0"/>
              <w:rPr>
                <w:sz w:val="20"/>
                <w:szCs w:val="20"/>
              </w:rPr>
            </w:pPr>
            <w:r w:rsidRPr="00BD49E0">
              <w:rPr>
                <w:sz w:val="20"/>
                <w:szCs w:val="20"/>
              </w:rPr>
              <w:t>ALT</w:t>
            </w:r>
            <w:r w:rsidRPr="00BD49E0">
              <w:rPr>
                <w:sz w:val="20"/>
                <w:szCs w:val="20"/>
              </w:rPr>
              <w:tab/>
            </w:r>
          </w:p>
        </w:tc>
        <w:tc>
          <w:tcPr>
            <w:tcW w:w="3095" w:type="dxa"/>
            <w:noWrap/>
          </w:tcPr>
          <w:p w14:paraId="31CB29AC" w14:textId="77777777" w:rsidR="008D636C" w:rsidRPr="00BD49E0" w:rsidRDefault="008D636C" w:rsidP="008C5C02">
            <w:pPr>
              <w:spacing w:line="360" w:lineRule="auto"/>
              <w:ind w:firstLine="0"/>
              <w:rPr>
                <w:sz w:val="20"/>
                <w:szCs w:val="20"/>
              </w:rPr>
            </w:pPr>
            <w:r w:rsidRPr="00BD49E0">
              <w:rPr>
                <w:sz w:val="20"/>
                <w:szCs w:val="20"/>
              </w:rPr>
              <w:t>113 (26-5921)</w:t>
            </w:r>
          </w:p>
        </w:tc>
        <w:tc>
          <w:tcPr>
            <w:tcW w:w="2280" w:type="dxa"/>
            <w:noWrap/>
          </w:tcPr>
          <w:p w14:paraId="31CB29AD" w14:textId="77777777" w:rsidR="008D636C" w:rsidRPr="00BD49E0" w:rsidRDefault="008D636C" w:rsidP="008C5C02">
            <w:pPr>
              <w:spacing w:line="360" w:lineRule="auto"/>
              <w:ind w:firstLine="0"/>
              <w:rPr>
                <w:sz w:val="20"/>
                <w:szCs w:val="20"/>
              </w:rPr>
            </w:pPr>
            <w:r w:rsidRPr="00BD49E0">
              <w:rPr>
                <w:sz w:val="20"/>
                <w:szCs w:val="20"/>
              </w:rPr>
              <w:t>61 (13-505)</w:t>
            </w:r>
          </w:p>
        </w:tc>
        <w:tc>
          <w:tcPr>
            <w:tcW w:w="1706" w:type="dxa"/>
            <w:vAlign w:val="center"/>
          </w:tcPr>
          <w:p w14:paraId="31CB29AE"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0.21</w:t>
            </w:r>
          </w:p>
        </w:tc>
      </w:tr>
      <w:tr w:rsidR="008D636C" w:rsidRPr="00BD49E0" w14:paraId="31CB29B4" w14:textId="77777777" w:rsidTr="00D87E93">
        <w:trPr>
          <w:trHeight w:val="282"/>
          <w:jc w:val="center"/>
        </w:trPr>
        <w:tc>
          <w:tcPr>
            <w:tcW w:w="2496" w:type="dxa"/>
            <w:vAlign w:val="center"/>
          </w:tcPr>
          <w:p w14:paraId="31CB29B0" w14:textId="77777777" w:rsidR="008D636C" w:rsidRPr="00BD49E0" w:rsidRDefault="008D636C" w:rsidP="008C5C02">
            <w:pPr>
              <w:spacing w:line="360" w:lineRule="auto"/>
              <w:ind w:firstLine="0"/>
              <w:rPr>
                <w:sz w:val="20"/>
                <w:szCs w:val="20"/>
              </w:rPr>
            </w:pPr>
            <w:r w:rsidRPr="00BD49E0">
              <w:rPr>
                <w:sz w:val="20"/>
                <w:szCs w:val="20"/>
              </w:rPr>
              <w:t>ALP</w:t>
            </w:r>
          </w:p>
        </w:tc>
        <w:tc>
          <w:tcPr>
            <w:tcW w:w="3095" w:type="dxa"/>
            <w:noWrap/>
          </w:tcPr>
          <w:p w14:paraId="31CB29B1" w14:textId="77777777" w:rsidR="008D636C" w:rsidRPr="00BD49E0" w:rsidRDefault="008D636C" w:rsidP="008C5C02">
            <w:pPr>
              <w:spacing w:line="360" w:lineRule="auto"/>
              <w:ind w:firstLine="0"/>
              <w:rPr>
                <w:sz w:val="20"/>
                <w:szCs w:val="20"/>
              </w:rPr>
            </w:pPr>
            <w:r w:rsidRPr="00BD49E0">
              <w:rPr>
                <w:sz w:val="20"/>
                <w:szCs w:val="20"/>
              </w:rPr>
              <w:t>114.5 (75-556)</w:t>
            </w:r>
          </w:p>
        </w:tc>
        <w:tc>
          <w:tcPr>
            <w:tcW w:w="2280" w:type="dxa"/>
            <w:noWrap/>
          </w:tcPr>
          <w:p w14:paraId="31CB29B2" w14:textId="77777777" w:rsidR="008D636C" w:rsidRPr="00BD49E0" w:rsidRDefault="008D636C" w:rsidP="008C5C02">
            <w:pPr>
              <w:spacing w:line="360" w:lineRule="auto"/>
              <w:ind w:firstLine="0"/>
              <w:rPr>
                <w:sz w:val="20"/>
                <w:szCs w:val="20"/>
              </w:rPr>
            </w:pPr>
            <w:r w:rsidRPr="00BD49E0">
              <w:rPr>
                <w:sz w:val="20"/>
                <w:szCs w:val="20"/>
              </w:rPr>
              <w:t>137 (58-536)</w:t>
            </w:r>
          </w:p>
        </w:tc>
        <w:tc>
          <w:tcPr>
            <w:tcW w:w="1706" w:type="dxa"/>
            <w:vAlign w:val="center"/>
          </w:tcPr>
          <w:p w14:paraId="31CB29B3"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0.6</w:t>
            </w:r>
          </w:p>
        </w:tc>
      </w:tr>
      <w:tr w:rsidR="008D636C" w:rsidRPr="00BD49E0" w14:paraId="31CB29B9" w14:textId="77777777" w:rsidTr="00D87E93">
        <w:trPr>
          <w:trHeight w:val="282"/>
          <w:jc w:val="center"/>
        </w:trPr>
        <w:tc>
          <w:tcPr>
            <w:tcW w:w="2496" w:type="dxa"/>
            <w:vAlign w:val="center"/>
          </w:tcPr>
          <w:p w14:paraId="31CB29B5" w14:textId="77777777" w:rsidR="008D636C" w:rsidRPr="00BD49E0" w:rsidRDefault="008D636C" w:rsidP="008C5C02">
            <w:pPr>
              <w:spacing w:line="360" w:lineRule="auto"/>
              <w:ind w:firstLine="0"/>
              <w:rPr>
                <w:sz w:val="20"/>
                <w:szCs w:val="20"/>
              </w:rPr>
            </w:pPr>
            <w:r w:rsidRPr="00BD49E0">
              <w:rPr>
                <w:sz w:val="20"/>
                <w:szCs w:val="20"/>
              </w:rPr>
              <w:t>GGT</w:t>
            </w:r>
          </w:p>
        </w:tc>
        <w:tc>
          <w:tcPr>
            <w:tcW w:w="3095" w:type="dxa"/>
            <w:noWrap/>
          </w:tcPr>
          <w:p w14:paraId="31CB29B6" w14:textId="77777777" w:rsidR="008D636C" w:rsidRPr="00BD49E0" w:rsidRDefault="008D636C" w:rsidP="008C5C02">
            <w:pPr>
              <w:spacing w:line="360" w:lineRule="auto"/>
              <w:ind w:firstLine="0"/>
              <w:rPr>
                <w:sz w:val="20"/>
                <w:szCs w:val="20"/>
              </w:rPr>
            </w:pPr>
            <w:r w:rsidRPr="00BD49E0">
              <w:rPr>
                <w:sz w:val="20"/>
                <w:szCs w:val="20"/>
              </w:rPr>
              <w:t>90 (34-1011)</w:t>
            </w:r>
          </w:p>
        </w:tc>
        <w:tc>
          <w:tcPr>
            <w:tcW w:w="2280" w:type="dxa"/>
            <w:noWrap/>
          </w:tcPr>
          <w:p w14:paraId="31CB29B7" w14:textId="77777777" w:rsidR="008D636C" w:rsidRPr="00BD49E0" w:rsidRDefault="008D636C" w:rsidP="008C5C02">
            <w:pPr>
              <w:spacing w:line="360" w:lineRule="auto"/>
              <w:ind w:firstLine="0"/>
              <w:rPr>
                <w:sz w:val="20"/>
                <w:szCs w:val="20"/>
              </w:rPr>
            </w:pPr>
            <w:r w:rsidRPr="00BD49E0">
              <w:rPr>
                <w:sz w:val="20"/>
                <w:szCs w:val="20"/>
              </w:rPr>
              <w:t>111 (17-830)</w:t>
            </w:r>
          </w:p>
        </w:tc>
        <w:tc>
          <w:tcPr>
            <w:tcW w:w="1706" w:type="dxa"/>
            <w:vAlign w:val="center"/>
          </w:tcPr>
          <w:p w14:paraId="31CB29B8"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0.49</w:t>
            </w:r>
          </w:p>
        </w:tc>
      </w:tr>
      <w:tr w:rsidR="008D636C" w:rsidRPr="00BD49E0" w14:paraId="31CB29BE" w14:textId="77777777" w:rsidTr="00D87E93">
        <w:trPr>
          <w:trHeight w:val="282"/>
          <w:jc w:val="center"/>
        </w:trPr>
        <w:tc>
          <w:tcPr>
            <w:tcW w:w="2496" w:type="dxa"/>
            <w:vAlign w:val="center"/>
          </w:tcPr>
          <w:p w14:paraId="31CB29BA" w14:textId="77777777" w:rsidR="008D636C" w:rsidRPr="00BD49E0" w:rsidRDefault="008D636C" w:rsidP="008C5C02">
            <w:pPr>
              <w:spacing w:line="360" w:lineRule="auto"/>
              <w:ind w:firstLine="0"/>
              <w:rPr>
                <w:sz w:val="20"/>
                <w:szCs w:val="20"/>
              </w:rPr>
            </w:pPr>
            <w:r w:rsidRPr="00BD49E0">
              <w:rPr>
                <w:sz w:val="20"/>
                <w:szCs w:val="20"/>
              </w:rPr>
              <w:t>LDH</w:t>
            </w:r>
          </w:p>
        </w:tc>
        <w:tc>
          <w:tcPr>
            <w:tcW w:w="3095" w:type="dxa"/>
            <w:noWrap/>
          </w:tcPr>
          <w:p w14:paraId="31CB29BB" w14:textId="77777777" w:rsidR="008D636C" w:rsidRPr="00BD49E0" w:rsidRDefault="008D636C" w:rsidP="008C5C02">
            <w:pPr>
              <w:spacing w:line="360" w:lineRule="auto"/>
              <w:ind w:firstLine="0"/>
              <w:rPr>
                <w:sz w:val="20"/>
                <w:szCs w:val="20"/>
              </w:rPr>
            </w:pPr>
            <w:r w:rsidRPr="00BD49E0">
              <w:rPr>
                <w:sz w:val="20"/>
                <w:szCs w:val="20"/>
              </w:rPr>
              <w:t>1014.5 (168-8044)</w:t>
            </w:r>
          </w:p>
        </w:tc>
        <w:tc>
          <w:tcPr>
            <w:tcW w:w="2280" w:type="dxa"/>
            <w:noWrap/>
          </w:tcPr>
          <w:p w14:paraId="31CB29BC" w14:textId="77777777" w:rsidR="008D636C" w:rsidRPr="00BD49E0" w:rsidRDefault="008D636C" w:rsidP="008C5C02">
            <w:pPr>
              <w:spacing w:line="360" w:lineRule="auto"/>
              <w:ind w:firstLine="0"/>
              <w:rPr>
                <w:sz w:val="20"/>
                <w:szCs w:val="20"/>
              </w:rPr>
            </w:pPr>
            <w:r w:rsidRPr="00BD49E0">
              <w:rPr>
                <w:sz w:val="20"/>
                <w:szCs w:val="20"/>
              </w:rPr>
              <w:t>324 (216-856)</w:t>
            </w:r>
          </w:p>
        </w:tc>
        <w:tc>
          <w:tcPr>
            <w:tcW w:w="1706" w:type="dxa"/>
            <w:vAlign w:val="center"/>
          </w:tcPr>
          <w:p w14:paraId="31CB29BD"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0.19</w:t>
            </w:r>
          </w:p>
        </w:tc>
      </w:tr>
      <w:tr w:rsidR="008D636C" w:rsidRPr="00BD49E0" w14:paraId="31CB29C3" w14:textId="77777777" w:rsidTr="00D87E93">
        <w:trPr>
          <w:trHeight w:val="282"/>
          <w:jc w:val="center"/>
        </w:trPr>
        <w:tc>
          <w:tcPr>
            <w:tcW w:w="2496" w:type="dxa"/>
            <w:vAlign w:val="center"/>
          </w:tcPr>
          <w:p w14:paraId="31CB29BF" w14:textId="77777777" w:rsidR="008D636C" w:rsidRPr="00BD49E0" w:rsidRDefault="008D636C" w:rsidP="008C5C02">
            <w:pPr>
              <w:spacing w:line="360" w:lineRule="auto"/>
              <w:ind w:firstLine="0"/>
              <w:rPr>
                <w:sz w:val="20"/>
                <w:szCs w:val="20"/>
              </w:rPr>
            </w:pPr>
            <w:r w:rsidRPr="00BD49E0">
              <w:rPr>
                <w:sz w:val="20"/>
                <w:szCs w:val="20"/>
              </w:rPr>
              <w:t>AMONYAK</w:t>
            </w:r>
          </w:p>
        </w:tc>
        <w:tc>
          <w:tcPr>
            <w:tcW w:w="3095" w:type="dxa"/>
            <w:noWrap/>
          </w:tcPr>
          <w:p w14:paraId="31CB29C0" w14:textId="77777777" w:rsidR="008D636C" w:rsidRPr="00BD49E0" w:rsidRDefault="008D636C" w:rsidP="008C5C02">
            <w:pPr>
              <w:spacing w:line="360" w:lineRule="auto"/>
              <w:ind w:firstLine="0"/>
              <w:rPr>
                <w:sz w:val="20"/>
                <w:szCs w:val="20"/>
              </w:rPr>
            </w:pPr>
            <w:r w:rsidRPr="00BD49E0">
              <w:rPr>
                <w:sz w:val="20"/>
                <w:szCs w:val="20"/>
              </w:rPr>
              <w:t>187.5 (39-1353)</w:t>
            </w:r>
          </w:p>
        </w:tc>
        <w:tc>
          <w:tcPr>
            <w:tcW w:w="2280" w:type="dxa"/>
            <w:noWrap/>
          </w:tcPr>
          <w:p w14:paraId="31CB29C1" w14:textId="77777777" w:rsidR="008D636C" w:rsidRPr="00BD49E0" w:rsidRDefault="008D636C" w:rsidP="008C5C02">
            <w:pPr>
              <w:spacing w:line="360" w:lineRule="auto"/>
              <w:ind w:firstLine="0"/>
              <w:rPr>
                <w:sz w:val="20"/>
                <w:szCs w:val="20"/>
              </w:rPr>
            </w:pPr>
            <w:r w:rsidRPr="00BD49E0">
              <w:rPr>
                <w:sz w:val="20"/>
                <w:szCs w:val="20"/>
              </w:rPr>
              <w:t>77.5 (40-277)</w:t>
            </w:r>
          </w:p>
        </w:tc>
        <w:tc>
          <w:tcPr>
            <w:tcW w:w="1706" w:type="dxa"/>
            <w:vAlign w:val="center"/>
          </w:tcPr>
          <w:p w14:paraId="31CB29C2"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0.19</w:t>
            </w:r>
          </w:p>
        </w:tc>
      </w:tr>
      <w:tr w:rsidR="008D636C" w:rsidRPr="00BD49E0" w14:paraId="31CB29C8" w14:textId="77777777" w:rsidTr="00D87E93">
        <w:trPr>
          <w:trHeight w:val="282"/>
          <w:jc w:val="center"/>
        </w:trPr>
        <w:tc>
          <w:tcPr>
            <w:tcW w:w="2496" w:type="dxa"/>
            <w:vAlign w:val="center"/>
          </w:tcPr>
          <w:p w14:paraId="31CB29C4" w14:textId="77777777" w:rsidR="008D636C" w:rsidRPr="00BD49E0" w:rsidRDefault="008D636C" w:rsidP="008C5C02">
            <w:pPr>
              <w:spacing w:line="360" w:lineRule="auto"/>
              <w:ind w:firstLine="0"/>
              <w:rPr>
                <w:sz w:val="20"/>
                <w:szCs w:val="20"/>
              </w:rPr>
            </w:pPr>
            <w:r w:rsidRPr="00BD49E0">
              <w:rPr>
                <w:sz w:val="20"/>
                <w:szCs w:val="20"/>
              </w:rPr>
              <w:t>LAKTAT</w:t>
            </w:r>
          </w:p>
        </w:tc>
        <w:tc>
          <w:tcPr>
            <w:tcW w:w="3095" w:type="dxa"/>
            <w:noWrap/>
          </w:tcPr>
          <w:p w14:paraId="31CB29C5" w14:textId="77777777" w:rsidR="008D636C" w:rsidRPr="00BD49E0" w:rsidRDefault="008D636C" w:rsidP="008C5C02">
            <w:pPr>
              <w:spacing w:line="360" w:lineRule="auto"/>
              <w:ind w:firstLine="0"/>
              <w:rPr>
                <w:sz w:val="20"/>
                <w:szCs w:val="20"/>
              </w:rPr>
            </w:pPr>
            <w:r w:rsidRPr="00BD49E0">
              <w:rPr>
                <w:sz w:val="20"/>
                <w:szCs w:val="20"/>
              </w:rPr>
              <w:t>3.7 (1.5-10.2)</w:t>
            </w:r>
          </w:p>
        </w:tc>
        <w:tc>
          <w:tcPr>
            <w:tcW w:w="2280" w:type="dxa"/>
            <w:noWrap/>
          </w:tcPr>
          <w:p w14:paraId="31CB29C6" w14:textId="77777777" w:rsidR="008D636C" w:rsidRPr="00BD49E0" w:rsidRDefault="008D636C" w:rsidP="008C5C02">
            <w:pPr>
              <w:spacing w:line="360" w:lineRule="auto"/>
              <w:ind w:firstLine="0"/>
              <w:rPr>
                <w:sz w:val="20"/>
                <w:szCs w:val="20"/>
              </w:rPr>
            </w:pPr>
            <w:r w:rsidRPr="00BD49E0">
              <w:rPr>
                <w:sz w:val="20"/>
                <w:szCs w:val="20"/>
              </w:rPr>
              <w:t>2 (0.7-3)</w:t>
            </w:r>
          </w:p>
        </w:tc>
        <w:tc>
          <w:tcPr>
            <w:tcW w:w="1706" w:type="dxa"/>
            <w:vAlign w:val="center"/>
          </w:tcPr>
          <w:p w14:paraId="31CB29C7" w14:textId="77777777" w:rsidR="008D636C" w:rsidRPr="00BD49E0" w:rsidRDefault="008D636C" w:rsidP="008C5C02">
            <w:pPr>
              <w:spacing w:line="360" w:lineRule="auto"/>
              <w:ind w:right="360" w:firstLine="0"/>
              <w:jc w:val="center"/>
              <w:rPr>
                <w:rFonts w:eastAsia="Times New Roman"/>
                <w:sz w:val="20"/>
                <w:szCs w:val="20"/>
              </w:rPr>
            </w:pPr>
            <w:r w:rsidRPr="00BD49E0">
              <w:rPr>
                <w:rFonts w:eastAsia="Times New Roman"/>
                <w:sz w:val="20"/>
                <w:szCs w:val="20"/>
              </w:rPr>
              <w:t>0.15</w:t>
            </w:r>
          </w:p>
        </w:tc>
      </w:tr>
    </w:tbl>
    <w:p w14:paraId="5C0CF54F" w14:textId="77777777" w:rsidR="008C5C02" w:rsidRDefault="008C5C02" w:rsidP="004A3864"/>
    <w:p w14:paraId="26395479" w14:textId="77777777" w:rsidR="002E3FEA" w:rsidRDefault="002E3FEA" w:rsidP="002F1C8F"/>
    <w:p w14:paraId="2E6B5126" w14:textId="77777777" w:rsidR="002E3FEA" w:rsidRDefault="002E3FEA" w:rsidP="002F1C8F"/>
    <w:p w14:paraId="4630FFB8" w14:textId="73738464" w:rsidR="0054678D" w:rsidRDefault="0054678D" w:rsidP="0054678D">
      <w:r>
        <w:rPr>
          <w:b/>
        </w:rPr>
        <w:lastRenderedPageBreak/>
        <w:t>3</w:t>
      </w:r>
      <w:r w:rsidRPr="00994305">
        <w:rPr>
          <w:b/>
        </w:rPr>
        <w:t>.Grup:</w:t>
      </w:r>
      <w:r>
        <w:t xml:space="preserve"> Kadın ve erkek cinsiyete </w:t>
      </w:r>
      <w:r w:rsidRPr="00994305">
        <w:t xml:space="preserve">göre </w:t>
      </w:r>
      <w:r w:rsidR="00F41A53" w:rsidRPr="00994305">
        <w:t>oluşturulan</w:t>
      </w:r>
      <w:r w:rsidRPr="00994305">
        <w:t xml:space="preserve"> </w:t>
      </w:r>
      <w:r>
        <w:t>üçüncü</w:t>
      </w:r>
      <w:r w:rsidRPr="00994305">
        <w:t xml:space="preserve"> gruptaki</w:t>
      </w:r>
      <w:r>
        <w:rPr>
          <w:b/>
        </w:rPr>
        <w:t xml:space="preserve"> </w:t>
      </w:r>
      <w:r w:rsidRPr="00994305">
        <w:t xml:space="preserve">hastaların </w:t>
      </w:r>
      <w:r>
        <w:t>11</w:t>
      </w:r>
      <w:r w:rsidRPr="00994305">
        <w:t>’</w:t>
      </w:r>
      <w:r>
        <w:t>i (%45.8)</w:t>
      </w:r>
      <w:r w:rsidRPr="00994305">
        <w:t xml:space="preserve"> </w:t>
      </w:r>
      <w:r>
        <w:t>kadın,</w:t>
      </w:r>
      <w:r w:rsidRPr="00994305">
        <w:t xml:space="preserve"> </w:t>
      </w:r>
      <w:r>
        <w:t>13</w:t>
      </w:r>
      <w:r w:rsidRPr="00994305">
        <w:t>’</w:t>
      </w:r>
      <w:r>
        <w:t>ü (%54.1)</w:t>
      </w:r>
      <w:r w:rsidRPr="00994305">
        <w:t xml:space="preserve"> ise </w:t>
      </w:r>
      <w:r>
        <w:t>erkek hasta idi.</w:t>
      </w:r>
      <w:r w:rsidRPr="00994305">
        <w:t xml:space="preserve"> </w:t>
      </w:r>
    </w:p>
    <w:p w14:paraId="60CF13BA" w14:textId="141F6019" w:rsidR="0054678D" w:rsidRDefault="0054678D" w:rsidP="0054678D">
      <w:r w:rsidRPr="00994305">
        <w:t>Bu</w:t>
      </w:r>
      <w:r>
        <w:t xml:space="preserve"> </w:t>
      </w:r>
      <w:r w:rsidRPr="00994305">
        <w:t xml:space="preserve">gruptaki </w:t>
      </w:r>
      <w:r>
        <w:t>“kadın ve erkek” cinsiyetleri arasındaki</w:t>
      </w:r>
      <w:r w:rsidDel="0054678D">
        <w:t xml:space="preserve"> </w:t>
      </w:r>
      <w:r>
        <w:t xml:space="preserve">arasında; kültür sonucu, yaş, acil şartlarda gerçekleştirilen karaciğer nakli operasyonu, kullanılan greft tipi, retransplantasyon, sepsis etiyolojileri, plazmaferez/MARS uygulamaları ve takip süreleri dağılımında istatistiksel olarak anlamlı farklılık izlenmedi. </w:t>
      </w:r>
    </w:p>
    <w:p w14:paraId="6D3D160B" w14:textId="6C7B0B7E" w:rsidR="00111217" w:rsidRDefault="00111217" w:rsidP="00111217">
      <w:r>
        <w:t xml:space="preserve">Ancak </w:t>
      </w:r>
      <w:r w:rsidR="00BB5FD7">
        <w:t>iki cinsiyet arasında</w:t>
      </w:r>
      <w:r>
        <w:t xml:space="preserve"> </w:t>
      </w:r>
      <w:r w:rsidRPr="00BB5FD7">
        <w:rPr>
          <w:b/>
        </w:rPr>
        <w:t>mortalite</w:t>
      </w:r>
      <w:r>
        <w:t xml:space="preserve"> istatistiksel açıdan </w:t>
      </w:r>
      <w:r w:rsidRPr="006D478C">
        <w:t>anlamlı</w:t>
      </w:r>
      <w:r w:rsidR="00BB5FD7">
        <w:t xml:space="preserve"> idi. Erkek hastalarda</w:t>
      </w:r>
      <w:r w:rsidR="002E303A">
        <w:t xml:space="preserve"> kadınlara kıyasla</w:t>
      </w:r>
      <w:r w:rsidR="00BB5FD7">
        <w:t xml:space="preserve"> mortalite daha</w:t>
      </w:r>
      <w:r w:rsidRPr="006D478C">
        <w:t xml:space="preserve"> </w:t>
      </w:r>
      <w:r>
        <w:t>yüksek bulundu (%</w:t>
      </w:r>
      <w:r w:rsidRPr="00AC73D9">
        <w:t>5</w:t>
      </w:r>
      <w:r>
        <w:t>3.8</w:t>
      </w:r>
      <w:r w:rsidRPr="00AC73D9">
        <w:t xml:space="preserve"> v</w:t>
      </w:r>
      <w:r>
        <w:t>s</w:t>
      </w:r>
      <w:r w:rsidRPr="00AC73D9">
        <w:t xml:space="preserve"> %</w:t>
      </w:r>
      <w:r>
        <w:t>9.1</w:t>
      </w:r>
      <w:r w:rsidRPr="00AC73D9">
        <w:t>; p=0.02).</w:t>
      </w:r>
    </w:p>
    <w:p w14:paraId="66C5D70F" w14:textId="2B3D3DBC" w:rsidR="00111217" w:rsidRDefault="00111217" w:rsidP="00111217">
      <w:r>
        <w:t xml:space="preserve">Üçüncü </w:t>
      </w:r>
      <w:r w:rsidRPr="00994305">
        <w:t>gruptaki</w:t>
      </w:r>
      <w:r>
        <w:t xml:space="preserve"> “kadın ve erkek” hastalara ait demografik ve klinik özellikleri Tablo 4.</w:t>
      </w:r>
      <w:r w:rsidR="00280E3A">
        <w:t>12</w:t>
      </w:r>
      <w:r>
        <w:t xml:space="preserve"> d</w:t>
      </w:r>
      <w:r w:rsidR="00280E3A">
        <w:t>e</w:t>
      </w:r>
      <w:r>
        <w:t xml:space="preserve"> gösterilmiştir. </w:t>
      </w:r>
    </w:p>
    <w:p w14:paraId="72EA1AE5" w14:textId="77777777" w:rsidR="00111217" w:rsidRDefault="00111217" w:rsidP="003A4709">
      <w:pPr>
        <w:pStyle w:val="ResimYazs"/>
        <w:rPr>
          <w:szCs w:val="24"/>
        </w:rPr>
      </w:pPr>
    </w:p>
    <w:p w14:paraId="34007837" w14:textId="61134D3C" w:rsidR="00111217" w:rsidRPr="00111217" w:rsidRDefault="00111217" w:rsidP="003A4709">
      <w:pPr>
        <w:pStyle w:val="ResimYazs"/>
        <w:rPr>
          <w:b/>
          <w:szCs w:val="24"/>
        </w:rPr>
      </w:pPr>
      <w:bookmarkStart w:id="564" w:name="_Toc49818027"/>
      <w:r w:rsidRPr="00111217">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12</w:t>
      </w:r>
      <w:r w:rsidR="002B4CBE">
        <w:rPr>
          <w:i w:val="0"/>
          <w:color w:val="auto"/>
          <w:sz w:val="24"/>
          <w:szCs w:val="24"/>
        </w:rPr>
        <w:fldChar w:fldCharType="end"/>
      </w:r>
      <w:r w:rsidRPr="00111217">
        <w:rPr>
          <w:i w:val="0"/>
          <w:color w:val="auto"/>
          <w:sz w:val="24"/>
          <w:szCs w:val="24"/>
        </w:rPr>
        <w:t xml:space="preserve"> Cinsiyete </w:t>
      </w:r>
      <w:r w:rsidR="001110C5">
        <w:rPr>
          <w:i w:val="0"/>
          <w:color w:val="auto"/>
          <w:sz w:val="24"/>
          <w:szCs w:val="24"/>
        </w:rPr>
        <w:t>Göre Demografik v</w:t>
      </w:r>
      <w:r w:rsidR="001110C5" w:rsidRPr="00111217">
        <w:rPr>
          <w:i w:val="0"/>
          <w:color w:val="auto"/>
          <w:sz w:val="24"/>
          <w:szCs w:val="24"/>
        </w:rPr>
        <w:t>e Klinik Veriler</w:t>
      </w:r>
      <w:r w:rsidR="001110C5">
        <w:rPr>
          <w:i w:val="0"/>
          <w:color w:val="auto"/>
          <w:sz w:val="24"/>
          <w:szCs w:val="24"/>
        </w:rPr>
        <w:t xml:space="preserve"> </w:t>
      </w:r>
      <w:r>
        <w:rPr>
          <w:i w:val="0"/>
          <w:color w:val="auto"/>
          <w:sz w:val="24"/>
          <w:szCs w:val="24"/>
        </w:rPr>
        <w:t>(grup-3)</w:t>
      </w:r>
      <w:bookmarkEnd w:id="564"/>
    </w:p>
    <w:tbl>
      <w:tblPr>
        <w:tblStyle w:val="TabloKlavuzu"/>
        <w:tblW w:w="4754" w:type="pct"/>
        <w:tblLook w:val="04A0" w:firstRow="1" w:lastRow="0" w:firstColumn="1" w:lastColumn="0" w:noHBand="0" w:noVBand="1"/>
      </w:tblPr>
      <w:tblGrid>
        <w:gridCol w:w="2829"/>
        <w:gridCol w:w="1841"/>
        <w:gridCol w:w="1767"/>
        <w:gridCol w:w="1638"/>
      </w:tblGrid>
      <w:tr w:rsidR="0054678D" w14:paraId="4FD0CFE7" w14:textId="77777777" w:rsidTr="0054678D">
        <w:trPr>
          <w:trHeight w:val="333"/>
        </w:trPr>
        <w:tc>
          <w:tcPr>
            <w:tcW w:w="1752" w:type="pct"/>
            <w:tcBorders>
              <w:top w:val="single" w:sz="4" w:space="0" w:color="auto"/>
              <w:left w:val="single" w:sz="4" w:space="0" w:color="auto"/>
              <w:bottom w:val="single" w:sz="4" w:space="0" w:color="auto"/>
              <w:right w:val="single" w:sz="4" w:space="0" w:color="auto"/>
            </w:tcBorders>
            <w:vAlign w:val="center"/>
          </w:tcPr>
          <w:p w14:paraId="3C1CC662" w14:textId="77777777" w:rsidR="0054678D" w:rsidRPr="0054678D" w:rsidRDefault="0054678D" w:rsidP="00EE6B7C">
            <w:pPr>
              <w:rPr>
                <w:rFonts w:eastAsia="Times New Roman"/>
                <w:b/>
                <w:bCs/>
                <w:color w:val="000000" w:themeColor="text1"/>
                <w:sz w:val="22"/>
              </w:rPr>
            </w:pPr>
          </w:p>
        </w:tc>
        <w:tc>
          <w:tcPr>
            <w:tcW w:w="2234" w:type="pct"/>
            <w:gridSpan w:val="2"/>
            <w:tcBorders>
              <w:top w:val="single" w:sz="4" w:space="0" w:color="auto"/>
              <w:left w:val="single" w:sz="4" w:space="0" w:color="auto"/>
              <w:bottom w:val="single" w:sz="4" w:space="0" w:color="auto"/>
              <w:right w:val="single" w:sz="4" w:space="0" w:color="auto"/>
            </w:tcBorders>
          </w:tcPr>
          <w:p w14:paraId="359E9732" w14:textId="5892B37D" w:rsidR="0054678D" w:rsidRPr="0054678D" w:rsidRDefault="0054678D" w:rsidP="00111217">
            <w:pPr>
              <w:spacing w:line="360" w:lineRule="auto"/>
              <w:ind w:firstLine="0"/>
              <w:jc w:val="center"/>
              <w:rPr>
                <w:rFonts w:eastAsia="Times New Roman"/>
                <w:b/>
                <w:bCs/>
                <w:color w:val="000000" w:themeColor="text1"/>
                <w:sz w:val="22"/>
              </w:rPr>
            </w:pPr>
            <w:r>
              <w:rPr>
                <w:rFonts w:eastAsia="Times New Roman"/>
                <w:b/>
                <w:bCs/>
                <w:color w:val="000000" w:themeColor="text1"/>
                <w:sz w:val="22"/>
              </w:rPr>
              <w:t>CİNSİYET</w:t>
            </w:r>
          </w:p>
        </w:tc>
        <w:tc>
          <w:tcPr>
            <w:tcW w:w="1014" w:type="pct"/>
            <w:tcBorders>
              <w:top w:val="single" w:sz="4" w:space="0" w:color="auto"/>
              <w:left w:val="single" w:sz="4" w:space="0" w:color="auto"/>
              <w:bottom w:val="single" w:sz="4" w:space="0" w:color="auto"/>
              <w:right w:val="single" w:sz="4" w:space="0" w:color="auto"/>
            </w:tcBorders>
          </w:tcPr>
          <w:p w14:paraId="201B3BC6" w14:textId="77777777" w:rsidR="0054678D" w:rsidRPr="00111217" w:rsidRDefault="0054678D" w:rsidP="0054678D">
            <w:pPr>
              <w:ind w:firstLine="0"/>
              <w:rPr>
                <w:rFonts w:eastAsia="Times New Roman"/>
                <w:b/>
                <w:bCs/>
                <w:color w:val="000000" w:themeColor="text1"/>
                <w:sz w:val="22"/>
              </w:rPr>
            </w:pPr>
          </w:p>
        </w:tc>
      </w:tr>
      <w:tr w:rsidR="00EE6B7C" w14:paraId="7DDCF2BB" w14:textId="77777777" w:rsidTr="0054678D">
        <w:trPr>
          <w:trHeight w:val="333"/>
        </w:trPr>
        <w:tc>
          <w:tcPr>
            <w:tcW w:w="1752" w:type="pct"/>
            <w:tcBorders>
              <w:top w:val="single" w:sz="4" w:space="0" w:color="auto"/>
              <w:left w:val="single" w:sz="4" w:space="0" w:color="auto"/>
              <w:bottom w:val="single" w:sz="4" w:space="0" w:color="auto"/>
              <w:right w:val="single" w:sz="4" w:space="0" w:color="auto"/>
            </w:tcBorders>
            <w:vAlign w:val="center"/>
            <w:hideMark/>
          </w:tcPr>
          <w:p w14:paraId="438D2A87" w14:textId="77777777" w:rsidR="00EE6B7C" w:rsidRPr="0054678D" w:rsidRDefault="00EE6B7C" w:rsidP="00EE6B7C">
            <w:pPr>
              <w:rPr>
                <w:rFonts w:eastAsia="Times New Roman"/>
                <w:b/>
                <w:bCs/>
                <w:color w:val="000000" w:themeColor="text1"/>
                <w:sz w:val="22"/>
              </w:rPr>
            </w:pPr>
          </w:p>
        </w:tc>
        <w:tc>
          <w:tcPr>
            <w:tcW w:w="1140" w:type="pct"/>
            <w:tcBorders>
              <w:top w:val="single" w:sz="4" w:space="0" w:color="auto"/>
              <w:left w:val="single" w:sz="4" w:space="0" w:color="auto"/>
              <w:bottom w:val="single" w:sz="4" w:space="0" w:color="auto"/>
              <w:right w:val="single" w:sz="4" w:space="0" w:color="auto"/>
            </w:tcBorders>
            <w:hideMark/>
          </w:tcPr>
          <w:p w14:paraId="19A552B0" w14:textId="792D518B" w:rsidR="00EE6B7C" w:rsidRPr="0054678D" w:rsidRDefault="00EE6B7C" w:rsidP="00111217">
            <w:pPr>
              <w:spacing w:line="360" w:lineRule="auto"/>
              <w:ind w:firstLine="0"/>
              <w:rPr>
                <w:rFonts w:eastAsia="Times New Roman"/>
                <w:b/>
                <w:bCs/>
                <w:color w:val="000000" w:themeColor="text1"/>
                <w:sz w:val="22"/>
              </w:rPr>
            </w:pPr>
            <w:r w:rsidRPr="0054678D">
              <w:rPr>
                <w:rFonts w:eastAsia="Times New Roman"/>
                <w:b/>
                <w:bCs/>
                <w:color w:val="000000" w:themeColor="text1"/>
                <w:sz w:val="22"/>
              </w:rPr>
              <w:t>KADIN</w:t>
            </w:r>
            <w:r w:rsidR="0054678D" w:rsidRPr="0054678D">
              <w:rPr>
                <w:rFonts w:eastAsia="Times New Roman"/>
                <w:b/>
                <w:bCs/>
                <w:color w:val="000000" w:themeColor="text1"/>
                <w:sz w:val="22"/>
              </w:rPr>
              <w:t>, n=11</w:t>
            </w:r>
          </w:p>
        </w:tc>
        <w:tc>
          <w:tcPr>
            <w:tcW w:w="1094" w:type="pct"/>
            <w:tcBorders>
              <w:top w:val="single" w:sz="4" w:space="0" w:color="auto"/>
              <w:left w:val="single" w:sz="4" w:space="0" w:color="auto"/>
              <w:bottom w:val="single" w:sz="4" w:space="0" w:color="auto"/>
              <w:right w:val="single" w:sz="4" w:space="0" w:color="auto"/>
            </w:tcBorders>
            <w:hideMark/>
          </w:tcPr>
          <w:p w14:paraId="7661F503" w14:textId="492DB2B3" w:rsidR="00EE6B7C" w:rsidRPr="0054678D" w:rsidRDefault="00EE6B7C" w:rsidP="00111217">
            <w:pPr>
              <w:spacing w:line="360" w:lineRule="auto"/>
              <w:ind w:firstLine="0"/>
              <w:rPr>
                <w:rFonts w:eastAsia="Times New Roman"/>
                <w:b/>
                <w:bCs/>
                <w:color w:val="000000" w:themeColor="text1"/>
                <w:sz w:val="22"/>
              </w:rPr>
            </w:pPr>
            <w:r w:rsidRPr="0054678D">
              <w:rPr>
                <w:rFonts w:eastAsia="Times New Roman"/>
                <w:b/>
                <w:bCs/>
                <w:color w:val="000000" w:themeColor="text1"/>
                <w:sz w:val="22"/>
              </w:rPr>
              <w:t>ERKEK</w:t>
            </w:r>
            <w:r w:rsidR="0054678D" w:rsidRPr="0054678D">
              <w:rPr>
                <w:rFonts w:eastAsia="Times New Roman"/>
                <w:b/>
                <w:bCs/>
                <w:color w:val="000000" w:themeColor="text1"/>
                <w:sz w:val="22"/>
              </w:rPr>
              <w:t>, n=13</w:t>
            </w:r>
          </w:p>
        </w:tc>
        <w:tc>
          <w:tcPr>
            <w:tcW w:w="1014" w:type="pct"/>
            <w:tcBorders>
              <w:top w:val="single" w:sz="4" w:space="0" w:color="auto"/>
              <w:left w:val="single" w:sz="4" w:space="0" w:color="auto"/>
              <w:bottom w:val="single" w:sz="4" w:space="0" w:color="auto"/>
              <w:right w:val="single" w:sz="4" w:space="0" w:color="auto"/>
            </w:tcBorders>
            <w:hideMark/>
          </w:tcPr>
          <w:p w14:paraId="27017472" w14:textId="68AE71B0" w:rsidR="00EE6B7C" w:rsidRPr="0054678D" w:rsidRDefault="0054678D" w:rsidP="00111217">
            <w:pPr>
              <w:spacing w:line="360" w:lineRule="auto"/>
              <w:ind w:firstLine="0"/>
              <w:rPr>
                <w:rFonts w:eastAsia="Times New Roman"/>
                <w:b/>
                <w:bCs/>
                <w:color w:val="000000" w:themeColor="text1"/>
                <w:sz w:val="22"/>
              </w:rPr>
            </w:pPr>
            <w:r w:rsidRPr="00111217">
              <w:rPr>
                <w:rFonts w:eastAsia="Times New Roman"/>
                <w:b/>
                <w:bCs/>
                <w:color w:val="000000" w:themeColor="text1"/>
                <w:sz w:val="22"/>
              </w:rPr>
              <w:t>p</w:t>
            </w:r>
            <w:r w:rsidR="00EE6B7C" w:rsidRPr="0054678D">
              <w:rPr>
                <w:rFonts w:eastAsia="Times New Roman"/>
                <w:b/>
                <w:bCs/>
                <w:color w:val="000000" w:themeColor="text1"/>
                <w:sz w:val="22"/>
              </w:rPr>
              <w:t xml:space="preserve"> </w:t>
            </w:r>
            <w:r>
              <w:rPr>
                <w:rFonts w:eastAsia="Times New Roman"/>
                <w:b/>
                <w:bCs/>
                <w:color w:val="000000" w:themeColor="text1"/>
                <w:sz w:val="22"/>
              </w:rPr>
              <w:t>&lt;0.05</w:t>
            </w:r>
          </w:p>
        </w:tc>
      </w:tr>
      <w:tr w:rsidR="00EE6B7C" w14:paraId="213A030E" w14:textId="77777777" w:rsidTr="00111217">
        <w:trPr>
          <w:trHeight w:val="900"/>
        </w:trPr>
        <w:tc>
          <w:tcPr>
            <w:tcW w:w="1752" w:type="pct"/>
            <w:tcBorders>
              <w:top w:val="single" w:sz="4" w:space="0" w:color="auto"/>
              <w:left w:val="single" w:sz="4" w:space="0" w:color="auto"/>
              <w:bottom w:val="single" w:sz="4" w:space="0" w:color="auto"/>
              <w:right w:val="single" w:sz="4" w:space="0" w:color="auto"/>
            </w:tcBorders>
            <w:vAlign w:val="center"/>
            <w:hideMark/>
          </w:tcPr>
          <w:p w14:paraId="2058EE6A" w14:textId="4775DD97" w:rsidR="00EE6B7C" w:rsidRPr="00111217" w:rsidRDefault="0054678D" w:rsidP="00111217">
            <w:pPr>
              <w:ind w:firstLine="0"/>
              <w:jc w:val="left"/>
              <w:rPr>
                <w:rFonts w:eastAsia="Times New Roman"/>
                <w:b/>
                <w:bCs/>
                <w:color w:val="000000" w:themeColor="text1"/>
                <w:sz w:val="22"/>
              </w:rPr>
            </w:pPr>
            <w:r w:rsidRPr="00111217">
              <w:rPr>
                <w:rFonts w:eastAsia="Times New Roman"/>
                <w:b/>
                <w:bCs/>
                <w:color w:val="000000" w:themeColor="text1"/>
                <w:sz w:val="22"/>
              </w:rPr>
              <w:t>Kültür sonucu</w:t>
            </w:r>
          </w:p>
          <w:p w14:paraId="0EBF235D" w14:textId="3F9AC129" w:rsidR="00EE6B7C" w:rsidRPr="00111217" w:rsidRDefault="0054678D" w:rsidP="00111217">
            <w:pPr>
              <w:jc w:val="left"/>
              <w:rPr>
                <w:rFonts w:eastAsia="Times New Roman"/>
                <w:bCs/>
                <w:color w:val="000000" w:themeColor="text1"/>
                <w:sz w:val="22"/>
              </w:rPr>
            </w:pPr>
            <w:r w:rsidRPr="00111217">
              <w:rPr>
                <w:rFonts w:eastAsia="Times New Roman"/>
                <w:bCs/>
                <w:color w:val="000000" w:themeColor="text1"/>
                <w:sz w:val="22"/>
              </w:rPr>
              <w:t>Üreme yok</w:t>
            </w:r>
          </w:p>
          <w:p w14:paraId="55BC6BDE" w14:textId="7414FDB5" w:rsidR="00EE6B7C" w:rsidRPr="00111217" w:rsidRDefault="0054678D" w:rsidP="00111217">
            <w:pPr>
              <w:jc w:val="left"/>
              <w:rPr>
                <w:rFonts w:eastAsia="Times New Roman"/>
                <w:b/>
                <w:bCs/>
                <w:color w:val="000000" w:themeColor="text1"/>
                <w:sz w:val="22"/>
              </w:rPr>
            </w:pPr>
            <w:r w:rsidRPr="00111217">
              <w:rPr>
                <w:rFonts w:eastAsia="Times New Roman"/>
                <w:bCs/>
                <w:color w:val="000000" w:themeColor="text1"/>
                <w:sz w:val="22"/>
              </w:rPr>
              <w:t>Üreme var</w:t>
            </w:r>
          </w:p>
        </w:tc>
        <w:tc>
          <w:tcPr>
            <w:tcW w:w="1140" w:type="pct"/>
            <w:tcBorders>
              <w:top w:val="single" w:sz="4" w:space="0" w:color="auto"/>
              <w:left w:val="single" w:sz="4" w:space="0" w:color="auto"/>
              <w:bottom w:val="single" w:sz="4" w:space="0" w:color="auto"/>
              <w:right w:val="single" w:sz="4" w:space="0" w:color="auto"/>
            </w:tcBorders>
            <w:noWrap/>
            <w:vAlign w:val="center"/>
          </w:tcPr>
          <w:p w14:paraId="38830F9F" w14:textId="77777777" w:rsidR="00EE6B7C" w:rsidRPr="00111217" w:rsidRDefault="00EE6B7C" w:rsidP="00111217">
            <w:pPr>
              <w:jc w:val="center"/>
              <w:rPr>
                <w:rFonts w:eastAsia="Times New Roman"/>
                <w:color w:val="000000" w:themeColor="text1"/>
                <w:sz w:val="22"/>
              </w:rPr>
            </w:pPr>
          </w:p>
          <w:p w14:paraId="16FB16CA"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 xml:space="preserve">3 (27.3%) </w:t>
            </w:r>
          </w:p>
          <w:p w14:paraId="39A5F68F"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8 (72.7%)</w:t>
            </w:r>
          </w:p>
        </w:tc>
        <w:tc>
          <w:tcPr>
            <w:tcW w:w="1094" w:type="pct"/>
            <w:tcBorders>
              <w:top w:val="single" w:sz="4" w:space="0" w:color="auto"/>
              <w:left w:val="single" w:sz="4" w:space="0" w:color="auto"/>
              <w:bottom w:val="single" w:sz="4" w:space="0" w:color="auto"/>
              <w:right w:val="single" w:sz="4" w:space="0" w:color="auto"/>
            </w:tcBorders>
            <w:noWrap/>
            <w:vAlign w:val="center"/>
          </w:tcPr>
          <w:p w14:paraId="2EF0A81D" w14:textId="77777777" w:rsidR="00EE6B7C" w:rsidRPr="00111217" w:rsidRDefault="00EE6B7C" w:rsidP="00111217">
            <w:pPr>
              <w:jc w:val="center"/>
              <w:rPr>
                <w:rFonts w:eastAsia="Times New Roman"/>
                <w:color w:val="000000" w:themeColor="text1"/>
                <w:sz w:val="22"/>
              </w:rPr>
            </w:pPr>
          </w:p>
          <w:p w14:paraId="616E240B"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5 (38.5%)</w:t>
            </w:r>
          </w:p>
          <w:p w14:paraId="5969AD16"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8 (61.5%)</w:t>
            </w:r>
          </w:p>
        </w:tc>
        <w:tc>
          <w:tcPr>
            <w:tcW w:w="1014" w:type="pct"/>
            <w:tcBorders>
              <w:top w:val="single" w:sz="4" w:space="0" w:color="auto"/>
              <w:left w:val="single" w:sz="4" w:space="0" w:color="auto"/>
              <w:bottom w:val="single" w:sz="4" w:space="0" w:color="auto"/>
              <w:right w:val="single" w:sz="4" w:space="0" w:color="auto"/>
            </w:tcBorders>
            <w:vAlign w:val="center"/>
          </w:tcPr>
          <w:p w14:paraId="4621FED5" w14:textId="77777777" w:rsidR="00EE6B7C" w:rsidRPr="00111217" w:rsidRDefault="00EE6B7C" w:rsidP="00111217">
            <w:pPr>
              <w:ind w:right="360" w:firstLine="0"/>
              <w:rPr>
                <w:rFonts w:eastAsia="Times New Roman"/>
                <w:color w:val="000000" w:themeColor="text1"/>
                <w:sz w:val="22"/>
              </w:rPr>
            </w:pPr>
            <w:r w:rsidRPr="00111217">
              <w:rPr>
                <w:rFonts w:eastAsia="Times New Roman"/>
                <w:color w:val="000000" w:themeColor="text1"/>
                <w:sz w:val="22"/>
              </w:rPr>
              <w:t>0.56</w:t>
            </w:r>
          </w:p>
        </w:tc>
      </w:tr>
      <w:tr w:rsidR="00EE6B7C" w14:paraId="44DAFB0C" w14:textId="77777777" w:rsidTr="00111217">
        <w:trPr>
          <w:trHeight w:val="589"/>
        </w:trPr>
        <w:tc>
          <w:tcPr>
            <w:tcW w:w="1752" w:type="pct"/>
            <w:tcBorders>
              <w:top w:val="single" w:sz="4" w:space="0" w:color="auto"/>
              <w:left w:val="single" w:sz="4" w:space="0" w:color="auto"/>
              <w:bottom w:val="single" w:sz="4" w:space="0" w:color="auto"/>
              <w:right w:val="single" w:sz="4" w:space="0" w:color="auto"/>
            </w:tcBorders>
            <w:vAlign w:val="center"/>
            <w:hideMark/>
          </w:tcPr>
          <w:p w14:paraId="4993E31D" w14:textId="4FAE9E46" w:rsidR="00EE6B7C" w:rsidRPr="00111217" w:rsidRDefault="0054678D" w:rsidP="00111217">
            <w:pPr>
              <w:ind w:firstLine="0"/>
              <w:jc w:val="left"/>
              <w:rPr>
                <w:rFonts w:eastAsia="Times New Roman"/>
                <w:b/>
                <w:bCs/>
                <w:color w:val="000000" w:themeColor="text1"/>
                <w:sz w:val="22"/>
              </w:rPr>
            </w:pPr>
            <w:r w:rsidRPr="00111217">
              <w:rPr>
                <w:rFonts w:eastAsia="Times New Roman"/>
                <w:b/>
                <w:bCs/>
                <w:color w:val="000000" w:themeColor="text1"/>
                <w:sz w:val="22"/>
              </w:rPr>
              <w:t>Yaş</w:t>
            </w:r>
          </w:p>
        </w:tc>
        <w:tc>
          <w:tcPr>
            <w:tcW w:w="1140" w:type="pct"/>
            <w:tcBorders>
              <w:top w:val="single" w:sz="4" w:space="0" w:color="auto"/>
              <w:left w:val="single" w:sz="4" w:space="0" w:color="auto"/>
              <w:bottom w:val="single" w:sz="4" w:space="0" w:color="auto"/>
              <w:right w:val="single" w:sz="4" w:space="0" w:color="auto"/>
            </w:tcBorders>
            <w:noWrap/>
            <w:vAlign w:val="center"/>
            <w:hideMark/>
          </w:tcPr>
          <w:p w14:paraId="497C9DC3"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25 (1-59))</w:t>
            </w:r>
          </w:p>
        </w:tc>
        <w:tc>
          <w:tcPr>
            <w:tcW w:w="1094" w:type="pct"/>
            <w:tcBorders>
              <w:top w:val="single" w:sz="4" w:space="0" w:color="auto"/>
              <w:left w:val="single" w:sz="4" w:space="0" w:color="auto"/>
              <w:bottom w:val="single" w:sz="4" w:space="0" w:color="auto"/>
              <w:right w:val="single" w:sz="4" w:space="0" w:color="auto"/>
            </w:tcBorders>
            <w:noWrap/>
            <w:vAlign w:val="center"/>
            <w:hideMark/>
          </w:tcPr>
          <w:p w14:paraId="4CBD0D98"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8 (1-60)</w:t>
            </w:r>
          </w:p>
        </w:tc>
        <w:tc>
          <w:tcPr>
            <w:tcW w:w="1014" w:type="pct"/>
            <w:tcBorders>
              <w:top w:val="single" w:sz="4" w:space="0" w:color="auto"/>
              <w:left w:val="single" w:sz="4" w:space="0" w:color="auto"/>
              <w:bottom w:val="single" w:sz="4" w:space="0" w:color="auto"/>
              <w:right w:val="single" w:sz="4" w:space="0" w:color="auto"/>
            </w:tcBorders>
            <w:vAlign w:val="center"/>
            <w:hideMark/>
          </w:tcPr>
          <w:p w14:paraId="0BBF4C33" w14:textId="77777777" w:rsidR="00EE6B7C" w:rsidRPr="00111217" w:rsidRDefault="00EE6B7C" w:rsidP="00111217">
            <w:pPr>
              <w:ind w:right="360" w:firstLine="0"/>
              <w:rPr>
                <w:rFonts w:eastAsia="Times New Roman"/>
                <w:color w:val="000000" w:themeColor="text1"/>
                <w:sz w:val="22"/>
              </w:rPr>
            </w:pPr>
            <w:r w:rsidRPr="00111217">
              <w:rPr>
                <w:rFonts w:eastAsia="Times New Roman"/>
                <w:color w:val="000000" w:themeColor="text1"/>
                <w:sz w:val="22"/>
              </w:rPr>
              <w:t>0.66</w:t>
            </w:r>
          </w:p>
        </w:tc>
      </w:tr>
      <w:tr w:rsidR="00EE6B7C" w14:paraId="167B2724" w14:textId="77777777" w:rsidTr="00111217">
        <w:trPr>
          <w:trHeight w:val="589"/>
        </w:trPr>
        <w:tc>
          <w:tcPr>
            <w:tcW w:w="1752" w:type="pct"/>
            <w:tcBorders>
              <w:top w:val="single" w:sz="4" w:space="0" w:color="auto"/>
              <w:left w:val="single" w:sz="4" w:space="0" w:color="auto"/>
              <w:bottom w:val="single" w:sz="4" w:space="0" w:color="auto"/>
              <w:right w:val="single" w:sz="4" w:space="0" w:color="auto"/>
            </w:tcBorders>
            <w:vAlign w:val="center"/>
            <w:hideMark/>
          </w:tcPr>
          <w:p w14:paraId="1FDDCFE1" w14:textId="2215CFEE" w:rsidR="00EE6B7C" w:rsidRPr="00111217" w:rsidRDefault="0054678D" w:rsidP="00111217">
            <w:pPr>
              <w:ind w:firstLine="0"/>
              <w:jc w:val="left"/>
              <w:rPr>
                <w:rFonts w:eastAsia="Times New Roman"/>
                <w:b/>
                <w:bCs/>
                <w:color w:val="000000" w:themeColor="text1"/>
                <w:sz w:val="22"/>
              </w:rPr>
            </w:pPr>
            <w:r w:rsidRPr="00111217">
              <w:rPr>
                <w:rFonts w:eastAsia="Times New Roman"/>
                <w:b/>
                <w:bCs/>
                <w:color w:val="000000" w:themeColor="text1"/>
                <w:sz w:val="22"/>
              </w:rPr>
              <w:t>Acil operasyon durumu</w:t>
            </w:r>
          </w:p>
        </w:tc>
        <w:tc>
          <w:tcPr>
            <w:tcW w:w="1140" w:type="pct"/>
            <w:tcBorders>
              <w:top w:val="single" w:sz="4" w:space="0" w:color="auto"/>
              <w:left w:val="single" w:sz="4" w:space="0" w:color="auto"/>
              <w:bottom w:val="single" w:sz="4" w:space="0" w:color="auto"/>
              <w:right w:val="single" w:sz="4" w:space="0" w:color="auto"/>
            </w:tcBorders>
            <w:noWrap/>
            <w:vAlign w:val="center"/>
            <w:hideMark/>
          </w:tcPr>
          <w:p w14:paraId="1B7CC062"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1 (9.1%)</w:t>
            </w:r>
          </w:p>
        </w:tc>
        <w:tc>
          <w:tcPr>
            <w:tcW w:w="1094" w:type="pct"/>
            <w:tcBorders>
              <w:top w:val="single" w:sz="4" w:space="0" w:color="auto"/>
              <w:left w:val="single" w:sz="4" w:space="0" w:color="auto"/>
              <w:bottom w:val="single" w:sz="4" w:space="0" w:color="auto"/>
              <w:right w:val="single" w:sz="4" w:space="0" w:color="auto"/>
            </w:tcBorders>
            <w:noWrap/>
            <w:vAlign w:val="center"/>
            <w:hideMark/>
          </w:tcPr>
          <w:p w14:paraId="1BED3AAF"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2 (15.4%)</w:t>
            </w:r>
          </w:p>
        </w:tc>
        <w:tc>
          <w:tcPr>
            <w:tcW w:w="1014" w:type="pct"/>
            <w:tcBorders>
              <w:top w:val="single" w:sz="4" w:space="0" w:color="auto"/>
              <w:left w:val="single" w:sz="4" w:space="0" w:color="auto"/>
              <w:bottom w:val="single" w:sz="4" w:space="0" w:color="auto"/>
              <w:right w:val="single" w:sz="4" w:space="0" w:color="auto"/>
            </w:tcBorders>
            <w:vAlign w:val="center"/>
            <w:hideMark/>
          </w:tcPr>
          <w:p w14:paraId="76F0FF32"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0.64</w:t>
            </w:r>
          </w:p>
        </w:tc>
      </w:tr>
      <w:tr w:rsidR="00EE6B7C" w14:paraId="41F852C4" w14:textId="77777777" w:rsidTr="00111217">
        <w:trPr>
          <w:trHeight w:val="589"/>
        </w:trPr>
        <w:tc>
          <w:tcPr>
            <w:tcW w:w="1752" w:type="pct"/>
            <w:tcBorders>
              <w:top w:val="single" w:sz="4" w:space="0" w:color="auto"/>
              <w:left w:val="single" w:sz="4" w:space="0" w:color="auto"/>
              <w:bottom w:val="single" w:sz="4" w:space="0" w:color="auto"/>
              <w:right w:val="single" w:sz="4" w:space="0" w:color="auto"/>
            </w:tcBorders>
            <w:vAlign w:val="center"/>
            <w:hideMark/>
          </w:tcPr>
          <w:p w14:paraId="0D993ADE" w14:textId="7B432DA9" w:rsidR="00EE6B7C" w:rsidRPr="00111217" w:rsidRDefault="0054678D" w:rsidP="00111217">
            <w:pPr>
              <w:ind w:firstLine="0"/>
              <w:jc w:val="left"/>
              <w:rPr>
                <w:rFonts w:eastAsia="Times New Roman"/>
                <w:b/>
                <w:bCs/>
                <w:color w:val="000000" w:themeColor="text1"/>
                <w:sz w:val="22"/>
              </w:rPr>
            </w:pPr>
            <w:r w:rsidRPr="00111217">
              <w:rPr>
                <w:rFonts w:eastAsia="Times New Roman"/>
                <w:b/>
                <w:bCs/>
                <w:color w:val="000000" w:themeColor="text1"/>
                <w:sz w:val="22"/>
              </w:rPr>
              <w:t>Greft tipi</w:t>
            </w:r>
          </w:p>
          <w:p w14:paraId="4A73FF42" w14:textId="1BFA3417" w:rsidR="00EE6B7C" w:rsidRPr="00111217" w:rsidRDefault="0054678D" w:rsidP="00111217">
            <w:pPr>
              <w:jc w:val="left"/>
              <w:rPr>
                <w:rFonts w:eastAsia="Times New Roman"/>
                <w:bCs/>
                <w:color w:val="000000" w:themeColor="text1"/>
                <w:sz w:val="22"/>
              </w:rPr>
            </w:pPr>
            <w:r w:rsidRPr="00111217">
              <w:rPr>
                <w:rFonts w:eastAsia="Times New Roman"/>
                <w:bCs/>
                <w:color w:val="000000" w:themeColor="text1"/>
                <w:sz w:val="22"/>
              </w:rPr>
              <w:t>Kadaverik</w:t>
            </w:r>
          </w:p>
          <w:p w14:paraId="5F14720C" w14:textId="77777777" w:rsidR="00EE6B7C" w:rsidRPr="00111217" w:rsidRDefault="00EE6B7C" w:rsidP="00111217">
            <w:pPr>
              <w:jc w:val="left"/>
              <w:rPr>
                <w:rFonts w:eastAsia="Times New Roman"/>
                <w:bCs/>
                <w:color w:val="000000" w:themeColor="text1"/>
                <w:sz w:val="22"/>
              </w:rPr>
            </w:pPr>
            <w:r w:rsidRPr="00111217">
              <w:rPr>
                <w:rFonts w:eastAsia="Times New Roman"/>
                <w:bCs/>
                <w:color w:val="000000" w:themeColor="text1"/>
                <w:sz w:val="22"/>
              </w:rPr>
              <w:t>S2-3</w:t>
            </w:r>
          </w:p>
          <w:p w14:paraId="2E6825DB" w14:textId="524217D5" w:rsidR="00EE6B7C" w:rsidRPr="00111217" w:rsidRDefault="0054678D" w:rsidP="00111217">
            <w:pPr>
              <w:jc w:val="left"/>
              <w:rPr>
                <w:rFonts w:eastAsia="Times New Roman"/>
                <w:bCs/>
                <w:color w:val="000000" w:themeColor="text1"/>
                <w:sz w:val="22"/>
              </w:rPr>
            </w:pPr>
            <w:r w:rsidRPr="00111217">
              <w:rPr>
                <w:rFonts w:eastAsia="Times New Roman"/>
                <w:bCs/>
                <w:color w:val="000000" w:themeColor="text1"/>
                <w:sz w:val="22"/>
              </w:rPr>
              <w:t>Sol</w:t>
            </w:r>
          </w:p>
          <w:p w14:paraId="6C8100D2" w14:textId="2C5894C8" w:rsidR="00EE6B7C" w:rsidRPr="00111217" w:rsidRDefault="0054678D" w:rsidP="00111217">
            <w:pPr>
              <w:jc w:val="left"/>
              <w:rPr>
                <w:rFonts w:eastAsia="Times New Roman"/>
                <w:b/>
                <w:bCs/>
                <w:color w:val="000000" w:themeColor="text1"/>
                <w:sz w:val="22"/>
              </w:rPr>
            </w:pPr>
            <w:r w:rsidRPr="00111217">
              <w:rPr>
                <w:rFonts w:eastAsia="Times New Roman"/>
                <w:bCs/>
                <w:color w:val="000000" w:themeColor="text1"/>
                <w:sz w:val="22"/>
              </w:rPr>
              <w:t>Sağ</w:t>
            </w:r>
          </w:p>
        </w:tc>
        <w:tc>
          <w:tcPr>
            <w:tcW w:w="1140" w:type="pct"/>
            <w:tcBorders>
              <w:top w:val="single" w:sz="4" w:space="0" w:color="auto"/>
              <w:left w:val="single" w:sz="4" w:space="0" w:color="auto"/>
              <w:bottom w:val="single" w:sz="4" w:space="0" w:color="auto"/>
              <w:right w:val="single" w:sz="4" w:space="0" w:color="auto"/>
            </w:tcBorders>
            <w:noWrap/>
            <w:vAlign w:val="center"/>
          </w:tcPr>
          <w:p w14:paraId="2C097652" w14:textId="77777777" w:rsidR="00EE6B7C" w:rsidRPr="00111217" w:rsidRDefault="00EE6B7C" w:rsidP="00111217">
            <w:pPr>
              <w:ind w:firstLine="0"/>
              <w:rPr>
                <w:rFonts w:eastAsia="Times New Roman"/>
                <w:color w:val="000000" w:themeColor="text1"/>
                <w:sz w:val="22"/>
              </w:rPr>
            </w:pPr>
          </w:p>
          <w:p w14:paraId="020CEF5A"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0</w:t>
            </w:r>
          </w:p>
          <w:p w14:paraId="4546EEB7"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3 (27.3%)</w:t>
            </w:r>
          </w:p>
          <w:p w14:paraId="4D40C3F7"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5 (45.5%)</w:t>
            </w:r>
          </w:p>
          <w:p w14:paraId="48AAB146"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3 (27.3%)</w:t>
            </w:r>
          </w:p>
        </w:tc>
        <w:tc>
          <w:tcPr>
            <w:tcW w:w="1094" w:type="pct"/>
            <w:tcBorders>
              <w:top w:val="single" w:sz="4" w:space="0" w:color="auto"/>
              <w:left w:val="single" w:sz="4" w:space="0" w:color="auto"/>
              <w:bottom w:val="single" w:sz="4" w:space="0" w:color="auto"/>
              <w:right w:val="single" w:sz="4" w:space="0" w:color="auto"/>
            </w:tcBorders>
            <w:noWrap/>
            <w:vAlign w:val="center"/>
          </w:tcPr>
          <w:p w14:paraId="575F9C66" w14:textId="77777777" w:rsidR="00EE6B7C" w:rsidRPr="00111217" w:rsidRDefault="00EE6B7C" w:rsidP="00111217">
            <w:pPr>
              <w:jc w:val="center"/>
              <w:rPr>
                <w:rFonts w:eastAsia="Times New Roman"/>
                <w:color w:val="000000" w:themeColor="text1"/>
                <w:sz w:val="22"/>
              </w:rPr>
            </w:pPr>
          </w:p>
          <w:p w14:paraId="09FFEA52"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1 (7.7%)</w:t>
            </w:r>
          </w:p>
          <w:p w14:paraId="39CD0988"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6 (46.2%)</w:t>
            </w:r>
          </w:p>
          <w:p w14:paraId="09F373A9"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1 (7.7%)</w:t>
            </w:r>
          </w:p>
          <w:p w14:paraId="5BA8D849" w14:textId="77777777" w:rsidR="00EE6B7C" w:rsidRPr="00111217" w:rsidRDefault="00EE6B7C" w:rsidP="00111217">
            <w:pPr>
              <w:ind w:firstLine="0"/>
              <w:rPr>
                <w:rFonts w:eastAsia="Times New Roman"/>
                <w:color w:val="000000" w:themeColor="text1"/>
                <w:sz w:val="22"/>
              </w:rPr>
            </w:pPr>
            <w:r w:rsidRPr="00111217">
              <w:rPr>
                <w:rFonts w:eastAsia="Times New Roman"/>
                <w:color w:val="000000" w:themeColor="text1"/>
                <w:sz w:val="22"/>
              </w:rPr>
              <w:t>5 (38.5%)</w:t>
            </w:r>
          </w:p>
        </w:tc>
        <w:tc>
          <w:tcPr>
            <w:tcW w:w="1014" w:type="pct"/>
            <w:tcBorders>
              <w:top w:val="single" w:sz="4" w:space="0" w:color="auto"/>
              <w:left w:val="single" w:sz="4" w:space="0" w:color="auto"/>
              <w:bottom w:val="single" w:sz="4" w:space="0" w:color="auto"/>
              <w:right w:val="single" w:sz="4" w:space="0" w:color="auto"/>
            </w:tcBorders>
            <w:vAlign w:val="center"/>
            <w:hideMark/>
          </w:tcPr>
          <w:p w14:paraId="777E43B4" w14:textId="77777777" w:rsidR="00EE6B7C" w:rsidRPr="00111217" w:rsidRDefault="00EE6B7C" w:rsidP="00111217">
            <w:pPr>
              <w:ind w:right="360" w:firstLine="0"/>
              <w:rPr>
                <w:rFonts w:eastAsia="Times New Roman"/>
                <w:color w:val="000000" w:themeColor="text1"/>
                <w:sz w:val="22"/>
              </w:rPr>
            </w:pPr>
            <w:r w:rsidRPr="00111217">
              <w:rPr>
                <w:rFonts w:eastAsia="Times New Roman"/>
                <w:color w:val="000000" w:themeColor="text1"/>
                <w:sz w:val="22"/>
              </w:rPr>
              <w:t>0.16</w:t>
            </w:r>
          </w:p>
        </w:tc>
      </w:tr>
      <w:tr w:rsidR="00EE6B7C" w14:paraId="3AE099CB" w14:textId="77777777" w:rsidTr="00111217">
        <w:trPr>
          <w:trHeight w:val="282"/>
        </w:trPr>
        <w:tc>
          <w:tcPr>
            <w:tcW w:w="1752" w:type="pct"/>
            <w:tcBorders>
              <w:top w:val="single" w:sz="4" w:space="0" w:color="auto"/>
              <w:left w:val="single" w:sz="4" w:space="0" w:color="auto"/>
              <w:bottom w:val="single" w:sz="4" w:space="0" w:color="auto"/>
              <w:right w:val="single" w:sz="4" w:space="0" w:color="auto"/>
            </w:tcBorders>
            <w:vAlign w:val="center"/>
            <w:hideMark/>
          </w:tcPr>
          <w:p w14:paraId="6E8C0523" w14:textId="741B20CD" w:rsidR="00EE6B7C" w:rsidRPr="00111217" w:rsidRDefault="0054678D" w:rsidP="00111217">
            <w:pPr>
              <w:ind w:firstLine="0"/>
              <w:jc w:val="left"/>
              <w:rPr>
                <w:rFonts w:eastAsia="Times New Roman"/>
                <w:b/>
                <w:bCs/>
                <w:color w:val="000000" w:themeColor="text1"/>
                <w:sz w:val="22"/>
              </w:rPr>
            </w:pPr>
            <w:r w:rsidRPr="00111217">
              <w:rPr>
                <w:rFonts w:eastAsia="Times New Roman"/>
                <w:b/>
                <w:bCs/>
                <w:color w:val="000000" w:themeColor="text1"/>
                <w:sz w:val="22"/>
              </w:rPr>
              <w:t>Mortalite</w:t>
            </w:r>
          </w:p>
        </w:tc>
        <w:tc>
          <w:tcPr>
            <w:tcW w:w="1140" w:type="pct"/>
            <w:tcBorders>
              <w:top w:val="single" w:sz="4" w:space="0" w:color="auto"/>
              <w:left w:val="single" w:sz="4" w:space="0" w:color="auto"/>
              <w:bottom w:val="single" w:sz="4" w:space="0" w:color="auto"/>
              <w:right w:val="single" w:sz="4" w:space="0" w:color="auto"/>
            </w:tcBorders>
            <w:noWrap/>
            <w:hideMark/>
          </w:tcPr>
          <w:p w14:paraId="0CAE0B0D" w14:textId="77777777" w:rsidR="00EE6B7C" w:rsidRPr="00111217" w:rsidRDefault="00EE6B7C" w:rsidP="00111217">
            <w:pPr>
              <w:ind w:firstLine="0"/>
              <w:rPr>
                <w:rFonts w:eastAsia="Times New Roman"/>
                <w:b/>
                <w:bCs/>
                <w:color w:val="000000" w:themeColor="text1"/>
                <w:sz w:val="22"/>
              </w:rPr>
            </w:pPr>
            <w:r w:rsidRPr="00111217">
              <w:rPr>
                <w:color w:val="000000" w:themeColor="text1"/>
                <w:sz w:val="22"/>
              </w:rPr>
              <w:t>1 (9.1%)</w:t>
            </w:r>
          </w:p>
        </w:tc>
        <w:tc>
          <w:tcPr>
            <w:tcW w:w="1094" w:type="pct"/>
            <w:tcBorders>
              <w:top w:val="single" w:sz="4" w:space="0" w:color="auto"/>
              <w:left w:val="single" w:sz="4" w:space="0" w:color="auto"/>
              <w:bottom w:val="single" w:sz="4" w:space="0" w:color="auto"/>
              <w:right w:val="single" w:sz="4" w:space="0" w:color="auto"/>
            </w:tcBorders>
            <w:noWrap/>
            <w:hideMark/>
          </w:tcPr>
          <w:p w14:paraId="0BEAA49A" w14:textId="77777777" w:rsidR="00EE6B7C" w:rsidRPr="00111217" w:rsidRDefault="00EE6B7C" w:rsidP="00111217">
            <w:pPr>
              <w:ind w:firstLine="0"/>
              <w:rPr>
                <w:rFonts w:eastAsia="Times New Roman"/>
                <w:b/>
                <w:bCs/>
                <w:color w:val="000000" w:themeColor="text1"/>
                <w:sz w:val="22"/>
              </w:rPr>
            </w:pPr>
            <w:r w:rsidRPr="00111217">
              <w:rPr>
                <w:color w:val="000000" w:themeColor="text1"/>
                <w:sz w:val="22"/>
              </w:rPr>
              <w:t>7 (53.8%)</w:t>
            </w:r>
          </w:p>
        </w:tc>
        <w:tc>
          <w:tcPr>
            <w:tcW w:w="1014" w:type="pct"/>
            <w:tcBorders>
              <w:top w:val="single" w:sz="4" w:space="0" w:color="auto"/>
              <w:left w:val="single" w:sz="4" w:space="0" w:color="auto"/>
              <w:bottom w:val="single" w:sz="4" w:space="0" w:color="auto"/>
              <w:right w:val="single" w:sz="4" w:space="0" w:color="auto"/>
            </w:tcBorders>
            <w:vAlign w:val="center"/>
            <w:hideMark/>
          </w:tcPr>
          <w:p w14:paraId="43B9683C" w14:textId="77777777" w:rsidR="00EE6B7C" w:rsidRPr="00111217" w:rsidRDefault="00EE6B7C" w:rsidP="00111217">
            <w:pPr>
              <w:ind w:right="360" w:firstLine="0"/>
              <w:rPr>
                <w:rFonts w:eastAsia="Times New Roman"/>
                <w:b/>
                <w:color w:val="000000" w:themeColor="text1"/>
                <w:sz w:val="22"/>
              </w:rPr>
            </w:pPr>
            <w:r w:rsidRPr="00111217">
              <w:rPr>
                <w:rFonts w:eastAsia="Times New Roman"/>
                <w:b/>
                <w:color w:val="000000" w:themeColor="text1"/>
                <w:sz w:val="22"/>
              </w:rPr>
              <w:t>0.02</w:t>
            </w:r>
          </w:p>
        </w:tc>
      </w:tr>
      <w:tr w:rsidR="00EE6B7C" w14:paraId="292D1035" w14:textId="77777777" w:rsidTr="00111217">
        <w:trPr>
          <w:trHeight w:val="282"/>
        </w:trPr>
        <w:tc>
          <w:tcPr>
            <w:tcW w:w="1752" w:type="pct"/>
            <w:tcBorders>
              <w:top w:val="single" w:sz="4" w:space="0" w:color="auto"/>
              <w:left w:val="single" w:sz="4" w:space="0" w:color="auto"/>
              <w:bottom w:val="single" w:sz="4" w:space="0" w:color="auto"/>
              <w:right w:val="single" w:sz="4" w:space="0" w:color="auto"/>
            </w:tcBorders>
            <w:vAlign w:val="center"/>
            <w:hideMark/>
          </w:tcPr>
          <w:p w14:paraId="5578CBF9" w14:textId="078113CF" w:rsidR="00EE6B7C" w:rsidRPr="00111217" w:rsidRDefault="0054678D" w:rsidP="00111217">
            <w:pPr>
              <w:ind w:firstLine="0"/>
              <w:jc w:val="left"/>
              <w:rPr>
                <w:rFonts w:eastAsia="Times New Roman"/>
                <w:b/>
                <w:bCs/>
                <w:color w:val="000000" w:themeColor="text1"/>
                <w:sz w:val="22"/>
              </w:rPr>
            </w:pPr>
            <w:r w:rsidRPr="00111217">
              <w:rPr>
                <w:rFonts w:eastAsia="Times New Roman"/>
                <w:b/>
                <w:bCs/>
                <w:color w:val="000000" w:themeColor="text1"/>
                <w:sz w:val="22"/>
              </w:rPr>
              <w:t xml:space="preserve">Retransplantasyon </w:t>
            </w:r>
          </w:p>
        </w:tc>
        <w:tc>
          <w:tcPr>
            <w:tcW w:w="1140" w:type="pct"/>
            <w:tcBorders>
              <w:top w:val="single" w:sz="4" w:space="0" w:color="auto"/>
              <w:left w:val="single" w:sz="4" w:space="0" w:color="auto"/>
              <w:bottom w:val="single" w:sz="4" w:space="0" w:color="auto"/>
              <w:right w:val="single" w:sz="4" w:space="0" w:color="auto"/>
            </w:tcBorders>
            <w:noWrap/>
            <w:hideMark/>
          </w:tcPr>
          <w:p w14:paraId="1635F763" w14:textId="77777777" w:rsidR="00EE6B7C" w:rsidRPr="00111217" w:rsidRDefault="00EE6B7C" w:rsidP="00111217">
            <w:pPr>
              <w:ind w:firstLine="0"/>
              <w:rPr>
                <w:color w:val="000000" w:themeColor="text1"/>
                <w:sz w:val="22"/>
              </w:rPr>
            </w:pPr>
            <w:r w:rsidRPr="00111217">
              <w:rPr>
                <w:color w:val="000000" w:themeColor="text1"/>
                <w:sz w:val="22"/>
              </w:rPr>
              <w:t>1 (9.1%)</w:t>
            </w:r>
          </w:p>
        </w:tc>
        <w:tc>
          <w:tcPr>
            <w:tcW w:w="1094" w:type="pct"/>
            <w:tcBorders>
              <w:top w:val="single" w:sz="4" w:space="0" w:color="auto"/>
              <w:left w:val="single" w:sz="4" w:space="0" w:color="auto"/>
              <w:bottom w:val="single" w:sz="4" w:space="0" w:color="auto"/>
              <w:right w:val="single" w:sz="4" w:space="0" w:color="auto"/>
            </w:tcBorders>
            <w:noWrap/>
            <w:hideMark/>
          </w:tcPr>
          <w:p w14:paraId="2F6041F8" w14:textId="77777777" w:rsidR="00EE6B7C" w:rsidRPr="00111217" w:rsidRDefault="00EE6B7C" w:rsidP="00111217">
            <w:pPr>
              <w:ind w:firstLine="0"/>
              <w:rPr>
                <w:color w:val="000000" w:themeColor="text1"/>
                <w:sz w:val="22"/>
              </w:rPr>
            </w:pPr>
            <w:r w:rsidRPr="00111217">
              <w:rPr>
                <w:color w:val="000000" w:themeColor="text1"/>
                <w:sz w:val="22"/>
              </w:rPr>
              <w:t>5 (38.5%)</w:t>
            </w:r>
          </w:p>
        </w:tc>
        <w:tc>
          <w:tcPr>
            <w:tcW w:w="1014" w:type="pct"/>
            <w:tcBorders>
              <w:top w:val="single" w:sz="4" w:space="0" w:color="auto"/>
              <w:left w:val="single" w:sz="4" w:space="0" w:color="auto"/>
              <w:bottom w:val="single" w:sz="4" w:space="0" w:color="auto"/>
              <w:right w:val="single" w:sz="4" w:space="0" w:color="auto"/>
            </w:tcBorders>
            <w:vAlign w:val="center"/>
          </w:tcPr>
          <w:p w14:paraId="1ACF98FE" w14:textId="77777777" w:rsidR="00EE6B7C" w:rsidRPr="00111217" w:rsidRDefault="00EE6B7C" w:rsidP="00111217">
            <w:pPr>
              <w:ind w:right="360" w:firstLine="0"/>
              <w:rPr>
                <w:rFonts w:eastAsia="Times New Roman"/>
                <w:bCs/>
                <w:color w:val="000000" w:themeColor="text1"/>
                <w:sz w:val="22"/>
              </w:rPr>
            </w:pPr>
            <w:r w:rsidRPr="00111217">
              <w:rPr>
                <w:rFonts w:eastAsia="Times New Roman"/>
                <w:bCs/>
                <w:color w:val="000000" w:themeColor="text1"/>
                <w:sz w:val="22"/>
              </w:rPr>
              <w:t>0.09</w:t>
            </w:r>
          </w:p>
        </w:tc>
      </w:tr>
      <w:tr w:rsidR="00EE6B7C" w14:paraId="58FD949C" w14:textId="77777777" w:rsidTr="00111217">
        <w:trPr>
          <w:trHeight w:val="282"/>
        </w:trPr>
        <w:tc>
          <w:tcPr>
            <w:tcW w:w="1752" w:type="pct"/>
            <w:tcBorders>
              <w:top w:val="single" w:sz="4" w:space="0" w:color="auto"/>
              <w:left w:val="single" w:sz="4" w:space="0" w:color="auto"/>
              <w:bottom w:val="single" w:sz="4" w:space="0" w:color="auto"/>
              <w:right w:val="single" w:sz="4" w:space="0" w:color="auto"/>
            </w:tcBorders>
            <w:vAlign w:val="center"/>
            <w:hideMark/>
          </w:tcPr>
          <w:p w14:paraId="40D3831E" w14:textId="522DB33D" w:rsidR="00EE6B7C" w:rsidRPr="00111217" w:rsidRDefault="0054678D" w:rsidP="00111217">
            <w:pPr>
              <w:ind w:firstLine="0"/>
              <w:jc w:val="left"/>
              <w:rPr>
                <w:rFonts w:eastAsia="Times New Roman"/>
                <w:b/>
                <w:bCs/>
                <w:color w:val="000000" w:themeColor="text1"/>
                <w:sz w:val="22"/>
              </w:rPr>
            </w:pPr>
            <w:r w:rsidRPr="00111217">
              <w:rPr>
                <w:rFonts w:eastAsia="Times New Roman"/>
                <w:b/>
                <w:bCs/>
                <w:color w:val="000000" w:themeColor="text1"/>
                <w:sz w:val="22"/>
              </w:rPr>
              <w:t>Sepsis etiyolojileri</w:t>
            </w:r>
          </w:p>
          <w:p w14:paraId="0D59E2C7" w14:textId="04177613" w:rsidR="00EE6B7C" w:rsidRPr="00111217" w:rsidRDefault="0054678D" w:rsidP="00111217">
            <w:pPr>
              <w:jc w:val="left"/>
              <w:rPr>
                <w:rFonts w:eastAsia="Times New Roman"/>
                <w:bCs/>
                <w:color w:val="000000" w:themeColor="text1"/>
                <w:sz w:val="22"/>
              </w:rPr>
            </w:pPr>
            <w:r w:rsidRPr="00111217">
              <w:rPr>
                <w:rFonts w:eastAsia="Times New Roman"/>
                <w:bCs/>
                <w:color w:val="000000" w:themeColor="text1"/>
                <w:sz w:val="22"/>
              </w:rPr>
              <w:t>Hat</w:t>
            </w:r>
          </w:p>
          <w:p w14:paraId="4C5DADB4" w14:textId="31AAD94E" w:rsidR="00EE6B7C" w:rsidRPr="00111217" w:rsidRDefault="0054678D" w:rsidP="00111217">
            <w:pPr>
              <w:jc w:val="left"/>
              <w:rPr>
                <w:rFonts w:eastAsia="Times New Roman"/>
                <w:bCs/>
                <w:color w:val="000000" w:themeColor="text1"/>
                <w:sz w:val="22"/>
              </w:rPr>
            </w:pPr>
            <w:r w:rsidRPr="00111217">
              <w:rPr>
                <w:rFonts w:eastAsia="Times New Roman"/>
                <w:bCs/>
                <w:color w:val="000000" w:themeColor="text1"/>
                <w:sz w:val="22"/>
              </w:rPr>
              <w:t>Bili</w:t>
            </w:r>
            <w:r w:rsidR="00F41A53">
              <w:rPr>
                <w:rFonts w:eastAsia="Times New Roman"/>
                <w:bCs/>
                <w:color w:val="000000" w:themeColor="text1"/>
                <w:sz w:val="22"/>
              </w:rPr>
              <w:t>y</w:t>
            </w:r>
            <w:r w:rsidRPr="00111217">
              <w:rPr>
                <w:rFonts w:eastAsia="Times New Roman"/>
                <w:bCs/>
                <w:color w:val="000000" w:themeColor="text1"/>
                <w:sz w:val="22"/>
              </w:rPr>
              <w:t xml:space="preserve">er kaçak </w:t>
            </w:r>
          </w:p>
          <w:p w14:paraId="40DDC22F" w14:textId="763B6209" w:rsidR="00EE6B7C" w:rsidRPr="00111217" w:rsidRDefault="0054678D" w:rsidP="00111217">
            <w:pPr>
              <w:jc w:val="left"/>
              <w:rPr>
                <w:rFonts w:eastAsia="Times New Roman"/>
                <w:bCs/>
                <w:color w:val="000000" w:themeColor="text1"/>
                <w:sz w:val="22"/>
              </w:rPr>
            </w:pPr>
            <w:r w:rsidRPr="00111217">
              <w:rPr>
                <w:rFonts w:eastAsia="Times New Roman"/>
                <w:bCs/>
                <w:color w:val="000000" w:themeColor="text1"/>
                <w:sz w:val="22"/>
              </w:rPr>
              <w:t>Perforasyon</w:t>
            </w:r>
          </w:p>
          <w:p w14:paraId="166F5F37" w14:textId="59B64404" w:rsidR="00EE6B7C" w:rsidRPr="00111217" w:rsidRDefault="0054678D" w:rsidP="00111217">
            <w:pPr>
              <w:jc w:val="left"/>
              <w:rPr>
                <w:rFonts w:eastAsia="Times New Roman"/>
                <w:b/>
                <w:bCs/>
                <w:color w:val="000000" w:themeColor="text1"/>
                <w:sz w:val="22"/>
              </w:rPr>
            </w:pPr>
            <w:r w:rsidRPr="00111217">
              <w:rPr>
                <w:rFonts w:eastAsia="Times New Roman"/>
                <w:bCs/>
                <w:color w:val="000000" w:themeColor="text1"/>
                <w:sz w:val="22"/>
              </w:rPr>
              <w:t>Diğer</w:t>
            </w:r>
            <w:r w:rsidR="00EE6B7C" w:rsidRPr="00111217">
              <w:rPr>
                <w:rFonts w:eastAsia="Times New Roman"/>
                <w:b/>
                <w:bCs/>
                <w:color w:val="000000" w:themeColor="text1"/>
                <w:sz w:val="22"/>
              </w:rPr>
              <w:t xml:space="preserve"> </w:t>
            </w:r>
          </w:p>
        </w:tc>
        <w:tc>
          <w:tcPr>
            <w:tcW w:w="1140" w:type="pct"/>
            <w:tcBorders>
              <w:top w:val="single" w:sz="4" w:space="0" w:color="auto"/>
              <w:left w:val="single" w:sz="4" w:space="0" w:color="auto"/>
              <w:bottom w:val="single" w:sz="4" w:space="0" w:color="auto"/>
              <w:right w:val="single" w:sz="4" w:space="0" w:color="auto"/>
            </w:tcBorders>
            <w:noWrap/>
          </w:tcPr>
          <w:p w14:paraId="49A48829" w14:textId="77777777" w:rsidR="00EE6B7C" w:rsidRPr="00111217" w:rsidRDefault="00EE6B7C" w:rsidP="00111217">
            <w:pPr>
              <w:jc w:val="center"/>
              <w:rPr>
                <w:color w:val="000000" w:themeColor="text1"/>
                <w:sz w:val="22"/>
              </w:rPr>
            </w:pPr>
          </w:p>
          <w:p w14:paraId="48087C2A" w14:textId="77777777" w:rsidR="00EE6B7C" w:rsidRPr="00111217" w:rsidRDefault="00EE6B7C" w:rsidP="00111217">
            <w:pPr>
              <w:ind w:firstLine="0"/>
              <w:rPr>
                <w:color w:val="000000" w:themeColor="text1"/>
                <w:sz w:val="22"/>
              </w:rPr>
            </w:pPr>
            <w:r w:rsidRPr="00111217">
              <w:rPr>
                <w:color w:val="000000" w:themeColor="text1"/>
                <w:sz w:val="22"/>
              </w:rPr>
              <w:t>1 (9.1%)</w:t>
            </w:r>
          </w:p>
          <w:p w14:paraId="089026FC" w14:textId="77777777" w:rsidR="00EE6B7C" w:rsidRPr="00111217" w:rsidRDefault="00EE6B7C" w:rsidP="00111217">
            <w:pPr>
              <w:ind w:firstLine="0"/>
              <w:rPr>
                <w:color w:val="000000" w:themeColor="text1"/>
                <w:sz w:val="22"/>
              </w:rPr>
            </w:pPr>
            <w:r w:rsidRPr="00111217">
              <w:rPr>
                <w:color w:val="000000" w:themeColor="text1"/>
                <w:sz w:val="22"/>
              </w:rPr>
              <w:t>4 (36.4%)</w:t>
            </w:r>
          </w:p>
          <w:p w14:paraId="1D344F37" w14:textId="77777777" w:rsidR="00EE6B7C" w:rsidRPr="00111217" w:rsidRDefault="00EE6B7C" w:rsidP="00111217">
            <w:pPr>
              <w:ind w:firstLine="0"/>
              <w:rPr>
                <w:color w:val="000000" w:themeColor="text1"/>
                <w:sz w:val="22"/>
              </w:rPr>
            </w:pPr>
            <w:r w:rsidRPr="00111217">
              <w:rPr>
                <w:color w:val="000000" w:themeColor="text1"/>
                <w:sz w:val="22"/>
              </w:rPr>
              <w:t>2 (18.2%)</w:t>
            </w:r>
          </w:p>
          <w:p w14:paraId="7ACFB743" w14:textId="77777777" w:rsidR="00EE6B7C" w:rsidRPr="00111217" w:rsidRDefault="00EE6B7C" w:rsidP="00111217">
            <w:pPr>
              <w:ind w:firstLine="0"/>
              <w:rPr>
                <w:color w:val="000000" w:themeColor="text1"/>
                <w:sz w:val="22"/>
              </w:rPr>
            </w:pPr>
            <w:r w:rsidRPr="00111217">
              <w:rPr>
                <w:color w:val="000000" w:themeColor="text1"/>
                <w:sz w:val="22"/>
              </w:rPr>
              <w:t>4 (36.4%)</w:t>
            </w:r>
          </w:p>
        </w:tc>
        <w:tc>
          <w:tcPr>
            <w:tcW w:w="1094" w:type="pct"/>
            <w:tcBorders>
              <w:top w:val="single" w:sz="4" w:space="0" w:color="auto"/>
              <w:left w:val="single" w:sz="4" w:space="0" w:color="auto"/>
              <w:bottom w:val="single" w:sz="4" w:space="0" w:color="auto"/>
              <w:right w:val="single" w:sz="4" w:space="0" w:color="auto"/>
            </w:tcBorders>
            <w:noWrap/>
          </w:tcPr>
          <w:p w14:paraId="0DB66DB8" w14:textId="77777777" w:rsidR="00EE6B7C" w:rsidRPr="00111217" w:rsidRDefault="00EE6B7C" w:rsidP="00111217">
            <w:pPr>
              <w:jc w:val="right"/>
              <w:rPr>
                <w:color w:val="000000" w:themeColor="text1"/>
                <w:sz w:val="22"/>
              </w:rPr>
            </w:pPr>
          </w:p>
          <w:p w14:paraId="2A9BE05F" w14:textId="77777777" w:rsidR="00EE6B7C" w:rsidRPr="00111217" w:rsidRDefault="00EE6B7C" w:rsidP="00111217">
            <w:pPr>
              <w:ind w:firstLine="0"/>
              <w:rPr>
                <w:color w:val="000000" w:themeColor="text1"/>
                <w:sz w:val="22"/>
              </w:rPr>
            </w:pPr>
            <w:r w:rsidRPr="00111217">
              <w:rPr>
                <w:color w:val="000000" w:themeColor="text1"/>
                <w:sz w:val="22"/>
              </w:rPr>
              <w:t>5 (38.5%)</w:t>
            </w:r>
          </w:p>
          <w:p w14:paraId="38FB5CA7" w14:textId="77777777" w:rsidR="00EE6B7C" w:rsidRPr="00111217" w:rsidRDefault="00EE6B7C" w:rsidP="00111217">
            <w:pPr>
              <w:ind w:firstLine="0"/>
              <w:rPr>
                <w:color w:val="000000" w:themeColor="text1"/>
                <w:sz w:val="22"/>
              </w:rPr>
            </w:pPr>
            <w:r w:rsidRPr="00111217">
              <w:rPr>
                <w:color w:val="000000" w:themeColor="text1"/>
                <w:sz w:val="22"/>
              </w:rPr>
              <w:t>4 (30.8%)</w:t>
            </w:r>
          </w:p>
          <w:p w14:paraId="1E1E38BA" w14:textId="77777777" w:rsidR="00EE6B7C" w:rsidRPr="00111217" w:rsidRDefault="00EE6B7C" w:rsidP="00111217">
            <w:pPr>
              <w:ind w:firstLine="0"/>
              <w:rPr>
                <w:color w:val="000000" w:themeColor="text1"/>
                <w:sz w:val="22"/>
              </w:rPr>
            </w:pPr>
            <w:r w:rsidRPr="00111217">
              <w:rPr>
                <w:color w:val="000000" w:themeColor="text1"/>
                <w:sz w:val="22"/>
              </w:rPr>
              <w:t>4 (30.8%)</w:t>
            </w:r>
          </w:p>
          <w:p w14:paraId="08730B0B" w14:textId="77777777" w:rsidR="00EE6B7C" w:rsidRPr="00111217" w:rsidRDefault="00EE6B7C" w:rsidP="00111217">
            <w:pPr>
              <w:ind w:firstLine="0"/>
              <w:rPr>
                <w:color w:val="000000" w:themeColor="text1"/>
                <w:sz w:val="22"/>
              </w:rPr>
            </w:pPr>
            <w:r w:rsidRPr="00111217">
              <w:rPr>
                <w:color w:val="000000" w:themeColor="text1"/>
                <w:sz w:val="22"/>
              </w:rPr>
              <w:t xml:space="preserve">0 </w:t>
            </w:r>
          </w:p>
        </w:tc>
        <w:tc>
          <w:tcPr>
            <w:tcW w:w="1014" w:type="pct"/>
            <w:tcBorders>
              <w:top w:val="single" w:sz="4" w:space="0" w:color="auto"/>
              <w:left w:val="single" w:sz="4" w:space="0" w:color="auto"/>
              <w:bottom w:val="single" w:sz="4" w:space="0" w:color="auto"/>
              <w:right w:val="single" w:sz="4" w:space="0" w:color="auto"/>
            </w:tcBorders>
            <w:vAlign w:val="center"/>
          </w:tcPr>
          <w:p w14:paraId="407B65CF" w14:textId="77777777" w:rsidR="00EE6B7C" w:rsidRPr="00111217" w:rsidRDefault="00EE6B7C" w:rsidP="00111217">
            <w:pPr>
              <w:ind w:right="360" w:firstLine="0"/>
              <w:rPr>
                <w:rFonts w:eastAsia="Times New Roman"/>
                <w:color w:val="000000" w:themeColor="text1"/>
                <w:sz w:val="22"/>
              </w:rPr>
            </w:pPr>
            <w:r w:rsidRPr="00111217">
              <w:rPr>
                <w:rFonts w:eastAsia="Times New Roman"/>
                <w:color w:val="000000" w:themeColor="text1"/>
                <w:sz w:val="22"/>
              </w:rPr>
              <w:t>0.06</w:t>
            </w:r>
          </w:p>
        </w:tc>
      </w:tr>
      <w:tr w:rsidR="00EE6B7C" w14:paraId="270B978F" w14:textId="77777777" w:rsidTr="00111217">
        <w:trPr>
          <w:trHeight w:val="282"/>
        </w:trPr>
        <w:tc>
          <w:tcPr>
            <w:tcW w:w="1752" w:type="pct"/>
            <w:tcBorders>
              <w:top w:val="single" w:sz="4" w:space="0" w:color="auto"/>
              <w:left w:val="single" w:sz="4" w:space="0" w:color="auto"/>
              <w:bottom w:val="single" w:sz="4" w:space="0" w:color="auto"/>
              <w:right w:val="single" w:sz="4" w:space="0" w:color="auto"/>
            </w:tcBorders>
            <w:vAlign w:val="center"/>
            <w:hideMark/>
          </w:tcPr>
          <w:p w14:paraId="133AF96B" w14:textId="29CF6042" w:rsidR="00EE6B7C" w:rsidRPr="00111217" w:rsidRDefault="0054678D" w:rsidP="00111217">
            <w:pPr>
              <w:ind w:firstLine="0"/>
              <w:jc w:val="left"/>
              <w:rPr>
                <w:rFonts w:eastAsia="Times New Roman"/>
                <w:b/>
                <w:bCs/>
                <w:color w:val="000000" w:themeColor="text1"/>
                <w:sz w:val="22"/>
              </w:rPr>
            </w:pPr>
            <w:r w:rsidRPr="00111217">
              <w:rPr>
                <w:rFonts w:eastAsia="Times New Roman"/>
                <w:b/>
                <w:bCs/>
                <w:color w:val="000000" w:themeColor="text1"/>
                <w:sz w:val="22"/>
              </w:rPr>
              <w:t>Plazmaferez</w:t>
            </w:r>
          </w:p>
        </w:tc>
        <w:tc>
          <w:tcPr>
            <w:tcW w:w="1140" w:type="pct"/>
            <w:tcBorders>
              <w:top w:val="single" w:sz="4" w:space="0" w:color="auto"/>
              <w:left w:val="single" w:sz="4" w:space="0" w:color="auto"/>
              <w:bottom w:val="single" w:sz="4" w:space="0" w:color="auto"/>
              <w:right w:val="single" w:sz="4" w:space="0" w:color="auto"/>
            </w:tcBorders>
            <w:noWrap/>
            <w:hideMark/>
          </w:tcPr>
          <w:p w14:paraId="587F420E" w14:textId="77777777" w:rsidR="00EE6B7C" w:rsidRPr="00111217" w:rsidRDefault="00EE6B7C" w:rsidP="00111217">
            <w:pPr>
              <w:ind w:firstLine="0"/>
              <w:rPr>
                <w:color w:val="000000" w:themeColor="text1"/>
                <w:sz w:val="22"/>
              </w:rPr>
            </w:pPr>
            <w:r w:rsidRPr="00111217">
              <w:rPr>
                <w:color w:val="000000" w:themeColor="text1"/>
                <w:sz w:val="22"/>
              </w:rPr>
              <w:t>7 (63.6%)</w:t>
            </w:r>
          </w:p>
        </w:tc>
        <w:tc>
          <w:tcPr>
            <w:tcW w:w="1094" w:type="pct"/>
            <w:tcBorders>
              <w:top w:val="single" w:sz="4" w:space="0" w:color="auto"/>
              <w:left w:val="single" w:sz="4" w:space="0" w:color="auto"/>
              <w:bottom w:val="single" w:sz="4" w:space="0" w:color="auto"/>
              <w:right w:val="single" w:sz="4" w:space="0" w:color="auto"/>
            </w:tcBorders>
            <w:noWrap/>
            <w:hideMark/>
          </w:tcPr>
          <w:p w14:paraId="2515F82B" w14:textId="77777777" w:rsidR="00EE6B7C" w:rsidRPr="00111217" w:rsidRDefault="00EE6B7C" w:rsidP="00111217">
            <w:pPr>
              <w:ind w:firstLine="0"/>
              <w:rPr>
                <w:color w:val="000000" w:themeColor="text1"/>
                <w:sz w:val="22"/>
              </w:rPr>
            </w:pPr>
            <w:r w:rsidRPr="00111217">
              <w:rPr>
                <w:color w:val="000000" w:themeColor="text1"/>
                <w:sz w:val="22"/>
              </w:rPr>
              <w:t>7 (53.8%)</w:t>
            </w:r>
          </w:p>
        </w:tc>
        <w:tc>
          <w:tcPr>
            <w:tcW w:w="1014" w:type="pct"/>
            <w:tcBorders>
              <w:top w:val="single" w:sz="4" w:space="0" w:color="auto"/>
              <w:left w:val="single" w:sz="4" w:space="0" w:color="auto"/>
              <w:bottom w:val="single" w:sz="4" w:space="0" w:color="auto"/>
              <w:right w:val="single" w:sz="4" w:space="0" w:color="auto"/>
            </w:tcBorders>
            <w:vAlign w:val="center"/>
          </w:tcPr>
          <w:p w14:paraId="56DE3E5F" w14:textId="77777777" w:rsidR="00EE6B7C" w:rsidRPr="00111217" w:rsidRDefault="00EE6B7C" w:rsidP="00111217">
            <w:pPr>
              <w:ind w:right="360" w:firstLine="0"/>
              <w:rPr>
                <w:rFonts w:eastAsia="Times New Roman"/>
                <w:color w:val="000000" w:themeColor="text1"/>
                <w:sz w:val="22"/>
              </w:rPr>
            </w:pPr>
            <w:r w:rsidRPr="00111217">
              <w:rPr>
                <w:rFonts w:eastAsia="Times New Roman"/>
                <w:color w:val="000000" w:themeColor="text1"/>
                <w:sz w:val="22"/>
              </w:rPr>
              <w:t>0.62</w:t>
            </w:r>
          </w:p>
        </w:tc>
      </w:tr>
      <w:tr w:rsidR="00EE6B7C" w14:paraId="12FB8AC3" w14:textId="77777777" w:rsidTr="00111217">
        <w:trPr>
          <w:trHeight w:val="282"/>
        </w:trPr>
        <w:tc>
          <w:tcPr>
            <w:tcW w:w="1752" w:type="pct"/>
            <w:tcBorders>
              <w:top w:val="single" w:sz="4" w:space="0" w:color="auto"/>
              <w:left w:val="single" w:sz="4" w:space="0" w:color="auto"/>
              <w:bottom w:val="single" w:sz="4" w:space="0" w:color="auto"/>
              <w:right w:val="single" w:sz="4" w:space="0" w:color="auto"/>
            </w:tcBorders>
            <w:vAlign w:val="center"/>
            <w:hideMark/>
          </w:tcPr>
          <w:p w14:paraId="02C202A6" w14:textId="77777777" w:rsidR="00EE6B7C" w:rsidRPr="00111217" w:rsidRDefault="00EE6B7C" w:rsidP="00111217">
            <w:pPr>
              <w:ind w:firstLine="0"/>
              <w:rPr>
                <w:rFonts w:eastAsia="Times New Roman"/>
                <w:b/>
                <w:bCs/>
                <w:color w:val="000000" w:themeColor="text1"/>
                <w:sz w:val="22"/>
              </w:rPr>
            </w:pPr>
            <w:r w:rsidRPr="00111217">
              <w:rPr>
                <w:rFonts w:eastAsia="Times New Roman"/>
                <w:b/>
                <w:bCs/>
                <w:color w:val="000000" w:themeColor="text1"/>
                <w:sz w:val="22"/>
              </w:rPr>
              <w:t>MARS</w:t>
            </w:r>
          </w:p>
        </w:tc>
        <w:tc>
          <w:tcPr>
            <w:tcW w:w="1140" w:type="pct"/>
            <w:tcBorders>
              <w:top w:val="single" w:sz="4" w:space="0" w:color="auto"/>
              <w:left w:val="single" w:sz="4" w:space="0" w:color="auto"/>
              <w:bottom w:val="single" w:sz="4" w:space="0" w:color="auto"/>
              <w:right w:val="single" w:sz="4" w:space="0" w:color="auto"/>
            </w:tcBorders>
            <w:noWrap/>
            <w:hideMark/>
          </w:tcPr>
          <w:p w14:paraId="67EC4889" w14:textId="77777777" w:rsidR="00EE6B7C" w:rsidRPr="00111217" w:rsidRDefault="00EE6B7C" w:rsidP="00111217">
            <w:pPr>
              <w:ind w:firstLine="0"/>
              <w:rPr>
                <w:color w:val="000000" w:themeColor="text1"/>
                <w:sz w:val="22"/>
              </w:rPr>
            </w:pPr>
            <w:r w:rsidRPr="00111217">
              <w:rPr>
                <w:color w:val="000000" w:themeColor="text1"/>
                <w:sz w:val="22"/>
              </w:rPr>
              <w:t>2 (18.2%)</w:t>
            </w:r>
          </w:p>
        </w:tc>
        <w:tc>
          <w:tcPr>
            <w:tcW w:w="1094" w:type="pct"/>
            <w:tcBorders>
              <w:top w:val="single" w:sz="4" w:space="0" w:color="auto"/>
              <w:left w:val="single" w:sz="4" w:space="0" w:color="auto"/>
              <w:bottom w:val="single" w:sz="4" w:space="0" w:color="auto"/>
              <w:right w:val="single" w:sz="4" w:space="0" w:color="auto"/>
            </w:tcBorders>
            <w:noWrap/>
            <w:hideMark/>
          </w:tcPr>
          <w:p w14:paraId="6EA78C61" w14:textId="77777777" w:rsidR="00EE6B7C" w:rsidRPr="00111217" w:rsidRDefault="00EE6B7C" w:rsidP="00111217">
            <w:pPr>
              <w:ind w:firstLine="0"/>
              <w:rPr>
                <w:color w:val="000000" w:themeColor="text1"/>
                <w:sz w:val="22"/>
              </w:rPr>
            </w:pPr>
            <w:r w:rsidRPr="00111217">
              <w:rPr>
                <w:color w:val="000000" w:themeColor="text1"/>
                <w:sz w:val="22"/>
              </w:rPr>
              <w:t>3 (23.1%)</w:t>
            </w:r>
          </w:p>
        </w:tc>
        <w:tc>
          <w:tcPr>
            <w:tcW w:w="1014" w:type="pct"/>
            <w:tcBorders>
              <w:top w:val="single" w:sz="4" w:space="0" w:color="auto"/>
              <w:left w:val="single" w:sz="4" w:space="0" w:color="auto"/>
              <w:bottom w:val="single" w:sz="4" w:space="0" w:color="auto"/>
              <w:right w:val="single" w:sz="4" w:space="0" w:color="auto"/>
            </w:tcBorders>
            <w:vAlign w:val="center"/>
          </w:tcPr>
          <w:p w14:paraId="2CC16990" w14:textId="77777777" w:rsidR="00EE6B7C" w:rsidRPr="00111217" w:rsidRDefault="00EE6B7C" w:rsidP="00111217">
            <w:pPr>
              <w:ind w:right="360" w:firstLine="0"/>
              <w:rPr>
                <w:rFonts w:eastAsia="Times New Roman"/>
                <w:color w:val="000000" w:themeColor="text1"/>
                <w:sz w:val="22"/>
              </w:rPr>
            </w:pPr>
            <w:r w:rsidRPr="00111217">
              <w:rPr>
                <w:rFonts w:eastAsia="Times New Roman"/>
                <w:color w:val="000000" w:themeColor="text1"/>
                <w:sz w:val="22"/>
              </w:rPr>
              <w:t>0.76</w:t>
            </w:r>
          </w:p>
        </w:tc>
      </w:tr>
      <w:tr w:rsidR="00EE6B7C" w14:paraId="6F188EA9" w14:textId="77777777" w:rsidTr="00111217">
        <w:trPr>
          <w:trHeight w:val="282"/>
        </w:trPr>
        <w:tc>
          <w:tcPr>
            <w:tcW w:w="1752" w:type="pct"/>
            <w:tcBorders>
              <w:top w:val="single" w:sz="4" w:space="0" w:color="auto"/>
              <w:left w:val="single" w:sz="4" w:space="0" w:color="auto"/>
              <w:bottom w:val="single" w:sz="4" w:space="0" w:color="auto"/>
              <w:right w:val="single" w:sz="4" w:space="0" w:color="auto"/>
            </w:tcBorders>
            <w:vAlign w:val="center"/>
            <w:hideMark/>
          </w:tcPr>
          <w:p w14:paraId="57071F53" w14:textId="77777777" w:rsidR="00EE6B7C" w:rsidRPr="00111217" w:rsidRDefault="00EE6B7C" w:rsidP="00111217">
            <w:pPr>
              <w:spacing w:line="360" w:lineRule="auto"/>
              <w:ind w:firstLine="0"/>
              <w:rPr>
                <w:rFonts w:eastAsia="Times New Roman"/>
                <w:b/>
                <w:bCs/>
                <w:color w:val="000000" w:themeColor="text1"/>
                <w:sz w:val="22"/>
              </w:rPr>
            </w:pPr>
            <w:r w:rsidRPr="00111217">
              <w:rPr>
                <w:rFonts w:eastAsia="Times New Roman"/>
                <w:b/>
                <w:bCs/>
                <w:color w:val="000000" w:themeColor="text1"/>
                <w:sz w:val="22"/>
              </w:rPr>
              <w:t>TAKİP SÜRELERİ (GÜN)</w:t>
            </w:r>
          </w:p>
        </w:tc>
        <w:tc>
          <w:tcPr>
            <w:tcW w:w="1140" w:type="pct"/>
            <w:tcBorders>
              <w:top w:val="single" w:sz="4" w:space="0" w:color="auto"/>
              <w:left w:val="single" w:sz="4" w:space="0" w:color="auto"/>
              <w:bottom w:val="single" w:sz="4" w:space="0" w:color="auto"/>
              <w:right w:val="single" w:sz="4" w:space="0" w:color="auto"/>
            </w:tcBorders>
            <w:noWrap/>
            <w:hideMark/>
          </w:tcPr>
          <w:p w14:paraId="47498DBE" w14:textId="77777777" w:rsidR="00EE6B7C" w:rsidRPr="00111217" w:rsidRDefault="00EE6B7C" w:rsidP="00111217">
            <w:pPr>
              <w:spacing w:line="360" w:lineRule="auto"/>
              <w:ind w:firstLine="0"/>
              <w:rPr>
                <w:color w:val="000000" w:themeColor="text1"/>
                <w:sz w:val="22"/>
              </w:rPr>
            </w:pPr>
            <w:r w:rsidRPr="00111217">
              <w:rPr>
                <w:color w:val="000000" w:themeColor="text1"/>
                <w:sz w:val="22"/>
              </w:rPr>
              <w:t>218 (2-444)</w:t>
            </w:r>
          </w:p>
        </w:tc>
        <w:tc>
          <w:tcPr>
            <w:tcW w:w="1094" w:type="pct"/>
            <w:tcBorders>
              <w:top w:val="single" w:sz="4" w:space="0" w:color="auto"/>
              <w:left w:val="single" w:sz="4" w:space="0" w:color="auto"/>
              <w:bottom w:val="single" w:sz="4" w:space="0" w:color="auto"/>
              <w:right w:val="single" w:sz="4" w:space="0" w:color="auto"/>
            </w:tcBorders>
            <w:noWrap/>
            <w:hideMark/>
          </w:tcPr>
          <w:p w14:paraId="6BCF7CA6" w14:textId="77777777" w:rsidR="00EE6B7C" w:rsidRPr="00111217" w:rsidRDefault="00EE6B7C" w:rsidP="00111217">
            <w:pPr>
              <w:spacing w:line="360" w:lineRule="auto"/>
              <w:ind w:firstLine="0"/>
              <w:rPr>
                <w:color w:val="000000" w:themeColor="text1"/>
                <w:sz w:val="22"/>
              </w:rPr>
            </w:pPr>
            <w:r w:rsidRPr="00111217">
              <w:rPr>
                <w:color w:val="000000" w:themeColor="text1"/>
                <w:sz w:val="22"/>
              </w:rPr>
              <w:t>73 (1-350)</w:t>
            </w:r>
          </w:p>
        </w:tc>
        <w:tc>
          <w:tcPr>
            <w:tcW w:w="1014" w:type="pct"/>
            <w:tcBorders>
              <w:top w:val="single" w:sz="4" w:space="0" w:color="auto"/>
              <w:left w:val="single" w:sz="4" w:space="0" w:color="auto"/>
              <w:bottom w:val="single" w:sz="4" w:space="0" w:color="auto"/>
              <w:right w:val="single" w:sz="4" w:space="0" w:color="auto"/>
            </w:tcBorders>
            <w:vAlign w:val="center"/>
          </w:tcPr>
          <w:p w14:paraId="11EDE937" w14:textId="77777777" w:rsidR="00EE6B7C" w:rsidRPr="00111217" w:rsidRDefault="00EE6B7C" w:rsidP="00111217">
            <w:pPr>
              <w:spacing w:line="360" w:lineRule="auto"/>
              <w:ind w:right="360" w:firstLine="0"/>
              <w:rPr>
                <w:rFonts w:eastAsia="Times New Roman"/>
                <w:color w:val="000000" w:themeColor="text1"/>
                <w:sz w:val="22"/>
              </w:rPr>
            </w:pPr>
            <w:r w:rsidRPr="00111217">
              <w:rPr>
                <w:rFonts w:eastAsia="Times New Roman"/>
                <w:color w:val="000000" w:themeColor="text1"/>
                <w:sz w:val="22"/>
              </w:rPr>
              <w:t>0.07</w:t>
            </w:r>
          </w:p>
        </w:tc>
      </w:tr>
    </w:tbl>
    <w:p w14:paraId="3B3ED5A5" w14:textId="4E2F6589" w:rsidR="0054678D" w:rsidRDefault="0054678D" w:rsidP="0054678D">
      <w:pPr>
        <w:ind w:firstLine="0"/>
        <w:jc w:val="left"/>
      </w:pPr>
      <w:r>
        <w:t>(Pearson chi square test), (n= hasta sayısı)</w:t>
      </w:r>
    </w:p>
    <w:p w14:paraId="5EF1204E" w14:textId="77777777" w:rsidR="00111217" w:rsidRDefault="00111217" w:rsidP="00111217">
      <w:pPr>
        <w:spacing w:after="160"/>
        <w:ind w:firstLine="0"/>
      </w:pPr>
    </w:p>
    <w:p w14:paraId="637134F6" w14:textId="77777777" w:rsidR="00111217" w:rsidRDefault="00111217" w:rsidP="00111217">
      <w:pPr>
        <w:spacing w:after="160"/>
        <w:ind w:firstLine="0"/>
      </w:pPr>
    </w:p>
    <w:p w14:paraId="3386214D" w14:textId="77777777" w:rsidR="00BB5FD7" w:rsidRDefault="00BB5FD7" w:rsidP="00111217"/>
    <w:p w14:paraId="3BB8550C" w14:textId="1B39F01E" w:rsidR="00BB5FD7" w:rsidRDefault="00BB5FD7" w:rsidP="00BB5FD7">
      <w:r>
        <w:lastRenderedPageBreak/>
        <w:t>Üçüncü</w:t>
      </w:r>
      <w:r w:rsidRPr="003A4709">
        <w:t xml:space="preserve"> gruptaki</w:t>
      </w:r>
      <w:r>
        <w:t xml:space="preserve"> hastaların ölçülen biyokimyasal ve sitokin parametreleri</w:t>
      </w:r>
      <w:r w:rsidR="002E303A">
        <w:t>ne</w:t>
      </w:r>
      <w:r>
        <w:t xml:space="preserve"> göre kadın ve erkek </w:t>
      </w:r>
      <w:r w:rsidR="002E303A">
        <w:t>hastalar</w:t>
      </w:r>
      <w:r>
        <w:t xml:space="preserve"> kıyaslandığında</w:t>
      </w:r>
      <w:r w:rsidR="002E303A">
        <w:t>; erkeklerde</w:t>
      </w:r>
      <w:r w:rsidRPr="002E303A">
        <w:rPr>
          <w:b/>
        </w:rPr>
        <w:t xml:space="preserve"> </w:t>
      </w:r>
      <w:r w:rsidR="002E303A" w:rsidRPr="002E303A">
        <w:rPr>
          <w:b/>
        </w:rPr>
        <w:t>AST, ALT, LDH, amonyak, laktat</w:t>
      </w:r>
      <w:r w:rsidRPr="00BB5FD7">
        <w:rPr>
          <w:color w:val="FF0000"/>
        </w:rPr>
        <w:t xml:space="preserve"> </w:t>
      </w:r>
      <w:r w:rsidR="002E303A" w:rsidRPr="002E303A">
        <w:t xml:space="preserve">değerleri </w:t>
      </w:r>
      <w:r w:rsidRPr="002E303A">
        <w:t>ista</w:t>
      </w:r>
      <w:r>
        <w:t xml:space="preserve">tistiksel </w:t>
      </w:r>
      <w:r w:rsidR="002E303A" w:rsidRPr="002E303A">
        <w:t xml:space="preserve">açısından </w:t>
      </w:r>
      <w:r>
        <w:t xml:space="preserve">anlamlı </w:t>
      </w:r>
      <w:r w:rsidR="002E303A">
        <w:t>olarak yüksek</w:t>
      </w:r>
      <w:r>
        <w:t xml:space="preserve"> izlen</w:t>
      </w:r>
      <w:r w:rsidR="002E303A">
        <w:t>irken; kadınlarda ise</w:t>
      </w:r>
      <w:r>
        <w:t xml:space="preserve"> </w:t>
      </w:r>
      <w:r w:rsidR="002E303A" w:rsidRPr="00246740">
        <w:rPr>
          <w:b/>
        </w:rPr>
        <w:t>fibrinojen</w:t>
      </w:r>
      <w:r w:rsidR="002E303A" w:rsidRPr="002E303A">
        <w:t xml:space="preserve"> değeri </w:t>
      </w:r>
      <w:r w:rsidR="00246740" w:rsidRPr="002E303A">
        <w:t>ista</w:t>
      </w:r>
      <w:r w:rsidR="00246740">
        <w:t xml:space="preserve">tistiksel olarak </w:t>
      </w:r>
      <w:r w:rsidR="002E303A" w:rsidRPr="002E303A">
        <w:t>yüksek bulundu.</w:t>
      </w:r>
    </w:p>
    <w:p w14:paraId="03132F5B" w14:textId="762A6B29" w:rsidR="00BB5FD7" w:rsidRDefault="002E303A" w:rsidP="00BB5FD7">
      <w:r>
        <w:t xml:space="preserve">Kadın </w:t>
      </w:r>
      <w:r w:rsidR="00BB5FD7" w:rsidRPr="00FC51F8">
        <w:t>hast</w:t>
      </w:r>
      <w:r w:rsidR="00BB5FD7">
        <w:t>a</w:t>
      </w:r>
      <w:r w:rsidR="00BB5FD7" w:rsidRPr="00FC51F8">
        <w:t>lar</w:t>
      </w:r>
      <w:r>
        <w:t>da erkeklere kıyasla</w:t>
      </w:r>
      <w:r w:rsidR="00BB5FD7" w:rsidRPr="00FC51F8">
        <w:t xml:space="preserve"> fibrinojen</w:t>
      </w:r>
      <w:r w:rsidR="00BB5FD7">
        <w:t xml:space="preserve"> değeri istatistiksel açıdan anlamlı </w:t>
      </w:r>
      <w:r w:rsidR="00BB5FD7" w:rsidRPr="00FC51F8">
        <w:t>olarak</w:t>
      </w:r>
      <w:r w:rsidR="00BB5FD7">
        <w:t xml:space="preserve"> </w:t>
      </w:r>
      <w:r>
        <w:t>yüksek</w:t>
      </w:r>
      <w:r w:rsidR="00BB5FD7">
        <w:t xml:space="preserve"> bulundu </w:t>
      </w:r>
      <w:r w:rsidR="00BB5FD7" w:rsidRPr="00FC51F8">
        <w:t>(</w:t>
      </w:r>
      <w:r>
        <w:t>218</w:t>
      </w:r>
      <w:r w:rsidR="00BB5FD7" w:rsidRPr="00FC51F8">
        <w:t xml:space="preserve"> </w:t>
      </w:r>
      <w:r w:rsidR="00BB5FD7">
        <w:t>vs</w:t>
      </w:r>
      <w:r w:rsidR="00BB5FD7" w:rsidRPr="00FC51F8">
        <w:t xml:space="preserve"> </w:t>
      </w:r>
      <w:r>
        <w:t>1</w:t>
      </w:r>
      <w:r w:rsidR="00BB5FD7" w:rsidRPr="00FC51F8">
        <w:t>2</w:t>
      </w:r>
      <w:r>
        <w:t>6</w:t>
      </w:r>
      <w:r w:rsidR="00BB5FD7" w:rsidRPr="00FC51F8">
        <w:t xml:space="preserve"> </w:t>
      </w:r>
      <w:r w:rsidR="00742672">
        <w:t>mg/dl</w:t>
      </w:r>
      <w:r w:rsidR="00BB5FD7" w:rsidRPr="00FC51F8">
        <w:t>; p=0.0</w:t>
      </w:r>
      <w:r>
        <w:t>46</w:t>
      </w:r>
      <w:r w:rsidR="00BB5FD7" w:rsidRPr="00FC51F8">
        <w:t>)</w:t>
      </w:r>
      <w:r w:rsidR="00BB5FD7">
        <w:t>.</w:t>
      </w:r>
    </w:p>
    <w:p w14:paraId="62CDCB3F" w14:textId="4BCB5C59" w:rsidR="002E303A" w:rsidRDefault="002E303A" w:rsidP="002E303A">
      <w:r>
        <w:t xml:space="preserve">Erkek </w:t>
      </w:r>
      <w:r w:rsidRPr="00FC51F8">
        <w:t>hast</w:t>
      </w:r>
      <w:r>
        <w:t>a</w:t>
      </w:r>
      <w:r w:rsidRPr="00FC51F8">
        <w:t>lar</w:t>
      </w:r>
      <w:r>
        <w:t>da kadınlara kıyasla</w:t>
      </w:r>
      <w:r w:rsidRPr="00FC51F8">
        <w:t xml:space="preserve"> </w:t>
      </w:r>
      <w:r>
        <w:t xml:space="preserve">AST değeri istatistiksel açıdan anlamlı </w:t>
      </w:r>
      <w:r w:rsidRPr="00FC51F8">
        <w:t>olarak</w:t>
      </w:r>
      <w:r>
        <w:t xml:space="preserve"> yüksek bulundu </w:t>
      </w:r>
      <w:r w:rsidRPr="00FC51F8">
        <w:t>(</w:t>
      </w:r>
      <w:r>
        <w:t>126</w:t>
      </w:r>
      <w:r w:rsidRPr="00FC51F8">
        <w:t xml:space="preserve"> </w:t>
      </w:r>
      <w:r>
        <w:t>vs</w:t>
      </w:r>
      <w:r w:rsidRPr="00FC51F8">
        <w:t xml:space="preserve"> </w:t>
      </w:r>
      <w:r>
        <w:t>40</w:t>
      </w:r>
      <w:r w:rsidRPr="00FC51F8">
        <w:t xml:space="preserve"> </w:t>
      </w:r>
      <w:r w:rsidR="00246740" w:rsidRPr="00246740">
        <w:t>IU/L</w:t>
      </w:r>
      <w:r w:rsidRPr="00FC51F8">
        <w:t>; p=0.0</w:t>
      </w:r>
      <w:r>
        <w:t>12</w:t>
      </w:r>
      <w:r w:rsidRPr="00FC51F8">
        <w:t>)</w:t>
      </w:r>
      <w:r>
        <w:t>.</w:t>
      </w:r>
    </w:p>
    <w:p w14:paraId="25F395B3" w14:textId="6A2A2F23" w:rsidR="002E303A" w:rsidRDefault="002E303A" w:rsidP="002E303A">
      <w:r>
        <w:t xml:space="preserve">Erkek </w:t>
      </w:r>
      <w:r w:rsidRPr="00FC51F8">
        <w:t>hast</w:t>
      </w:r>
      <w:r>
        <w:t>a</w:t>
      </w:r>
      <w:r w:rsidRPr="00FC51F8">
        <w:t>lar</w:t>
      </w:r>
      <w:r>
        <w:t>da kadınlara kıyasla</w:t>
      </w:r>
      <w:r w:rsidRPr="00FC51F8">
        <w:t xml:space="preserve"> </w:t>
      </w:r>
      <w:r>
        <w:t xml:space="preserve">ALT değeri istatistiksel açıdan anlamlı </w:t>
      </w:r>
      <w:r w:rsidRPr="00FC51F8">
        <w:t>olarak</w:t>
      </w:r>
      <w:r>
        <w:t xml:space="preserve"> yüksek bulundu </w:t>
      </w:r>
      <w:r w:rsidRPr="00FC51F8">
        <w:t>(</w:t>
      </w:r>
      <w:r>
        <w:t>146</w:t>
      </w:r>
      <w:r w:rsidRPr="00FC51F8">
        <w:t xml:space="preserve"> </w:t>
      </w:r>
      <w:r>
        <w:t>vs</w:t>
      </w:r>
      <w:r w:rsidRPr="00FC51F8">
        <w:t xml:space="preserve"> </w:t>
      </w:r>
      <w:r>
        <w:t>32</w:t>
      </w:r>
      <w:r w:rsidRPr="00FC51F8">
        <w:t xml:space="preserve"> </w:t>
      </w:r>
      <w:r w:rsidR="00246740" w:rsidRPr="00246740">
        <w:t>IU/L</w:t>
      </w:r>
      <w:r w:rsidRPr="00FC51F8">
        <w:t>; p=0.0</w:t>
      </w:r>
      <w:r>
        <w:t>16</w:t>
      </w:r>
      <w:r w:rsidRPr="00FC51F8">
        <w:t>)</w:t>
      </w:r>
      <w:r>
        <w:t>.</w:t>
      </w:r>
    </w:p>
    <w:p w14:paraId="2AE66151" w14:textId="48DAE349" w:rsidR="002E303A" w:rsidRDefault="002E303A" w:rsidP="002E303A">
      <w:r>
        <w:t xml:space="preserve">Erkek </w:t>
      </w:r>
      <w:r w:rsidRPr="00FC51F8">
        <w:t>hast</w:t>
      </w:r>
      <w:r>
        <w:t>a</w:t>
      </w:r>
      <w:r w:rsidRPr="00FC51F8">
        <w:t>lar</w:t>
      </w:r>
      <w:r>
        <w:t>da kadınlara kıyasla</w:t>
      </w:r>
      <w:r w:rsidRPr="00FC51F8">
        <w:t xml:space="preserve"> </w:t>
      </w:r>
      <w:r>
        <w:t xml:space="preserve">LDH değeri istatistiksel açıdan anlamlı </w:t>
      </w:r>
      <w:r w:rsidRPr="00FC51F8">
        <w:t>olarak</w:t>
      </w:r>
      <w:r>
        <w:t xml:space="preserve"> yüksek bulundu </w:t>
      </w:r>
      <w:r w:rsidRPr="00FC51F8">
        <w:t>(</w:t>
      </w:r>
      <w:r>
        <w:t>493</w:t>
      </w:r>
      <w:r w:rsidRPr="00FC51F8">
        <w:t xml:space="preserve"> </w:t>
      </w:r>
      <w:r>
        <w:t>vs</w:t>
      </w:r>
      <w:r w:rsidRPr="00FC51F8">
        <w:t xml:space="preserve"> </w:t>
      </w:r>
      <w:r>
        <w:t>289</w:t>
      </w:r>
      <w:r w:rsidRPr="00FC51F8">
        <w:t xml:space="preserve"> </w:t>
      </w:r>
      <w:r w:rsidR="00246740" w:rsidRPr="00246740">
        <w:t>U/L</w:t>
      </w:r>
      <w:r w:rsidRPr="00FC51F8">
        <w:t>; p=0.0</w:t>
      </w:r>
      <w:r>
        <w:t>14</w:t>
      </w:r>
      <w:r w:rsidRPr="00FC51F8">
        <w:t>)</w:t>
      </w:r>
      <w:r>
        <w:t>.</w:t>
      </w:r>
    </w:p>
    <w:p w14:paraId="04A81447" w14:textId="6ECE8A0A" w:rsidR="00246740" w:rsidRDefault="00246740" w:rsidP="00246740">
      <w:r>
        <w:t xml:space="preserve">Erkek </w:t>
      </w:r>
      <w:r w:rsidRPr="00FC51F8">
        <w:t>hast</w:t>
      </w:r>
      <w:r>
        <w:t>a</w:t>
      </w:r>
      <w:r w:rsidRPr="00FC51F8">
        <w:t>lar</w:t>
      </w:r>
      <w:r>
        <w:t>da kadınlara kıyasla</w:t>
      </w:r>
      <w:r w:rsidRPr="00FC51F8">
        <w:t xml:space="preserve"> </w:t>
      </w:r>
      <w:r>
        <w:t xml:space="preserve">amonyak değeri istatistiksel açıdan anlamlı </w:t>
      </w:r>
      <w:r w:rsidRPr="00FC51F8">
        <w:t>olarak</w:t>
      </w:r>
      <w:r>
        <w:t xml:space="preserve"> yüksek bulundu </w:t>
      </w:r>
      <w:r w:rsidRPr="00FC51F8">
        <w:t>(</w:t>
      </w:r>
      <w:r>
        <w:t>120</w:t>
      </w:r>
      <w:r w:rsidRPr="00FC51F8">
        <w:t xml:space="preserve"> </w:t>
      </w:r>
      <w:r>
        <w:t>vs</w:t>
      </w:r>
      <w:r w:rsidRPr="00FC51F8">
        <w:t xml:space="preserve"> </w:t>
      </w:r>
      <w:r>
        <w:t>60</w:t>
      </w:r>
      <w:r w:rsidRPr="00FC51F8">
        <w:t xml:space="preserve"> </w:t>
      </w:r>
      <w:r w:rsidRPr="00246740">
        <w:t>ug/dL</w:t>
      </w:r>
      <w:r w:rsidRPr="00FC51F8">
        <w:t>; p=0.0</w:t>
      </w:r>
      <w:r>
        <w:t>3</w:t>
      </w:r>
      <w:r w:rsidRPr="00FC51F8">
        <w:t>)</w:t>
      </w:r>
      <w:r>
        <w:t>.</w:t>
      </w:r>
    </w:p>
    <w:p w14:paraId="12DE64E9" w14:textId="7C32C651" w:rsidR="00246740" w:rsidRDefault="00246740" w:rsidP="00246740">
      <w:r>
        <w:t xml:space="preserve">Erkek </w:t>
      </w:r>
      <w:r w:rsidRPr="00FC51F8">
        <w:t>hast</w:t>
      </w:r>
      <w:r>
        <w:t>a</w:t>
      </w:r>
      <w:r w:rsidRPr="00FC51F8">
        <w:t>lar</w:t>
      </w:r>
      <w:r>
        <w:t>da kadınlara kıyasla</w:t>
      </w:r>
      <w:r w:rsidRPr="00FC51F8">
        <w:t xml:space="preserve"> </w:t>
      </w:r>
      <w:r>
        <w:t xml:space="preserve">laktat değeri istatistiksel açıdan anlamlı </w:t>
      </w:r>
      <w:r w:rsidRPr="00FC51F8">
        <w:t>olarak</w:t>
      </w:r>
      <w:r>
        <w:t xml:space="preserve"> yüksek bulundu </w:t>
      </w:r>
      <w:r w:rsidRPr="00FC51F8">
        <w:t>(</w:t>
      </w:r>
      <w:r>
        <w:t>2.3</w:t>
      </w:r>
      <w:r w:rsidRPr="00FC51F8">
        <w:t xml:space="preserve"> </w:t>
      </w:r>
      <w:r>
        <w:t>vs</w:t>
      </w:r>
      <w:r w:rsidRPr="00FC51F8">
        <w:t xml:space="preserve"> </w:t>
      </w:r>
      <w:r>
        <w:t>1.6</w:t>
      </w:r>
      <w:r w:rsidRPr="00FC51F8">
        <w:t xml:space="preserve"> </w:t>
      </w:r>
      <w:r w:rsidRPr="00246740">
        <w:t>mmol/L</w:t>
      </w:r>
      <w:r w:rsidRPr="00FC51F8">
        <w:t>; p=0.0</w:t>
      </w:r>
      <w:r>
        <w:t>3</w:t>
      </w:r>
      <w:r w:rsidRPr="00FC51F8">
        <w:t>)</w:t>
      </w:r>
      <w:r>
        <w:t>.</w:t>
      </w:r>
    </w:p>
    <w:p w14:paraId="44CF6442" w14:textId="275E4199" w:rsidR="00BB5FD7" w:rsidRDefault="00BB5FD7" w:rsidP="00BB5FD7">
      <w:r>
        <w:t xml:space="preserve">Diğer laboratuvar verileri açısından istatistiksel olarak anlamlı bir farklılık görülmedi. </w:t>
      </w:r>
      <w:r w:rsidRPr="00BD49E0">
        <w:t>IFN-</w:t>
      </w:r>
      <w:r w:rsidRPr="009103C3">
        <w:t xml:space="preserve"> </w:t>
      </w:r>
      <w:r w:rsidRPr="007974E9">
        <w:t>γ</w:t>
      </w:r>
      <w:r>
        <w:t xml:space="preserve"> test sonucu ise çalışılan </w:t>
      </w:r>
      <w:r w:rsidRPr="00BD49E0">
        <w:t>hiçbir</w:t>
      </w:r>
      <w:r>
        <w:t xml:space="preserve"> hastada ELISA kit limitleri içinde ölçülmedi. </w:t>
      </w:r>
    </w:p>
    <w:p w14:paraId="63461C9B" w14:textId="1A0B7499" w:rsidR="00BB5FD7" w:rsidRDefault="00246740" w:rsidP="00BB5FD7">
      <w:r>
        <w:t>Üçüncü</w:t>
      </w:r>
      <w:r w:rsidR="00BB5FD7" w:rsidRPr="003A4709">
        <w:t xml:space="preserve"> gruptaki</w:t>
      </w:r>
      <w:r w:rsidR="00BB5FD7">
        <w:t xml:space="preserve"> hastaların ölçülen biyokimyasal ve sitokin parametreleri sonucuna göre “mortalite gelişen ve yaşayan” hastalar arasındaki ilişki Tablo 4.</w:t>
      </w:r>
      <w:r>
        <w:t>1</w:t>
      </w:r>
      <w:r w:rsidR="00280E3A">
        <w:t>3 te</w:t>
      </w:r>
      <w:r w:rsidR="00BB5FD7">
        <w:t xml:space="preserve"> gösterilmiştir. </w:t>
      </w:r>
    </w:p>
    <w:p w14:paraId="13C454FB" w14:textId="77777777" w:rsidR="00BB5FD7" w:rsidRDefault="00BB5FD7" w:rsidP="003A4709">
      <w:pPr>
        <w:pStyle w:val="ResimYazs"/>
        <w:rPr>
          <w:color w:val="000000" w:themeColor="text1"/>
          <w:szCs w:val="24"/>
        </w:rPr>
      </w:pPr>
    </w:p>
    <w:p w14:paraId="5531CCE2" w14:textId="179B1520" w:rsidR="00111217" w:rsidRDefault="00111217" w:rsidP="00111217">
      <w:r>
        <w:t xml:space="preserve"> </w:t>
      </w:r>
    </w:p>
    <w:p w14:paraId="58961570" w14:textId="77777777" w:rsidR="00111217" w:rsidRDefault="00111217">
      <w:pPr>
        <w:spacing w:after="160"/>
        <w:ind w:left="680" w:firstLine="0"/>
      </w:pPr>
      <w:r>
        <w:br w:type="page"/>
      </w:r>
    </w:p>
    <w:p w14:paraId="242C528A" w14:textId="30D7C80C" w:rsidR="00BF5C17" w:rsidRPr="00111217" w:rsidRDefault="002E3FEA" w:rsidP="00111217">
      <w:pPr>
        <w:spacing w:after="160"/>
        <w:ind w:firstLine="0"/>
      </w:pPr>
      <w:bookmarkStart w:id="565" w:name="_Toc49818028"/>
      <w:r w:rsidRPr="00111217">
        <w:rPr>
          <w:szCs w:val="24"/>
        </w:rPr>
        <w:lastRenderedPageBreak/>
        <w:t xml:space="preserve">Tablo </w:t>
      </w:r>
      <w:r w:rsidR="002B4CBE">
        <w:rPr>
          <w:szCs w:val="24"/>
        </w:rPr>
        <w:fldChar w:fldCharType="begin"/>
      </w:r>
      <w:r w:rsidR="002B4CBE">
        <w:rPr>
          <w:szCs w:val="24"/>
        </w:rPr>
        <w:instrText xml:space="preserve"> STYLEREF 1 \s </w:instrText>
      </w:r>
      <w:r w:rsidR="002B4CBE">
        <w:rPr>
          <w:szCs w:val="24"/>
        </w:rPr>
        <w:fldChar w:fldCharType="separate"/>
      </w:r>
      <w:r w:rsidR="00063441">
        <w:rPr>
          <w:noProof/>
          <w:szCs w:val="24"/>
        </w:rPr>
        <w:t>4</w:t>
      </w:r>
      <w:r w:rsidR="002B4CBE">
        <w:rPr>
          <w:szCs w:val="24"/>
        </w:rPr>
        <w:fldChar w:fldCharType="end"/>
      </w:r>
      <w:r w:rsidR="002B4CBE">
        <w:rPr>
          <w:szCs w:val="24"/>
        </w:rPr>
        <w:t>.</w:t>
      </w:r>
      <w:r w:rsidR="002B4CBE">
        <w:rPr>
          <w:szCs w:val="24"/>
        </w:rPr>
        <w:fldChar w:fldCharType="begin"/>
      </w:r>
      <w:r w:rsidR="002B4CBE">
        <w:rPr>
          <w:szCs w:val="24"/>
        </w:rPr>
        <w:instrText xml:space="preserve"> SEQ Tablo \* ARABIC \s 1 </w:instrText>
      </w:r>
      <w:r w:rsidR="002B4CBE">
        <w:rPr>
          <w:szCs w:val="24"/>
        </w:rPr>
        <w:fldChar w:fldCharType="separate"/>
      </w:r>
      <w:r w:rsidR="00063441">
        <w:rPr>
          <w:noProof/>
          <w:szCs w:val="24"/>
        </w:rPr>
        <w:t>13</w:t>
      </w:r>
      <w:r w:rsidR="002B4CBE">
        <w:rPr>
          <w:szCs w:val="24"/>
        </w:rPr>
        <w:fldChar w:fldCharType="end"/>
      </w:r>
      <w:r w:rsidRPr="00111217">
        <w:rPr>
          <w:szCs w:val="24"/>
        </w:rPr>
        <w:t xml:space="preserve"> Cinsiyet </w:t>
      </w:r>
      <w:r w:rsidR="001110C5">
        <w:rPr>
          <w:szCs w:val="24"/>
        </w:rPr>
        <w:t>v</w:t>
      </w:r>
      <w:r w:rsidR="001110C5" w:rsidRPr="00111217">
        <w:rPr>
          <w:szCs w:val="24"/>
        </w:rPr>
        <w:t xml:space="preserve">e Laboratuvar Değerleri Arasındaki İlişki </w:t>
      </w:r>
      <w:r w:rsidRPr="00111217">
        <w:rPr>
          <w:szCs w:val="24"/>
        </w:rPr>
        <w:t>(grup-3)</w:t>
      </w:r>
      <w:bookmarkEnd w:id="565"/>
    </w:p>
    <w:tbl>
      <w:tblPr>
        <w:tblStyle w:val="TabloKlavuzu"/>
        <w:tblW w:w="8945" w:type="dxa"/>
        <w:jc w:val="center"/>
        <w:tblLook w:val="04A0" w:firstRow="1" w:lastRow="0" w:firstColumn="1" w:lastColumn="0" w:noHBand="0" w:noVBand="1"/>
      </w:tblPr>
      <w:tblGrid>
        <w:gridCol w:w="2569"/>
        <w:gridCol w:w="2273"/>
        <w:gridCol w:w="2354"/>
        <w:gridCol w:w="1749"/>
      </w:tblGrid>
      <w:tr w:rsidR="00BF5C17" w:rsidRPr="00BD49E0" w14:paraId="665104A5" w14:textId="77777777" w:rsidTr="00111217">
        <w:trPr>
          <w:trHeight w:val="491"/>
          <w:jc w:val="center"/>
        </w:trPr>
        <w:tc>
          <w:tcPr>
            <w:tcW w:w="2569" w:type="dxa"/>
            <w:vMerge w:val="restart"/>
          </w:tcPr>
          <w:p w14:paraId="1884AAAD" w14:textId="77777777" w:rsidR="00BF5C17" w:rsidRPr="00BD49E0" w:rsidRDefault="00BF5C17" w:rsidP="002E3FEA">
            <w:pPr>
              <w:spacing w:line="360" w:lineRule="auto"/>
              <w:rPr>
                <w:rFonts w:eastAsia="Times New Roman"/>
                <w:b/>
                <w:bCs/>
                <w:sz w:val="20"/>
                <w:szCs w:val="20"/>
              </w:rPr>
            </w:pPr>
          </w:p>
        </w:tc>
        <w:tc>
          <w:tcPr>
            <w:tcW w:w="4627" w:type="dxa"/>
            <w:gridSpan w:val="2"/>
          </w:tcPr>
          <w:p w14:paraId="34947728" w14:textId="5704A19D" w:rsidR="00BF5C17" w:rsidRPr="00BD49E0" w:rsidRDefault="00BF5C17" w:rsidP="002E3FEA">
            <w:pPr>
              <w:spacing w:line="360" w:lineRule="auto"/>
              <w:ind w:firstLine="0"/>
              <w:jc w:val="center"/>
              <w:rPr>
                <w:rFonts w:eastAsia="Times New Roman"/>
                <w:b/>
                <w:bCs/>
                <w:sz w:val="20"/>
                <w:szCs w:val="20"/>
              </w:rPr>
            </w:pPr>
            <w:r>
              <w:rPr>
                <w:rFonts w:eastAsia="Times New Roman"/>
                <w:b/>
                <w:bCs/>
                <w:sz w:val="20"/>
                <w:szCs w:val="20"/>
              </w:rPr>
              <w:t>CİNSİYET</w:t>
            </w:r>
          </w:p>
        </w:tc>
        <w:tc>
          <w:tcPr>
            <w:tcW w:w="1749" w:type="dxa"/>
          </w:tcPr>
          <w:p w14:paraId="3EABF7DF" w14:textId="77777777" w:rsidR="00BF5C17" w:rsidRPr="00BD49E0" w:rsidRDefault="00BF5C17" w:rsidP="002E3FEA">
            <w:pPr>
              <w:spacing w:line="360" w:lineRule="auto"/>
              <w:jc w:val="center"/>
              <w:rPr>
                <w:rFonts w:eastAsia="Times New Roman"/>
                <w:b/>
                <w:bCs/>
                <w:sz w:val="20"/>
                <w:szCs w:val="20"/>
              </w:rPr>
            </w:pPr>
          </w:p>
        </w:tc>
      </w:tr>
      <w:tr w:rsidR="008721B0" w:rsidRPr="00BD49E0" w14:paraId="6BF9A3D6" w14:textId="77777777" w:rsidTr="00111217">
        <w:trPr>
          <w:trHeight w:val="364"/>
          <w:jc w:val="center"/>
        </w:trPr>
        <w:tc>
          <w:tcPr>
            <w:tcW w:w="2569" w:type="dxa"/>
            <w:vMerge/>
            <w:hideMark/>
          </w:tcPr>
          <w:p w14:paraId="4D2C1797" w14:textId="77777777" w:rsidR="008721B0" w:rsidRPr="00BD49E0" w:rsidRDefault="008721B0" w:rsidP="008721B0">
            <w:pPr>
              <w:spacing w:line="360" w:lineRule="auto"/>
              <w:rPr>
                <w:rFonts w:eastAsia="Times New Roman"/>
                <w:b/>
                <w:bCs/>
                <w:sz w:val="20"/>
                <w:szCs w:val="20"/>
              </w:rPr>
            </w:pPr>
          </w:p>
        </w:tc>
        <w:tc>
          <w:tcPr>
            <w:tcW w:w="2273" w:type="dxa"/>
          </w:tcPr>
          <w:p w14:paraId="2F91DA0B" w14:textId="1F94998D" w:rsidR="008721B0" w:rsidRPr="00BD49E0" w:rsidRDefault="008721B0" w:rsidP="008721B0">
            <w:pPr>
              <w:spacing w:line="360" w:lineRule="auto"/>
              <w:ind w:firstLine="0"/>
              <w:jc w:val="center"/>
              <w:rPr>
                <w:rFonts w:eastAsia="Times New Roman"/>
                <w:b/>
                <w:bCs/>
                <w:sz w:val="20"/>
                <w:szCs w:val="20"/>
              </w:rPr>
            </w:pPr>
            <w:r>
              <w:rPr>
                <w:rFonts w:eastAsia="Times New Roman"/>
                <w:b/>
                <w:bCs/>
                <w:sz w:val="20"/>
                <w:szCs w:val="20"/>
              </w:rPr>
              <w:t>KADIN</w:t>
            </w:r>
          </w:p>
        </w:tc>
        <w:tc>
          <w:tcPr>
            <w:tcW w:w="2353" w:type="dxa"/>
          </w:tcPr>
          <w:p w14:paraId="07A9AC59" w14:textId="53676BCC" w:rsidR="008721B0" w:rsidRPr="00BD49E0" w:rsidRDefault="008721B0" w:rsidP="008721B0">
            <w:pPr>
              <w:ind w:firstLine="0"/>
              <w:jc w:val="center"/>
              <w:rPr>
                <w:rFonts w:eastAsia="Times New Roman"/>
                <w:b/>
                <w:bCs/>
                <w:sz w:val="20"/>
                <w:szCs w:val="20"/>
              </w:rPr>
            </w:pPr>
            <w:r>
              <w:rPr>
                <w:rFonts w:eastAsia="Times New Roman"/>
                <w:b/>
                <w:bCs/>
                <w:sz w:val="20"/>
                <w:szCs w:val="20"/>
              </w:rPr>
              <w:t>ERKEK</w:t>
            </w:r>
          </w:p>
        </w:tc>
        <w:tc>
          <w:tcPr>
            <w:tcW w:w="1749" w:type="dxa"/>
          </w:tcPr>
          <w:p w14:paraId="3FDBBD4A" w14:textId="245DD68B" w:rsidR="008721B0" w:rsidRPr="00BD49E0" w:rsidRDefault="008721B0" w:rsidP="008721B0">
            <w:pPr>
              <w:spacing w:line="360" w:lineRule="auto"/>
              <w:ind w:firstLine="0"/>
              <w:jc w:val="center"/>
              <w:rPr>
                <w:rFonts w:eastAsia="Times New Roman"/>
                <w:b/>
                <w:bCs/>
                <w:sz w:val="20"/>
                <w:szCs w:val="20"/>
              </w:rPr>
            </w:pPr>
            <w:r>
              <w:rPr>
                <w:rFonts w:eastAsia="Times New Roman"/>
                <w:b/>
                <w:bCs/>
                <w:color w:val="000000" w:themeColor="text1"/>
                <w:sz w:val="22"/>
              </w:rPr>
              <w:t>p&lt;0.05</w:t>
            </w:r>
          </w:p>
        </w:tc>
      </w:tr>
      <w:tr w:rsidR="008721B0" w:rsidRPr="00BD49E0" w14:paraId="61C4D247" w14:textId="77777777" w:rsidTr="00111217">
        <w:trPr>
          <w:trHeight w:val="385"/>
          <w:jc w:val="center"/>
        </w:trPr>
        <w:tc>
          <w:tcPr>
            <w:tcW w:w="2569" w:type="dxa"/>
            <w:vAlign w:val="center"/>
          </w:tcPr>
          <w:p w14:paraId="6EE2D45E" w14:textId="5E13EE8E" w:rsidR="008721B0" w:rsidRDefault="008721B0" w:rsidP="008721B0">
            <w:pPr>
              <w:ind w:firstLine="0"/>
              <w:rPr>
                <w:sz w:val="20"/>
                <w:szCs w:val="20"/>
              </w:rPr>
            </w:pPr>
            <w:r w:rsidRPr="001B53F1">
              <w:rPr>
                <w:b/>
                <w:sz w:val="20"/>
                <w:szCs w:val="20"/>
              </w:rPr>
              <w:t>FİBRİNOJEN</w:t>
            </w:r>
          </w:p>
        </w:tc>
        <w:tc>
          <w:tcPr>
            <w:tcW w:w="2273" w:type="dxa"/>
            <w:noWrap/>
          </w:tcPr>
          <w:p w14:paraId="0EFA0021" w14:textId="22D370BE" w:rsidR="008721B0" w:rsidRDefault="008721B0" w:rsidP="008721B0">
            <w:pPr>
              <w:ind w:firstLine="0"/>
              <w:rPr>
                <w:rFonts w:eastAsia="Times New Roman"/>
                <w:sz w:val="20"/>
                <w:szCs w:val="20"/>
              </w:rPr>
            </w:pPr>
            <w:r w:rsidRPr="001B53F1">
              <w:rPr>
                <w:b/>
                <w:sz w:val="20"/>
                <w:szCs w:val="20"/>
              </w:rPr>
              <w:t>218 (108-330)</w:t>
            </w:r>
          </w:p>
        </w:tc>
        <w:tc>
          <w:tcPr>
            <w:tcW w:w="2353" w:type="dxa"/>
          </w:tcPr>
          <w:p w14:paraId="596D505C" w14:textId="419F55E3" w:rsidR="008721B0" w:rsidRDefault="008721B0" w:rsidP="008721B0">
            <w:pPr>
              <w:ind w:firstLine="0"/>
              <w:rPr>
                <w:rFonts w:eastAsia="Times New Roman"/>
                <w:sz w:val="20"/>
                <w:szCs w:val="20"/>
              </w:rPr>
            </w:pPr>
            <w:r w:rsidRPr="001B53F1">
              <w:rPr>
                <w:b/>
                <w:sz w:val="20"/>
                <w:szCs w:val="20"/>
              </w:rPr>
              <w:t>126 (50.2-285)</w:t>
            </w:r>
          </w:p>
        </w:tc>
        <w:tc>
          <w:tcPr>
            <w:tcW w:w="1749" w:type="dxa"/>
            <w:vAlign w:val="center"/>
          </w:tcPr>
          <w:p w14:paraId="648BC9AD" w14:textId="4A3E9A1B" w:rsidR="008721B0" w:rsidRDefault="008721B0" w:rsidP="008721B0">
            <w:pPr>
              <w:ind w:right="360" w:firstLine="0"/>
              <w:jc w:val="center"/>
              <w:rPr>
                <w:rFonts w:eastAsia="Times New Roman"/>
                <w:sz w:val="20"/>
                <w:szCs w:val="20"/>
              </w:rPr>
            </w:pPr>
            <w:r w:rsidRPr="001B53F1">
              <w:rPr>
                <w:rFonts w:eastAsia="Times New Roman"/>
                <w:b/>
                <w:sz w:val="20"/>
                <w:szCs w:val="20"/>
              </w:rPr>
              <w:t>0.046</w:t>
            </w:r>
          </w:p>
        </w:tc>
      </w:tr>
      <w:tr w:rsidR="008721B0" w:rsidRPr="00BD49E0" w14:paraId="3A8DDD49" w14:textId="77777777" w:rsidTr="00111217">
        <w:trPr>
          <w:trHeight w:val="385"/>
          <w:jc w:val="center"/>
        </w:trPr>
        <w:tc>
          <w:tcPr>
            <w:tcW w:w="2569" w:type="dxa"/>
            <w:vAlign w:val="center"/>
          </w:tcPr>
          <w:p w14:paraId="6AE8C6B5" w14:textId="43A753A6" w:rsidR="008721B0" w:rsidRDefault="008721B0" w:rsidP="008721B0">
            <w:pPr>
              <w:ind w:firstLine="0"/>
              <w:rPr>
                <w:sz w:val="20"/>
                <w:szCs w:val="20"/>
              </w:rPr>
            </w:pPr>
            <w:r w:rsidRPr="001B53F1">
              <w:rPr>
                <w:b/>
                <w:sz w:val="20"/>
                <w:szCs w:val="20"/>
              </w:rPr>
              <w:t>AST</w:t>
            </w:r>
          </w:p>
        </w:tc>
        <w:tc>
          <w:tcPr>
            <w:tcW w:w="2273" w:type="dxa"/>
            <w:noWrap/>
          </w:tcPr>
          <w:p w14:paraId="7F1BFA06" w14:textId="2498FD8B" w:rsidR="008721B0" w:rsidRDefault="008721B0" w:rsidP="008721B0">
            <w:pPr>
              <w:ind w:firstLine="0"/>
              <w:rPr>
                <w:rFonts w:eastAsia="Times New Roman"/>
                <w:sz w:val="20"/>
                <w:szCs w:val="20"/>
              </w:rPr>
            </w:pPr>
            <w:r w:rsidRPr="001B53F1">
              <w:rPr>
                <w:b/>
                <w:sz w:val="20"/>
                <w:szCs w:val="20"/>
              </w:rPr>
              <w:t>40 (13-133)</w:t>
            </w:r>
          </w:p>
        </w:tc>
        <w:tc>
          <w:tcPr>
            <w:tcW w:w="2353" w:type="dxa"/>
          </w:tcPr>
          <w:p w14:paraId="752788CF" w14:textId="18AECB12" w:rsidR="008721B0" w:rsidRDefault="008721B0" w:rsidP="008721B0">
            <w:pPr>
              <w:ind w:firstLine="0"/>
              <w:rPr>
                <w:rFonts w:eastAsia="Times New Roman"/>
                <w:sz w:val="20"/>
                <w:szCs w:val="20"/>
              </w:rPr>
            </w:pPr>
            <w:r w:rsidRPr="001B53F1">
              <w:rPr>
                <w:b/>
                <w:sz w:val="20"/>
                <w:szCs w:val="20"/>
              </w:rPr>
              <w:t>126 (21-14830)</w:t>
            </w:r>
          </w:p>
        </w:tc>
        <w:tc>
          <w:tcPr>
            <w:tcW w:w="1749" w:type="dxa"/>
            <w:vAlign w:val="center"/>
          </w:tcPr>
          <w:p w14:paraId="76CD3C43" w14:textId="6E69B317" w:rsidR="008721B0" w:rsidRDefault="008721B0" w:rsidP="008721B0">
            <w:pPr>
              <w:ind w:right="360" w:firstLine="0"/>
              <w:jc w:val="center"/>
              <w:rPr>
                <w:rFonts w:eastAsia="Times New Roman"/>
                <w:sz w:val="20"/>
                <w:szCs w:val="20"/>
              </w:rPr>
            </w:pPr>
            <w:r w:rsidRPr="001B53F1">
              <w:rPr>
                <w:rFonts w:eastAsia="Times New Roman"/>
                <w:b/>
                <w:sz w:val="20"/>
                <w:szCs w:val="20"/>
              </w:rPr>
              <w:t>0.012</w:t>
            </w:r>
          </w:p>
        </w:tc>
      </w:tr>
      <w:tr w:rsidR="008721B0" w:rsidRPr="00BD49E0" w14:paraId="5057B28B" w14:textId="77777777" w:rsidTr="00111217">
        <w:trPr>
          <w:trHeight w:val="385"/>
          <w:jc w:val="center"/>
        </w:trPr>
        <w:tc>
          <w:tcPr>
            <w:tcW w:w="2569" w:type="dxa"/>
            <w:vAlign w:val="center"/>
          </w:tcPr>
          <w:p w14:paraId="2CB58683" w14:textId="6808597D" w:rsidR="008721B0" w:rsidRDefault="008721B0" w:rsidP="008721B0">
            <w:pPr>
              <w:ind w:firstLine="0"/>
              <w:rPr>
                <w:sz w:val="20"/>
                <w:szCs w:val="20"/>
              </w:rPr>
            </w:pPr>
            <w:r w:rsidRPr="001B53F1">
              <w:rPr>
                <w:b/>
                <w:sz w:val="20"/>
                <w:szCs w:val="20"/>
              </w:rPr>
              <w:t>ALT</w:t>
            </w:r>
            <w:r w:rsidRPr="001B53F1">
              <w:rPr>
                <w:b/>
                <w:sz w:val="20"/>
                <w:szCs w:val="20"/>
              </w:rPr>
              <w:tab/>
            </w:r>
          </w:p>
        </w:tc>
        <w:tc>
          <w:tcPr>
            <w:tcW w:w="2273" w:type="dxa"/>
            <w:noWrap/>
          </w:tcPr>
          <w:p w14:paraId="4AF608D6" w14:textId="1C439324" w:rsidR="008721B0" w:rsidRDefault="008721B0" w:rsidP="008721B0">
            <w:pPr>
              <w:ind w:firstLine="0"/>
              <w:rPr>
                <w:rFonts w:eastAsia="Times New Roman"/>
                <w:sz w:val="20"/>
                <w:szCs w:val="20"/>
              </w:rPr>
            </w:pPr>
            <w:r w:rsidRPr="001B53F1">
              <w:rPr>
                <w:b/>
                <w:sz w:val="20"/>
                <w:szCs w:val="20"/>
              </w:rPr>
              <w:t>32 (13-237)</w:t>
            </w:r>
          </w:p>
        </w:tc>
        <w:tc>
          <w:tcPr>
            <w:tcW w:w="2353" w:type="dxa"/>
          </w:tcPr>
          <w:p w14:paraId="6242DE83" w14:textId="04B130B5" w:rsidR="008721B0" w:rsidRDefault="008721B0" w:rsidP="008721B0">
            <w:pPr>
              <w:ind w:firstLine="0"/>
              <w:rPr>
                <w:rFonts w:eastAsia="Times New Roman"/>
                <w:sz w:val="20"/>
                <w:szCs w:val="20"/>
              </w:rPr>
            </w:pPr>
            <w:r w:rsidRPr="001B53F1">
              <w:rPr>
                <w:b/>
                <w:sz w:val="20"/>
                <w:szCs w:val="20"/>
              </w:rPr>
              <w:t>146 (22-5921)</w:t>
            </w:r>
          </w:p>
        </w:tc>
        <w:tc>
          <w:tcPr>
            <w:tcW w:w="1749" w:type="dxa"/>
            <w:vAlign w:val="center"/>
          </w:tcPr>
          <w:p w14:paraId="1B1D5BCE" w14:textId="4CDCA680" w:rsidR="008721B0" w:rsidRDefault="008721B0" w:rsidP="008721B0">
            <w:pPr>
              <w:ind w:right="360" w:firstLine="0"/>
              <w:jc w:val="center"/>
              <w:rPr>
                <w:rFonts w:eastAsia="Times New Roman"/>
                <w:sz w:val="20"/>
                <w:szCs w:val="20"/>
              </w:rPr>
            </w:pPr>
            <w:r w:rsidRPr="001B53F1">
              <w:rPr>
                <w:rFonts w:eastAsia="Times New Roman"/>
                <w:b/>
                <w:sz w:val="20"/>
                <w:szCs w:val="20"/>
              </w:rPr>
              <w:t>0.016</w:t>
            </w:r>
          </w:p>
        </w:tc>
      </w:tr>
      <w:tr w:rsidR="008721B0" w:rsidRPr="00BD49E0" w14:paraId="46EAB756" w14:textId="77777777" w:rsidTr="00111217">
        <w:trPr>
          <w:trHeight w:val="385"/>
          <w:jc w:val="center"/>
        </w:trPr>
        <w:tc>
          <w:tcPr>
            <w:tcW w:w="2569" w:type="dxa"/>
            <w:vAlign w:val="center"/>
          </w:tcPr>
          <w:p w14:paraId="544804A3" w14:textId="752960A9" w:rsidR="008721B0" w:rsidRDefault="008721B0" w:rsidP="008721B0">
            <w:pPr>
              <w:ind w:firstLine="0"/>
              <w:rPr>
                <w:sz w:val="20"/>
                <w:szCs w:val="20"/>
              </w:rPr>
            </w:pPr>
            <w:r w:rsidRPr="001B53F1">
              <w:rPr>
                <w:b/>
                <w:sz w:val="20"/>
                <w:szCs w:val="20"/>
              </w:rPr>
              <w:t>LDH</w:t>
            </w:r>
          </w:p>
        </w:tc>
        <w:tc>
          <w:tcPr>
            <w:tcW w:w="2273" w:type="dxa"/>
            <w:noWrap/>
          </w:tcPr>
          <w:p w14:paraId="69E6BCB3" w14:textId="6563B385" w:rsidR="008721B0" w:rsidRDefault="008721B0" w:rsidP="008721B0">
            <w:pPr>
              <w:ind w:firstLine="0"/>
              <w:rPr>
                <w:rFonts w:eastAsia="Times New Roman"/>
                <w:sz w:val="20"/>
                <w:szCs w:val="20"/>
              </w:rPr>
            </w:pPr>
            <w:r w:rsidRPr="001B53F1">
              <w:rPr>
                <w:b/>
                <w:sz w:val="20"/>
                <w:szCs w:val="20"/>
              </w:rPr>
              <w:t>289 (168-692)</w:t>
            </w:r>
          </w:p>
        </w:tc>
        <w:tc>
          <w:tcPr>
            <w:tcW w:w="2353" w:type="dxa"/>
          </w:tcPr>
          <w:p w14:paraId="2F20C9F1" w14:textId="1CA647F4" w:rsidR="008721B0" w:rsidRDefault="008721B0" w:rsidP="008721B0">
            <w:pPr>
              <w:ind w:firstLine="0"/>
              <w:rPr>
                <w:rFonts w:eastAsia="Times New Roman"/>
                <w:sz w:val="20"/>
                <w:szCs w:val="20"/>
              </w:rPr>
            </w:pPr>
            <w:r w:rsidRPr="001B53F1">
              <w:rPr>
                <w:b/>
                <w:sz w:val="20"/>
                <w:szCs w:val="20"/>
              </w:rPr>
              <w:t>493 (184-8044)</w:t>
            </w:r>
          </w:p>
        </w:tc>
        <w:tc>
          <w:tcPr>
            <w:tcW w:w="1749" w:type="dxa"/>
            <w:vAlign w:val="center"/>
          </w:tcPr>
          <w:p w14:paraId="2395DA76" w14:textId="155D9369" w:rsidR="008721B0" w:rsidRDefault="008721B0" w:rsidP="008721B0">
            <w:pPr>
              <w:ind w:right="360" w:firstLine="0"/>
              <w:jc w:val="center"/>
              <w:rPr>
                <w:rFonts w:eastAsia="Times New Roman"/>
                <w:sz w:val="20"/>
                <w:szCs w:val="20"/>
              </w:rPr>
            </w:pPr>
            <w:r w:rsidRPr="001B53F1">
              <w:rPr>
                <w:rFonts w:eastAsia="Times New Roman"/>
                <w:b/>
                <w:sz w:val="20"/>
                <w:szCs w:val="20"/>
              </w:rPr>
              <w:t>0.014</w:t>
            </w:r>
          </w:p>
        </w:tc>
      </w:tr>
      <w:tr w:rsidR="008721B0" w:rsidRPr="00BD49E0" w14:paraId="3DC755DD" w14:textId="77777777" w:rsidTr="00111217">
        <w:trPr>
          <w:trHeight w:val="385"/>
          <w:jc w:val="center"/>
        </w:trPr>
        <w:tc>
          <w:tcPr>
            <w:tcW w:w="2569" w:type="dxa"/>
            <w:vAlign w:val="center"/>
          </w:tcPr>
          <w:p w14:paraId="07D3F7C9" w14:textId="41ECD99E" w:rsidR="008721B0" w:rsidRDefault="008721B0" w:rsidP="008721B0">
            <w:pPr>
              <w:ind w:firstLine="0"/>
              <w:rPr>
                <w:sz w:val="20"/>
                <w:szCs w:val="20"/>
              </w:rPr>
            </w:pPr>
            <w:r w:rsidRPr="001B53F1">
              <w:rPr>
                <w:b/>
                <w:sz w:val="20"/>
                <w:szCs w:val="20"/>
              </w:rPr>
              <w:t>AMONYAK</w:t>
            </w:r>
          </w:p>
        </w:tc>
        <w:tc>
          <w:tcPr>
            <w:tcW w:w="2273" w:type="dxa"/>
            <w:noWrap/>
          </w:tcPr>
          <w:p w14:paraId="69D58D0B" w14:textId="3CEAD4ED" w:rsidR="008721B0" w:rsidRDefault="008721B0" w:rsidP="008721B0">
            <w:pPr>
              <w:ind w:firstLine="0"/>
              <w:rPr>
                <w:rFonts w:eastAsia="Times New Roman"/>
                <w:sz w:val="20"/>
                <w:szCs w:val="20"/>
              </w:rPr>
            </w:pPr>
            <w:r w:rsidRPr="001B53F1">
              <w:rPr>
                <w:b/>
                <w:sz w:val="20"/>
                <w:szCs w:val="20"/>
              </w:rPr>
              <w:t>60 (40-277)</w:t>
            </w:r>
          </w:p>
        </w:tc>
        <w:tc>
          <w:tcPr>
            <w:tcW w:w="2353" w:type="dxa"/>
          </w:tcPr>
          <w:p w14:paraId="3A7C5EDE" w14:textId="322317F6" w:rsidR="008721B0" w:rsidRDefault="008721B0" w:rsidP="008721B0">
            <w:pPr>
              <w:ind w:firstLine="0"/>
              <w:rPr>
                <w:rFonts w:eastAsia="Times New Roman"/>
                <w:sz w:val="20"/>
                <w:szCs w:val="20"/>
              </w:rPr>
            </w:pPr>
            <w:r w:rsidRPr="001B53F1">
              <w:rPr>
                <w:b/>
                <w:sz w:val="20"/>
                <w:szCs w:val="20"/>
              </w:rPr>
              <w:t>120 (39-1353)</w:t>
            </w:r>
          </w:p>
        </w:tc>
        <w:tc>
          <w:tcPr>
            <w:tcW w:w="1749" w:type="dxa"/>
            <w:vAlign w:val="center"/>
          </w:tcPr>
          <w:p w14:paraId="0F11ED3F" w14:textId="04732CD2" w:rsidR="008721B0" w:rsidRDefault="008721B0" w:rsidP="008721B0">
            <w:pPr>
              <w:ind w:right="360" w:firstLine="0"/>
              <w:jc w:val="center"/>
              <w:rPr>
                <w:rFonts w:eastAsia="Times New Roman"/>
                <w:sz w:val="20"/>
                <w:szCs w:val="20"/>
              </w:rPr>
            </w:pPr>
            <w:r w:rsidRPr="001B53F1">
              <w:rPr>
                <w:rFonts w:eastAsia="Times New Roman"/>
                <w:b/>
                <w:sz w:val="20"/>
                <w:szCs w:val="20"/>
              </w:rPr>
              <w:t>0.03</w:t>
            </w:r>
          </w:p>
        </w:tc>
      </w:tr>
      <w:tr w:rsidR="008721B0" w:rsidRPr="001B53F1" w14:paraId="05722ADA" w14:textId="77777777" w:rsidTr="00111217">
        <w:trPr>
          <w:trHeight w:val="308"/>
          <w:jc w:val="center"/>
        </w:trPr>
        <w:tc>
          <w:tcPr>
            <w:tcW w:w="2569" w:type="dxa"/>
            <w:vAlign w:val="center"/>
          </w:tcPr>
          <w:p w14:paraId="475CCF6B" w14:textId="77777777" w:rsidR="008721B0" w:rsidRPr="001B53F1" w:rsidRDefault="008721B0" w:rsidP="008721B0">
            <w:pPr>
              <w:spacing w:line="360" w:lineRule="auto"/>
              <w:ind w:firstLine="0"/>
              <w:rPr>
                <w:b/>
                <w:sz w:val="20"/>
                <w:szCs w:val="20"/>
              </w:rPr>
            </w:pPr>
            <w:r w:rsidRPr="001B53F1">
              <w:rPr>
                <w:b/>
                <w:sz w:val="20"/>
                <w:szCs w:val="20"/>
              </w:rPr>
              <w:t>LAKTAT</w:t>
            </w:r>
          </w:p>
        </w:tc>
        <w:tc>
          <w:tcPr>
            <w:tcW w:w="2273" w:type="dxa"/>
            <w:noWrap/>
          </w:tcPr>
          <w:p w14:paraId="4E8E2871" w14:textId="17F7593F" w:rsidR="008721B0" w:rsidRPr="001B53F1" w:rsidRDefault="008721B0" w:rsidP="008721B0">
            <w:pPr>
              <w:spacing w:line="360" w:lineRule="auto"/>
              <w:ind w:firstLine="0"/>
              <w:rPr>
                <w:b/>
                <w:sz w:val="20"/>
                <w:szCs w:val="20"/>
              </w:rPr>
            </w:pPr>
            <w:r w:rsidRPr="001B53F1">
              <w:rPr>
                <w:b/>
                <w:sz w:val="20"/>
                <w:szCs w:val="20"/>
              </w:rPr>
              <w:t>1.6 (0.7-2.7)</w:t>
            </w:r>
          </w:p>
        </w:tc>
        <w:tc>
          <w:tcPr>
            <w:tcW w:w="2353" w:type="dxa"/>
          </w:tcPr>
          <w:p w14:paraId="63DC8593" w14:textId="075AF450" w:rsidR="008721B0" w:rsidRPr="001B53F1" w:rsidRDefault="008721B0" w:rsidP="008721B0">
            <w:pPr>
              <w:ind w:firstLine="0"/>
              <w:rPr>
                <w:b/>
                <w:sz w:val="20"/>
                <w:szCs w:val="20"/>
              </w:rPr>
            </w:pPr>
            <w:r w:rsidRPr="001B53F1">
              <w:rPr>
                <w:b/>
                <w:sz w:val="20"/>
                <w:szCs w:val="20"/>
              </w:rPr>
              <w:t>2.3 (1.4-10.2)</w:t>
            </w:r>
          </w:p>
        </w:tc>
        <w:tc>
          <w:tcPr>
            <w:tcW w:w="1749" w:type="dxa"/>
            <w:vAlign w:val="center"/>
          </w:tcPr>
          <w:p w14:paraId="5AF85F70" w14:textId="77777777" w:rsidR="008721B0" w:rsidRPr="001B53F1" w:rsidRDefault="008721B0" w:rsidP="008721B0">
            <w:pPr>
              <w:spacing w:line="360" w:lineRule="auto"/>
              <w:ind w:right="360" w:firstLine="0"/>
              <w:jc w:val="center"/>
              <w:rPr>
                <w:rFonts w:eastAsia="Times New Roman"/>
                <w:b/>
                <w:sz w:val="20"/>
                <w:szCs w:val="20"/>
              </w:rPr>
            </w:pPr>
            <w:r w:rsidRPr="001B53F1">
              <w:rPr>
                <w:rFonts w:eastAsia="Times New Roman"/>
                <w:b/>
                <w:sz w:val="20"/>
                <w:szCs w:val="20"/>
              </w:rPr>
              <w:t>0.048</w:t>
            </w:r>
          </w:p>
        </w:tc>
      </w:tr>
      <w:tr w:rsidR="008721B0" w:rsidRPr="00BD49E0" w14:paraId="464AB9D9" w14:textId="77777777" w:rsidTr="00111217">
        <w:trPr>
          <w:trHeight w:val="385"/>
          <w:jc w:val="center"/>
        </w:trPr>
        <w:tc>
          <w:tcPr>
            <w:tcW w:w="2569" w:type="dxa"/>
            <w:vAlign w:val="center"/>
          </w:tcPr>
          <w:p w14:paraId="630F2E6B" w14:textId="53728492" w:rsidR="008721B0" w:rsidRPr="00BD49E0" w:rsidRDefault="008721B0" w:rsidP="008721B0">
            <w:pPr>
              <w:spacing w:line="360" w:lineRule="auto"/>
              <w:ind w:firstLine="0"/>
              <w:rPr>
                <w:sz w:val="20"/>
                <w:szCs w:val="20"/>
              </w:rPr>
            </w:pPr>
            <w:r>
              <w:rPr>
                <w:sz w:val="20"/>
                <w:szCs w:val="20"/>
              </w:rPr>
              <w:t>YAŞ</w:t>
            </w:r>
          </w:p>
        </w:tc>
        <w:tc>
          <w:tcPr>
            <w:tcW w:w="2273" w:type="dxa"/>
            <w:noWrap/>
          </w:tcPr>
          <w:p w14:paraId="5874AB71" w14:textId="072794DD" w:rsidR="008721B0" w:rsidRPr="00BD49E0" w:rsidRDefault="008721B0" w:rsidP="008721B0">
            <w:pPr>
              <w:spacing w:line="360" w:lineRule="auto"/>
              <w:ind w:firstLine="0"/>
              <w:rPr>
                <w:rFonts w:eastAsia="Times New Roman"/>
                <w:sz w:val="20"/>
                <w:szCs w:val="20"/>
              </w:rPr>
            </w:pPr>
            <w:r>
              <w:rPr>
                <w:rFonts w:eastAsia="Times New Roman"/>
                <w:sz w:val="20"/>
                <w:szCs w:val="20"/>
              </w:rPr>
              <w:t>25 (1-59)</w:t>
            </w:r>
          </w:p>
        </w:tc>
        <w:tc>
          <w:tcPr>
            <w:tcW w:w="2353" w:type="dxa"/>
          </w:tcPr>
          <w:p w14:paraId="7BBD0EA4" w14:textId="475B6087" w:rsidR="008721B0" w:rsidRPr="00BD49E0" w:rsidRDefault="008721B0" w:rsidP="008721B0">
            <w:pPr>
              <w:ind w:firstLine="0"/>
              <w:rPr>
                <w:rFonts w:eastAsia="Times New Roman"/>
                <w:sz w:val="20"/>
                <w:szCs w:val="20"/>
              </w:rPr>
            </w:pPr>
            <w:r>
              <w:rPr>
                <w:rFonts w:eastAsia="Times New Roman"/>
                <w:sz w:val="20"/>
                <w:szCs w:val="20"/>
              </w:rPr>
              <w:t>8 (1-60)</w:t>
            </w:r>
          </w:p>
        </w:tc>
        <w:tc>
          <w:tcPr>
            <w:tcW w:w="1749" w:type="dxa"/>
            <w:vAlign w:val="center"/>
          </w:tcPr>
          <w:p w14:paraId="0CAC3A71" w14:textId="302C77AD"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0.66</w:t>
            </w:r>
          </w:p>
        </w:tc>
      </w:tr>
      <w:tr w:rsidR="008721B0" w:rsidRPr="00BD49E0" w14:paraId="53C5C4E3" w14:textId="77777777" w:rsidTr="00111217">
        <w:trPr>
          <w:trHeight w:val="385"/>
          <w:jc w:val="center"/>
        </w:trPr>
        <w:tc>
          <w:tcPr>
            <w:tcW w:w="2569" w:type="dxa"/>
            <w:vAlign w:val="bottom"/>
          </w:tcPr>
          <w:p w14:paraId="0B2DC368" w14:textId="77777777" w:rsidR="008721B0" w:rsidRPr="00BD49E0" w:rsidRDefault="008721B0" w:rsidP="008721B0">
            <w:pPr>
              <w:spacing w:line="360" w:lineRule="auto"/>
              <w:ind w:firstLine="0"/>
              <w:rPr>
                <w:sz w:val="20"/>
                <w:szCs w:val="20"/>
              </w:rPr>
            </w:pPr>
            <w:r w:rsidRPr="00BD49E0">
              <w:rPr>
                <w:sz w:val="20"/>
                <w:szCs w:val="20"/>
              </w:rPr>
              <w:t>TNF</w:t>
            </w:r>
            <w:r>
              <w:rPr>
                <w:sz w:val="20"/>
                <w:szCs w:val="20"/>
              </w:rPr>
              <w:t>-ALPHA</w:t>
            </w:r>
          </w:p>
        </w:tc>
        <w:tc>
          <w:tcPr>
            <w:tcW w:w="2273" w:type="dxa"/>
            <w:noWrap/>
            <w:vAlign w:val="center"/>
          </w:tcPr>
          <w:p w14:paraId="75AE1191" w14:textId="1486A6FF" w:rsidR="008721B0" w:rsidRPr="00BD49E0" w:rsidRDefault="008721B0" w:rsidP="008721B0">
            <w:pPr>
              <w:spacing w:line="360" w:lineRule="auto"/>
              <w:ind w:firstLine="0"/>
              <w:rPr>
                <w:rFonts w:eastAsia="Times New Roman"/>
                <w:sz w:val="20"/>
                <w:szCs w:val="20"/>
              </w:rPr>
            </w:pPr>
            <w:r w:rsidRPr="00BD49E0">
              <w:rPr>
                <w:rFonts w:eastAsia="Times New Roman"/>
                <w:sz w:val="20"/>
                <w:szCs w:val="20"/>
              </w:rPr>
              <w:t>15.6 (15.6-1000)</w:t>
            </w:r>
          </w:p>
        </w:tc>
        <w:tc>
          <w:tcPr>
            <w:tcW w:w="2353" w:type="dxa"/>
            <w:vAlign w:val="center"/>
          </w:tcPr>
          <w:p w14:paraId="274E17CD" w14:textId="1792EF1E" w:rsidR="008721B0" w:rsidRPr="00BD49E0" w:rsidRDefault="008721B0" w:rsidP="008721B0">
            <w:pPr>
              <w:ind w:firstLine="0"/>
              <w:rPr>
                <w:rFonts w:eastAsia="Times New Roman"/>
                <w:sz w:val="20"/>
                <w:szCs w:val="20"/>
              </w:rPr>
            </w:pPr>
            <w:r w:rsidRPr="00BD49E0">
              <w:rPr>
                <w:rFonts w:eastAsia="Times New Roman"/>
                <w:sz w:val="20"/>
                <w:szCs w:val="20"/>
              </w:rPr>
              <w:t>15.6 (15.6-85.9)</w:t>
            </w:r>
          </w:p>
        </w:tc>
        <w:tc>
          <w:tcPr>
            <w:tcW w:w="1749" w:type="dxa"/>
            <w:vAlign w:val="center"/>
          </w:tcPr>
          <w:p w14:paraId="36B18846" w14:textId="34F7F40D"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0.34</w:t>
            </w:r>
          </w:p>
        </w:tc>
      </w:tr>
      <w:tr w:rsidR="008721B0" w:rsidRPr="00BD49E0" w14:paraId="5FC32DBC" w14:textId="77777777" w:rsidTr="00111217">
        <w:trPr>
          <w:trHeight w:val="444"/>
          <w:jc w:val="center"/>
        </w:trPr>
        <w:tc>
          <w:tcPr>
            <w:tcW w:w="2569" w:type="dxa"/>
            <w:vAlign w:val="center"/>
          </w:tcPr>
          <w:p w14:paraId="651F2209" w14:textId="77777777" w:rsidR="008721B0" w:rsidRPr="00BD49E0" w:rsidRDefault="008721B0" w:rsidP="008721B0">
            <w:pPr>
              <w:spacing w:line="360" w:lineRule="auto"/>
              <w:ind w:firstLine="0"/>
              <w:rPr>
                <w:rFonts w:eastAsia="Times New Roman"/>
                <w:b/>
                <w:bCs/>
                <w:sz w:val="20"/>
                <w:szCs w:val="20"/>
              </w:rPr>
            </w:pPr>
            <w:r w:rsidRPr="00BD49E0">
              <w:rPr>
                <w:sz w:val="20"/>
                <w:szCs w:val="20"/>
              </w:rPr>
              <w:t>TGF</w:t>
            </w:r>
            <w:r>
              <w:rPr>
                <w:sz w:val="20"/>
                <w:szCs w:val="20"/>
              </w:rPr>
              <w:t>-</w:t>
            </w:r>
            <w:r w:rsidRPr="00BD49E0">
              <w:rPr>
                <w:sz w:val="20"/>
                <w:szCs w:val="20"/>
              </w:rPr>
              <w:t>BETA</w:t>
            </w:r>
          </w:p>
        </w:tc>
        <w:tc>
          <w:tcPr>
            <w:tcW w:w="2273" w:type="dxa"/>
            <w:noWrap/>
            <w:vAlign w:val="center"/>
          </w:tcPr>
          <w:p w14:paraId="7669B0D9" w14:textId="0D5FAAD5" w:rsidR="008721B0" w:rsidRPr="00BD49E0" w:rsidRDefault="008721B0" w:rsidP="008721B0">
            <w:pPr>
              <w:spacing w:line="360" w:lineRule="auto"/>
              <w:ind w:firstLine="0"/>
              <w:rPr>
                <w:rFonts w:eastAsia="Times New Roman"/>
                <w:sz w:val="20"/>
                <w:szCs w:val="20"/>
              </w:rPr>
            </w:pPr>
            <w:r w:rsidRPr="00BD49E0">
              <w:rPr>
                <w:rFonts w:eastAsia="Times New Roman"/>
                <w:sz w:val="20"/>
                <w:szCs w:val="20"/>
              </w:rPr>
              <w:t>1</w:t>
            </w:r>
            <w:r>
              <w:rPr>
                <w:rFonts w:eastAsia="Times New Roman"/>
                <w:sz w:val="20"/>
                <w:szCs w:val="20"/>
              </w:rPr>
              <w:t>112</w:t>
            </w:r>
            <w:r w:rsidRPr="00BD49E0">
              <w:rPr>
                <w:rFonts w:eastAsia="Times New Roman"/>
                <w:sz w:val="20"/>
                <w:szCs w:val="20"/>
              </w:rPr>
              <w:t>.</w:t>
            </w:r>
            <w:r>
              <w:rPr>
                <w:rFonts w:eastAsia="Times New Roman"/>
                <w:sz w:val="20"/>
                <w:szCs w:val="20"/>
              </w:rPr>
              <w:t>7</w:t>
            </w:r>
            <w:r w:rsidRPr="00BD49E0">
              <w:rPr>
                <w:rFonts w:eastAsia="Times New Roman"/>
                <w:sz w:val="20"/>
                <w:szCs w:val="20"/>
              </w:rPr>
              <w:t xml:space="preserve"> (195.1-2000)</w:t>
            </w:r>
          </w:p>
        </w:tc>
        <w:tc>
          <w:tcPr>
            <w:tcW w:w="2353" w:type="dxa"/>
            <w:vAlign w:val="center"/>
          </w:tcPr>
          <w:p w14:paraId="112A8DC9" w14:textId="7AEBFDBA" w:rsidR="008721B0" w:rsidRPr="00BD49E0" w:rsidRDefault="008721B0" w:rsidP="008721B0">
            <w:pPr>
              <w:ind w:firstLine="0"/>
              <w:rPr>
                <w:rFonts w:eastAsia="Times New Roman"/>
                <w:sz w:val="20"/>
                <w:szCs w:val="20"/>
              </w:rPr>
            </w:pPr>
            <w:r w:rsidRPr="00BD49E0">
              <w:rPr>
                <w:rFonts w:eastAsia="Times New Roman"/>
                <w:sz w:val="20"/>
                <w:szCs w:val="20"/>
              </w:rPr>
              <w:t>92</w:t>
            </w:r>
            <w:r>
              <w:rPr>
                <w:rFonts w:eastAsia="Times New Roman"/>
                <w:sz w:val="20"/>
                <w:szCs w:val="20"/>
              </w:rPr>
              <w:t>4</w:t>
            </w:r>
            <w:r w:rsidRPr="00BD49E0">
              <w:rPr>
                <w:rFonts w:eastAsia="Times New Roman"/>
                <w:sz w:val="20"/>
                <w:szCs w:val="20"/>
              </w:rPr>
              <w:t>.</w:t>
            </w:r>
            <w:r>
              <w:rPr>
                <w:rFonts w:eastAsia="Times New Roman"/>
                <w:sz w:val="20"/>
                <w:szCs w:val="20"/>
              </w:rPr>
              <w:t>1</w:t>
            </w:r>
            <w:r w:rsidRPr="00BD49E0">
              <w:rPr>
                <w:rFonts w:eastAsia="Times New Roman"/>
                <w:sz w:val="20"/>
                <w:szCs w:val="20"/>
              </w:rPr>
              <w:t xml:space="preserve"> (647.8-2000)</w:t>
            </w:r>
          </w:p>
        </w:tc>
        <w:tc>
          <w:tcPr>
            <w:tcW w:w="1749" w:type="dxa"/>
            <w:vAlign w:val="center"/>
          </w:tcPr>
          <w:p w14:paraId="08F951C8" w14:textId="78E586AF" w:rsidR="008721B0" w:rsidRPr="00BD49E0" w:rsidRDefault="008721B0" w:rsidP="008721B0">
            <w:pPr>
              <w:spacing w:line="360" w:lineRule="auto"/>
              <w:ind w:firstLine="0"/>
              <w:jc w:val="left"/>
              <w:rPr>
                <w:rFonts w:eastAsia="Times New Roman"/>
                <w:sz w:val="20"/>
                <w:szCs w:val="20"/>
              </w:rPr>
            </w:pPr>
            <w:r>
              <w:rPr>
                <w:rFonts w:eastAsia="Times New Roman"/>
                <w:sz w:val="20"/>
                <w:szCs w:val="20"/>
              </w:rPr>
              <w:t xml:space="preserve">        0.68</w:t>
            </w:r>
          </w:p>
        </w:tc>
      </w:tr>
      <w:tr w:rsidR="008721B0" w:rsidRPr="00BD49E0" w14:paraId="4867F0B3" w14:textId="77777777" w:rsidTr="00111217">
        <w:trPr>
          <w:trHeight w:val="472"/>
          <w:jc w:val="center"/>
        </w:trPr>
        <w:tc>
          <w:tcPr>
            <w:tcW w:w="2569" w:type="dxa"/>
            <w:vAlign w:val="center"/>
          </w:tcPr>
          <w:p w14:paraId="5DBE7B75" w14:textId="77777777" w:rsidR="008721B0" w:rsidRPr="00BD49E0" w:rsidRDefault="008721B0" w:rsidP="008721B0">
            <w:pPr>
              <w:spacing w:line="360" w:lineRule="auto"/>
              <w:ind w:firstLine="0"/>
              <w:rPr>
                <w:rFonts w:eastAsia="Times New Roman"/>
                <w:b/>
                <w:bCs/>
                <w:sz w:val="20"/>
                <w:szCs w:val="20"/>
              </w:rPr>
            </w:pPr>
            <w:r w:rsidRPr="00BD49E0">
              <w:rPr>
                <w:sz w:val="20"/>
                <w:szCs w:val="20"/>
              </w:rPr>
              <w:t>IL4</w:t>
            </w:r>
          </w:p>
        </w:tc>
        <w:tc>
          <w:tcPr>
            <w:tcW w:w="2273" w:type="dxa"/>
            <w:noWrap/>
            <w:vAlign w:val="center"/>
          </w:tcPr>
          <w:p w14:paraId="6F932280" w14:textId="7F24CBBF" w:rsidR="008721B0" w:rsidRPr="00BD49E0" w:rsidRDefault="008721B0" w:rsidP="008721B0">
            <w:pPr>
              <w:spacing w:line="360" w:lineRule="auto"/>
              <w:ind w:firstLine="0"/>
              <w:rPr>
                <w:rFonts w:eastAsia="Times New Roman"/>
                <w:sz w:val="20"/>
                <w:szCs w:val="20"/>
              </w:rPr>
            </w:pPr>
            <w:r>
              <w:rPr>
                <w:rFonts w:eastAsia="Times New Roman"/>
                <w:sz w:val="20"/>
                <w:szCs w:val="20"/>
              </w:rPr>
              <w:t>88.8</w:t>
            </w:r>
            <w:r w:rsidRPr="00BD49E0">
              <w:rPr>
                <w:rFonts w:eastAsia="Times New Roman"/>
                <w:sz w:val="20"/>
                <w:szCs w:val="20"/>
              </w:rPr>
              <w:t xml:space="preserve"> (31.3-1166.4)</w:t>
            </w:r>
          </w:p>
        </w:tc>
        <w:tc>
          <w:tcPr>
            <w:tcW w:w="2353" w:type="dxa"/>
            <w:vAlign w:val="center"/>
          </w:tcPr>
          <w:p w14:paraId="5C837BE7" w14:textId="4A71D2BD" w:rsidR="008721B0" w:rsidRPr="00BD49E0" w:rsidRDefault="008721B0" w:rsidP="008721B0">
            <w:pPr>
              <w:ind w:firstLine="0"/>
              <w:rPr>
                <w:rFonts w:eastAsia="Times New Roman"/>
                <w:sz w:val="20"/>
                <w:szCs w:val="20"/>
              </w:rPr>
            </w:pPr>
            <w:r w:rsidRPr="00BD49E0">
              <w:rPr>
                <w:rFonts w:eastAsia="Times New Roman"/>
                <w:sz w:val="20"/>
                <w:szCs w:val="20"/>
              </w:rPr>
              <w:t>1</w:t>
            </w:r>
            <w:r>
              <w:rPr>
                <w:rFonts w:eastAsia="Times New Roman"/>
                <w:sz w:val="20"/>
                <w:szCs w:val="20"/>
              </w:rPr>
              <w:t>23</w:t>
            </w:r>
            <w:r w:rsidRPr="00BD49E0">
              <w:rPr>
                <w:rFonts w:eastAsia="Times New Roman"/>
                <w:sz w:val="20"/>
                <w:szCs w:val="20"/>
              </w:rPr>
              <w:t>.</w:t>
            </w:r>
            <w:r>
              <w:rPr>
                <w:rFonts w:eastAsia="Times New Roman"/>
                <w:sz w:val="20"/>
                <w:szCs w:val="20"/>
              </w:rPr>
              <w:t>6</w:t>
            </w:r>
            <w:r w:rsidRPr="00BD49E0">
              <w:rPr>
                <w:rFonts w:eastAsia="Times New Roman"/>
                <w:sz w:val="20"/>
                <w:szCs w:val="20"/>
              </w:rPr>
              <w:t xml:space="preserve"> (</w:t>
            </w:r>
            <w:r>
              <w:rPr>
                <w:rFonts w:eastAsia="Times New Roman"/>
                <w:sz w:val="20"/>
                <w:szCs w:val="20"/>
              </w:rPr>
              <w:t>67.2</w:t>
            </w:r>
            <w:r w:rsidRPr="00BD49E0">
              <w:rPr>
                <w:rFonts w:eastAsia="Times New Roman"/>
                <w:sz w:val="20"/>
                <w:szCs w:val="20"/>
              </w:rPr>
              <w:t>-284.7)</w:t>
            </w:r>
          </w:p>
        </w:tc>
        <w:tc>
          <w:tcPr>
            <w:tcW w:w="1749" w:type="dxa"/>
            <w:vAlign w:val="center"/>
          </w:tcPr>
          <w:p w14:paraId="51BFDC01" w14:textId="520D87F6"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0.36</w:t>
            </w:r>
          </w:p>
        </w:tc>
      </w:tr>
      <w:tr w:rsidR="008721B0" w:rsidRPr="00BD49E0" w14:paraId="6E578DEA" w14:textId="77777777" w:rsidTr="00111217">
        <w:trPr>
          <w:trHeight w:val="308"/>
          <w:jc w:val="center"/>
        </w:trPr>
        <w:tc>
          <w:tcPr>
            <w:tcW w:w="2569" w:type="dxa"/>
            <w:vAlign w:val="center"/>
          </w:tcPr>
          <w:p w14:paraId="5689D0CD" w14:textId="77777777" w:rsidR="008721B0" w:rsidRPr="00BD49E0" w:rsidRDefault="008721B0" w:rsidP="008721B0">
            <w:pPr>
              <w:spacing w:line="360" w:lineRule="auto"/>
              <w:ind w:firstLine="0"/>
              <w:rPr>
                <w:rFonts w:eastAsia="Times New Roman"/>
                <w:sz w:val="20"/>
                <w:szCs w:val="20"/>
              </w:rPr>
            </w:pPr>
            <w:r w:rsidRPr="00BD49E0">
              <w:rPr>
                <w:sz w:val="20"/>
                <w:szCs w:val="20"/>
              </w:rPr>
              <w:t>IL10</w:t>
            </w:r>
          </w:p>
        </w:tc>
        <w:tc>
          <w:tcPr>
            <w:tcW w:w="2273" w:type="dxa"/>
            <w:noWrap/>
          </w:tcPr>
          <w:p w14:paraId="001C3725" w14:textId="47F71BC0" w:rsidR="008721B0" w:rsidRPr="00BD49E0" w:rsidRDefault="008721B0" w:rsidP="008721B0">
            <w:pPr>
              <w:spacing w:line="360" w:lineRule="auto"/>
              <w:ind w:firstLine="0"/>
              <w:rPr>
                <w:rFonts w:eastAsia="Times New Roman"/>
                <w:sz w:val="20"/>
                <w:szCs w:val="20"/>
              </w:rPr>
            </w:pPr>
            <w:r>
              <w:rPr>
                <w:rFonts w:eastAsia="Times New Roman"/>
                <w:sz w:val="20"/>
                <w:szCs w:val="20"/>
              </w:rPr>
              <w:t>67.2</w:t>
            </w:r>
            <w:r w:rsidRPr="00BD49E0">
              <w:rPr>
                <w:rFonts w:eastAsia="Times New Roman"/>
                <w:sz w:val="20"/>
                <w:szCs w:val="20"/>
              </w:rPr>
              <w:t xml:space="preserve"> (7.8-500000)</w:t>
            </w:r>
          </w:p>
        </w:tc>
        <w:tc>
          <w:tcPr>
            <w:tcW w:w="2353" w:type="dxa"/>
          </w:tcPr>
          <w:p w14:paraId="4A0CA936" w14:textId="0BAE7468" w:rsidR="008721B0" w:rsidRPr="00BD49E0" w:rsidRDefault="008721B0" w:rsidP="008721B0">
            <w:pPr>
              <w:ind w:firstLine="0"/>
              <w:rPr>
                <w:rFonts w:eastAsia="Times New Roman"/>
                <w:sz w:val="20"/>
                <w:szCs w:val="20"/>
              </w:rPr>
            </w:pPr>
            <w:r>
              <w:rPr>
                <w:rFonts w:eastAsia="Times New Roman"/>
                <w:sz w:val="20"/>
                <w:szCs w:val="20"/>
              </w:rPr>
              <w:t>64</w:t>
            </w:r>
            <w:r w:rsidRPr="00BD49E0">
              <w:rPr>
                <w:rFonts w:eastAsia="Times New Roman"/>
                <w:sz w:val="20"/>
                <w:szCs w:val="20"/>
              </w:rPr>
              <w:t>.</w:t>
            </w:r>
            <w:r>
              <w:rPr>
                <w:rFonts w:eastAsia="Times New Roman"/>
                <w:sz w:val="20"/>
                <w:szCs w:val="20"/>
              </w:rPr>
              <w:t>8</w:t>
            </w:r>
            <w:r w:rsidRPr="00BD49E0">
              <w:rPr>
                <w:rFonts w:eastAsia="Times New Roman"/>
                <w:sz w:val="20"/>
                <w:szCs w:val="20"/>
              </w:rPr>
              <w:t xml:space="preserve"> (7.8-500.000)</w:t>
            </w:r>
          </w:p>
        </w:tc>
        <w:tc>
          <w:tcPr>
            <w:tcW w:w="1749" w:type="dxa"/>
            <w:vAlign w:val="center"/>
          </w:tcPr>
          <w:p w14:paraId="1B678B4B" w14:textId="6C25BF22"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0.74</w:t>
            </w:r>
          </w:p>
        </w:tc>
      </w:tr>
      <w:tr w:rsidR="008721B0" w:rsidRPr="00BD49E0" w14:paraId="1F5FE2C6" w14:textId="77777777" w:rsidTr="00111217">
        <w:trPr>
          <w:trHeight w:val="308"/>
          <w:jc w:val="center"/>
        </w:trPr>
        <w:tc>
          <w:tcPr>
            <w:tcW w:w="2569" w:type="dxa"/>
            <w:vAlign w:val="center"/>
          </w:tcPr>
          <w:p w14:paraId="2FEC49C3" w14:textId="77777777" w:rsidR="008721B0" w:rsidRPr="00BD49E0" w:rsidRDefault="008721B0" w:rsidP="008721B0">
            <w:pPr>
              <w:spacing w:line="360" w:lineRule="auto"/>
              <w:ind w:firstLine="0"/>
              <w:rPr>
                <w:rFonts w:eastAsia="Times New Roman"/>
                <w:bCs/>
                <w:sz w:val="20"/>
                <w:szCs w:val="20"/>
              </w:rPr>
            </w:pPr>
            <w:r w:rsidRPr="00BD49E0">
              <w:rPr>
                <w:sz w:val="20"/>
                <w:szCs w:val="20"/>
              </w:rPr>
              <w:t>IL17</w:t>
            </w:r>
          </w:p>
        </w:tc>
        <w:tc>
          <w:tcPr>
            <w:tcW w:w="2273" w:type="dxa"/>
            <w:noWrap/>
          </w:tcPr>
          <w:p w14:paraId="16D68C25" w14:textId="3A6258F4" w:rsidR="008721B0" w:rsidRPr="00BD49E0" w:rsidRDefault="008721B0" w:rsidP="008721B0">
            <w:pPr>
              <w:spacing w:line="360" w:lineRule="auto"/>
              <w:ind w:firstLine="0"/>
              <w:rPr>
                <w:sz w:val="20"/>
                <w:szCs w:val="20"/>
              </w:rPr>
            </w:pPr>
            <w:r w:rsidRPr="00BD49E0">
              <w:rPr>
                <w:sz w:val="20"/>
                <w:szCs w:val="20"/>
              </w:rPr>
              <w:t>31.3 (31.3-2000)</w:t>
            </w:r>
          </w:p>
        </w:tc>
        <w:tc>
          <w:tcPr>
            <w:tcW w:w="2353" w:type="dxa"/>
          </w:tcPr>
          <w:p w14:paraId="393E432C" w14:textId="3EB461CB" w:rsidR="008721B0" w:rsidRPr="00BD49E0" w:rsidRDefault="008721B0" w:rsidP="008721B0">
            <w:pPr>
              <w:ind w:firstLine="0"/>
              <w:rPr>
                <w:sz w:val="20"/>
                <w:szCs w:val="20"/>
              </w:rPr>
            </w:pPr>
            <w:r>
              <w:rPr>
                <w:sz w:val="20"/>
                <w:szCs w:val="20"/>
              </w:rPr>
              <w:t>31.2</w:t>
            </w:r>
            <w:r w:rsidRPr="00BD49E0">
              <w:rPr>
                <w:sz w:val="20"/>
                <w:szCs w:val="20"/>
              </w:rPr>
              <w:t xml:space="preserve"> (31.3-223.09)</w:t>
            </w:r>
          </w:p>
        </w:tc>
        <w:tc>
          <w:tcPr>
            <w:tcW w:w="1749" w:type="dxa"/>
            <w:vAlign w:val="center"/>
          </w:tcPr>
          <w:p w14:paraId="6CC36754" w14:textId="7F226239" w:rsidR="008721B0" w:rsidRPr="00BD49E0" w:rsidRDefault="008721B0" w:rsidP="008721B0">
            <w:pPr>
              <w:spacing w:line="360" w:lineRule="auto"/>
              <w:ind w:right="360" w:firstLine="0"/>
              <w:jc w:val="center"/>
              <w:rPr>
                <w:rFonts w:eastAsia="Times New Roman"/>
                <w:bCs/>
                <w:sz w:val="20"/>
                <w:szCs w:val="20"/>
              </w:rPr>
            </w:pPr>
            <w:r>
              <w:rPr>
                <w:rFonts w:eastAsia="Times New Roman"/>
                <w:bCs/>
                <w:sz w:val="20"/>
                <w:szCs w:val="20"/>
              </w:rPr>
              <w:t>0.34</w:t>
            </w:r>
          </w:p>
        </w:tc>
      </w:tr>
      <w:tr w:rsidR="008721B0" w:rsidRPr="00BD49E0" w14:paraId="0DD86ABB" w14:textId="77777777" w:rsidTr="00111217">
        <w:trPr>
          <w:trHeight w:val="308"/>
          <w:jc w:val="center"/>
        </w:trPr>
        <w:tc>
          <w:tcPr>
            <w:tcW w:w="2569" w:type="dxa"/>
            <w:vAlign w:val="center"/>
          </w:tcPr>
          <w:p w14:paraId="3C8B9714" w14:textId="77777777" w:rsidR="008721B0" w:rsidRPr="00BD49E0" w:rsidRDefault="008721B0" w:rsidP="008721B0">
            <w:pPr>
              <w:spacing w:line="360" w:lineRule="auto"/>
              <w:ind w:firstLine="0"/>
              <w:rPr>
                <w:rFonts w:eastAsia="Times New Roman"/>
                <w:b/>
                <w:bCs/>
                <w:sz w:val="20"/>
                <w:szCs w:val="20"/>
              </w:rPr>
            </w:pPr>
            <w:r w:rsidRPr="00BD49E0">
              <w:rPr>
                <w:sz w:val="20"/>
                <w:szCs w:val="20"/>
              </w:rPr>
              <w:t>IL6</w:t>
            </w:r>
          </w:p>
        </w:tc>
        <w:tc>
          <w:tcPr>
            <w:tcW w:w="2273" w:type="dxa"/>
            <w:noWrap/>
          </w:tcPr>
          <w:p w14:paraId="522FA93D" w14:textId="505C59E2" w:rsidR="008721B0" w:rsidRPr="00BD49E0" w:rsidRDefault="008721B0" w:rsidP="008721B0">
            <w:pPr>
              <w:spacing w:line="360" w:lineRule="auto"/>
              <w:ind w:firstLine="0"/>
              <w:rPr>
                <w:sz w:val="20"/>
                <w:szCs w:val="20"/>
              </w:rPr>
            </w:pPr>
            <w:r>
              <w:rPr>
                <w:sz w:val="20"/>
                <w:szCs w:val="20"/>
              </w:rPr>
              <w:t>187</w:t>
            </w:r>
            <w:r w:rsidRPr="00BD49E0">
              <w:rPr>
                <w:sz w:val="20"/>
                <w:szCs w:val="20"/>
              </w:rPr>
              <w:t>.5 (29.9-1759)</w:t>
            </w:r>
          </w:p>
        </w:tc>
        <w:tc>
          <w:tcPr>
            <w:tcW w:w="2353" w:type="dxa"/>
          </w:tcPr>
          <w:p w14:paraId="5CDB9722" w14:textId="29188270" w:rsidR="008721B0" w:rsidRPr="00BD49E0" w:rsidRDefault="008721B0" w:rsidP="008721B0">
            <w:pPr>
              <w:ind w:firstLine="0"/>
              <w:rPr>
                <w:sz w:val="20"/>
                <w:szCs w:val="20"/>
              </w:rPr>
            </w:pPr>
            <w:r>
              <w:rPr>
                <w:sz w:val="20"/>
                <w:szCs w:val="20"/>
              </w:rPr>
              <w:t>307</w:t>
            </w:r>
            <w:r w:rsidRPr="00BD49E0">
              <w:rPr>
                <w:sz w:val="20"/>
                <w:szCs w:val="20"/>
              </w:rPr>
              <w:t>.</w:t>
            </w:r>
            <w:r>
              <w:rPr>
                <w:sz w:val="20"/>
                <w:szCs w:val="20"/>
              </w:rPr>
              <w:t>6</w:t>
            </w:r>
            <w:r w:rsidRPr="00BD49E0">
              <w:rPr>
                <w:sz w:val="20"/>
                <w:szCs w:val="20"/>
              </w:rPr>
              <w:t xml:space="preserve"> (14.8-5000)</w:t>
            </w:r>
          </w:p>
        </w:tc>
        <w:tc>
          <w:tcPr>
            <w:tcW w:w="1749" w:type="dxa"/>
            <w:vAlign w:val="center"/>
          </w:tcPr>
          <w:p w14:paraId="0683EAEE" w14:textId="651F340B"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0.12</w:t>
            </w:r>
          </w:p>
        </w:tc>
      </w:tr>
      <w:tr w:rsidR="008721B0" w:rsidRPr="00BD49E0" w14:paraId="73C6A8B7" w14:textId="77777777" w:rsidTr="00111217">
        <w:trPr>
          <w:trHeight w:val="308"/>
          <w:jc w:val="center"/>
        </w:trPr>
        <w:tc>
          <w:tcPr>
            <w:tcW w:w="2569" w:type="dxa"/>
            <w:vAlign w:val="bottom"/>
          </w:tcPr>
          <w:p w14:paraId="4283393D" w14:textId="77777777" w:rsidR="008721B0" w:rsidRPr="00BD49E0" w:rsidRDefault="008721B0" w:rsidP="008721B0">
            <w:pPr>
              <w:spacing w:line="360" w:lineRule="auto"/>
              <w:ind w:firstLine="0"/>
              <w:rPr>
                <w:sz w:val="20"/>
                <w:szCs w:val="20"/>
              </w:rPr>
            </w:pPr>
            <w:r w:rsidRPr="00BD49E0">
              <w:rPr>
                <w:sz w:val="20"/>
                <w:szCs w:val="20"/>
              </w:rPr>
              <w:t>SHLA-G</w:t>
            </w:r>
          </w:p>
        </w:tc>
        <w:tc>
          <w:tcPr>
            <w:tcW w:w="2273" w:type="dxa"/>
            <w:noWrap/>
          </w:tcPr>
          <w:p w14:paraId="3F37A091" w14:textId="5B38C26A" w:rsidR="008721B0" w:rsidRPr="00BD49E0" w:rsidRDefault="008721B0" w:rsidP="008721B0">
            <w:pPr>
              <w:spacing w:line="360" w:lineRule="auto"/>
              <w:ind w:firstLine="0"/>
              <w:rPr>
                <w:sz w:val="20"/>
                <w:szCs w:val="20"/>
              </w:rPr>
            </w:pPr>
            <w:r w:rsidRPr="00BD49E0">
              <w:rPr>
                <w:sz w:val="20"/>
                <w:szCs w:val="20"/>
              </w:rPr>
              <w:t>8</w:t>
            </w:r>
            <w:r>
              <w:rPr>
                <w:sz w:val="20"/>
                <w:szCs w:val="20"/>
              </w:rPr>
              <w:t>8</w:t>
            </w:r>
            <w:r w:rsidRPr="00BD49E0">
              <w:rPr>
                <w:sz w:val="20"/>
                <w:szCs w:val="20"/>
              </w:rPr>
              <w:t>.</w:t>
            </w:r>
            <w:r>
              <w:rPr>
                <w:sz w:val="20"/>
                <w:szCs w:val="20"/>
              </w:rPr>
              <w:t>2</w:t>
            </w:r>
            <w:r w:rsidRPr="00BD49E0">
              <w:rPr>
                <w:sz w:val="20"/>
                <w:szCs w:val="20"/>
              </w:rPr>
              <w:t xml:space="preserve"> (</w:t>
            </w:r>
            <w:r>
              <w:rPr>
                <w:sz w:val="20"/>
                <w:szCs w:val="20"/>
              </w:rPr>
              <w:t>4</w:t>
            </w:r>
            <w:r w:rsidRPr="00BD49E0">
              <w:rPr>
                <w:sz w:val="20"/>
                <w:szCs w:val="20"/>
              </w:rPr>
              <w:t>0.</w:t>
            </w:r>
            <w:r>
              <w:rPr>
                <w:sz w:val="20"/>
                <w:szCs w:val="20"/>
              </w:rPr>
              <w:t>2</w:t>
            </w:r>
            <w:r w:rsidRPr="00BD49E0">
              <w:rPr>
                <w:sz w:val="20"/>
                <w:szCs w:val="20"/>
              </w:rPr>
              <w:t>-192.4)</w:t>
            </w:r>
          </w:p>
        </w:tc>
        <w:tc>
          <w:tcPr>
            <w:tcW w:w="2353" w:type="dxa"/>
          </w:tcPr>
          <w:p w14:paraId="09E07B38" w14:textId="2C50C66D" w:rsidR="008721B0" w:rsidRPr="00BD49E0" w:rsidRDefault="008721B0" w:rsidP="008721B0">
            <w:pPr>
              <w:ind w:firstLine="0"/>
              <w:rPr>
                <w:sz w:val="20"/>
                <w:szCs w:val="20"/>
              </w:rPr>
            </w:pPr>
            <w:r>
              <w:rPr>
                <w:sz w:val="20"/>
                <w:szCs w:val="20"/>
              </w:rPr>
              <w:t>100</w:t>
            </w:r>
            <w:r w:rsidRPr="00BD49E0">
              <w:rPr>
                <w:sz w:val="20"/>
                <w:szCs w:val="20"/>
              </w:rPr>
              <w:t>.</w:t>
            </w:r>
            <w:r>
              <w:rPr>
                <w:sz w:val="20"/>
                <w:szCs w:val="20"/>
              </w:rPr>
              <w:t>2</w:t>
            </w:r>
            <w:r w:rsidRPr="00BD49E0">
              <w:rPr>
                <w:sz w:val="20"/>
                <w:szCs w:val="20"/>
              </w:rPr>
              <w:t xml:space="preserve"> (</w:t>
            </w:r>
            <w:r>
              <w:rPr>
                <w:sz w:val="20"/>
                <w:szCs w:val="20"/>
              </w:rPr>
              <w:t>30</w:t>
            </w:r>
            <w:r w:rsidRPr="00BD49E0">
              <w:rPr>
                <w:sz w:val="20"/>
                <w:szCs w:val="20"/>
              </w:rPr>
              <w:t>.</w:t>
            </w:r>
            <w:r>
              <w:rPr>
                <w:sz w:val="20"/>
                <w:szCs w:val="20"/>
              </w:rPr>
              <w:t>6</w:t>
            </w:r>
            <w:r w:rsidRPr="00BD49E0">
              <w:rPr>
                <w:sz w:val="20"/>
                <w:szCs w:val="20"/>
              </w:rPr>
              <w:t>-172.8)</w:t>
            </w:r>
          </w:p>
        </w:tc>
        <w:tc>
          <w:tcPr>
            <w:tcW w:w="1749" w:type="dxa"/>
            <w:vAlign w:val="center"/>
          </w:tcPr>
          <w:p w14:paraId="2D0D56C6" w14:textId="0527AF01"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0.62</w:t>
            </w:r>
          </w:p>
        </w:tc>
      </w:tr>
      <w:tr w:rsidR="008721B0" w:rsidRPr="00BD49E0" w14:paraId="0421D55D" w14:textId="77777777" w:rsidTr="00111217">
        <w:trPr>
          <w:trHeight w:val="308"/>
          <w:jc w:val="center"/>
        </w:trPr>
        <w:tc>
          <w:tcPr>
            <w:tcW w:w="2569" w:type="dxa"/>
            <w:vAlign w:val="bottom"/>
          </w:tcPr>
          <w:p w14:paraId="27437CED" w14:textId="77777777" w:rsidR="008721B0" w:rsidRPr="00BD49E0" w:rsidRDefault="008721B0" w:rsidP="008721B0">
            <w:pPr>
              <w:spacing w:line="360" w:lineRule="auto"/>
              <w:ind w:firstLine="0"/>
              <w:rPr>
                <w:rFonts w:eastAsia="Times New Roman"/>
                <w:bCs/>
                <w:sz w:val="20"/>
                <w:szCs w:val="20"/>
              </w:rPr>
            </w:pPr>
            <w:r w:rsidRPr="00BD49E0">
              <w:rPr>
                <w:sz w:val="20"/>
                <w:szCs w:val="20"/>
              </w:rPr>
              <w:t>TREM1</w:t>
            </w:r>
          </w:p>
        </w:tc>
        <w:tc>
          <w:tcPr>
            <w:tcW w:w="2273" w:type="dxa"/>
            <w:noWrap/>
          </w:tcPr>
          <w:p w14:paraId="631C6118" w14:textId="7ABE2AC0" w:rsidR="008721B0" w:rsidRPr="00BD49E0" w:rsidRDefault="008721B0" w:rsidP="008721B0">
            <w:pPr>
              <w:spacing w:line="360" w:lineRule="auto"/>
              <w:ind w:firstLine="0"/>
              <w:rPr>
                <w:sz w:val="20"/>
                <w:szCs w:val="20"/>
              </w:rPr>
            </w:pPr>
            <w:r w:rsidRPr="00BD49E0">
              <w:rPr>
                <w:sz w:val="20"/>
                <w:szCs w:val="20"/>
              </w:rPr>
              <w:t>1</w:t>
            </w:r>
            <w:r>
              <w:rPr>
                <w:sz w:val="20"/>
                <w:szCs w:val="20"/>
              </w:rPr>
              <w:t>262</w:t>
            </w:r>
            <w:r w:rsidRPr="00BD49E0">
              <w:rPr>
                <w:sz w:val="20"/>
                <w:szCs w:val="20"/>
              </w:rPr>
              <w:t xml:space="preserve"> (</w:t>
            </w:r>
            <w:r>
              <w:rPr>
                <w:sz w:val="20"/>
                <w:szCs w:val="20"/>
              </w:rPr>
              <w:t>378.6</w:t>
            </w:r>
            <w:r w:rsidRPr="00BD49E0">
              <w:rPr>
                <w:sz w:val="20"/>
                <w:szCs w:val="20"/>
              </w:rPr>
              <w:t>-3655.3)</w:t>
            </w:r>
          </w:p>
        </w:tc>
        <w:tc>
          <w:tcPr>
            <w:tcW w:w="2353" w:type="dxa"/>
          </w:tcPr>
          <w:p w14:paraId="106031CC" w14:textId="31D8FEDE" w:rsidR="008721B0" w:rsidRPr="00BD49E0" w:rsidRDefault="008721B0" w:rsidP="008721B0">
            <w:pPr>
              <w:ind w:firstLine="0"/>
              <w:rPr>
                <w:sz w:val="20"/>
                <w:szCs w:val="20"/>
              </w:rPr>
            </w:pPr>
            <w:r>
              <w:rPr>
                <w:sz w:val="20"/>
                <w:szCs w:val="20"/>
              </w:rPr>
              <w:t>140</w:t>
            </w:r>
            <w:r w:rsidRPr="00BD49E0">
              <w:rPr>
                <w:sz w:val="20"/>
                <w:szCs w:val="20"/>
              </w:rPr>
              <w:t>8.7 (</w:t>
            </w:r>
            <w:r>
              <w:rPr>
                <w:sz w:val="20"/>
                <w:szCs w:val="20"/>
              </w:rPr>
              <w:t>205</w:t>
            </w:r>
            <w:r w:rsidRPr="00BD49E0">
              <w:rPr>
                <w:sz w:val="20"/>
                <w:szCs w:val="20"/>
              </w:rPr>
              <w:t>-2</w:t>
            </w:r>
            <w:r>
              <w:rPr>
                <w:sz w:val="20"/>
                <w:szCs w:val="20"/>
              </w:rPr>
              <w:t>908.7</w:t>
            </w:r>
            <w:r w:rsidRPr="00BD49E0">
              <w:rPr>
                <w:sz w:val="20"/>
                <w:szCs w:val="20"/>
              </w:rPr>
              <w:t>)</w:t>
            </w:r>
          </w:p>
        </w:tc>
        <w:tc>
          <w:tcPr>
            <w:tcW w:w="1749" w:type="dxa"/>
            <w:vAlign w:val="center"/>
          </w:tcPr>
          <w:p w14:paraId="06F51B38" w14:textId="5E7170A9"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0.79</w:t>
            </w:r>
          </w:p>
        </w:tc>
      </w:tr>
      <w:tr w:rsidR="008721B0" w:rsidRPr="00BD49E0" w14:paraId="65E9F85E" w14:textId="77777777" w:rsidTr="00111217">
        <w:trPr>
          <w:trHeight w:val="308"/>
          <w:jc w:val="center"/>
        </w:trPr>
        <w:tc>
          <w:tcPr>
            <w:tcW w:w="2569" w:type="dxa"/>
            <w:vAlign w:val="center"/>
          </w:tcPr>
          <w:p w14:paraId="21031619" w14:textId="77777777" w:rsidR="008721B0" w:rsidRPr="00BD49E0" w:rsidRDefault="008721B0" w:rsidP="008721B0">
            <w:pPr>
              <w:spacing w:line="360" w:lineRule="auto"/>
              <w:ind w:firstLine="0"/>
              <w:rPr>
                <w:rFonts w:eastAsia="Times New Roman"/>
                <w:b/>
                <w:bCs/>
                <w:sz w:val="20"/>
                <w:szCs w:val="20"/>
              </w:rPr>
            </w:pPr>
            <w:r w:rsidRPr="00BD49E0">
              <w:rPr>
                <w:sz w:val="20"/>
                <w:szCs w:val="20"/>
              </w:rPr>
              <w:t>WBC</w:t>
            </w:r>
          </w:p>
        </w:tc>
        <w:tc>
          <w:tcPr>
            <w:tcW w:w="2273" w:type="dxa"/>
            <w:noWrap/>
          </w:tcPr>
          <w:p w14:paraId="0E73713C" w14:textId="4021C275" w:rsidR="008721B0" w:rsidRPr="00BD49E0" w:rsidRDefault="008721B0" w:rsidP="008721B0">
            <w:pPr>
              <w:spacing w:line="360" w:lineRule="auto"/>
              <w:ind w:firstLine="0"/>
              <w:rPr>
                <w:sz w:val="20"/>
                <w:szCs w:val="20"/>
              </w:rPr>
            </w:pPr>
            <w:r w:rsidRPr="00BD49E0">
              <w:rPr>
                <w:sz w:val="20"/>
                <w:szCs w:val="20"/>
              </w:rPr>
              <w:t>1</w:t>
            </w:r>
            <w:r>
              <w:rPr>
                <w:sz w:val="20"/>
                <w:szCs w:val="20"/>
              </w:rPr>
              <w:t>1470</w:t>
            </w:r>
            <w:r w:rsidRPr="00BD49E0">
              <w:rPr>
                <w:sz w:val="20"/>
                <w:szCs w:val="20"/>
              </w:rPr>
              <w:t xml:space="preserve"> (</w:t>
            </w:r>
            <w:r>
              <w:rPr>
                <w:sz w:val="20"/>
                <w:szCs w:val="20"/>
              </w:rPr>
              <w:t>5160</w:t>
            </w:r>
            <w:r w:rsidRPr="00BD49E0">
              <w:rPr>
                <w:sz w:val="20"/>
                <w:szCs w:val="20"/>
              </w:rPr>
              <w:t>-</w:t>
            </w:r>
            <w:r>
              <w:rPr>
                <w:sz w:val="20"/>
                <w:szCs w:val="20"/>
              </w:rPr>
              <w:t>28160</w:t>
            </w:r>
            <w:r w:rsidRPr="00BD49E0">
              <w:rPr>
                <w:sz w:val="20"/>
                <w:szCs w:val="20"/>
              </w:rPr>
              <w:t>)</w:t>
            </w:r>
          </w:p>
        </w:tc>
        <w:tc>
          <w:tcPr>
            <w:tcW w:w="2353" w:type="dxa"/>
          </w:tcPr>
          <w:p w14:paraId="3148C06F" w14:textId="6CB6581F" w:rsidR="008721B0" w:rsidRPr="00BD49E0" w:rsidRDefault="008721B0" w:rsidP="008721B0">
            <w:pPr>
              <w:ind w:firstLine="0"/>
              <w:rPr>
                <w:sz w:val="20"/>
                <w:szCs w:val="20"/>
              </w:rPr>
            </w:pPr>
            <w:r w:rsidRPr="00BD49E0">
              <w:rPr>
                <w:sz w:val="20"/>
                <w:szCs w:val="20"/>
              </w:rPr>
              <w:t>1</w:t>
            </w:r>
            <w:r>
              <w:rPr>
                <w:sz w:val="20"/>
                <w:szCs w:val="20"/>
              </w:rPr>
              <w:t>8500</w:t>
            </w:r>
            <w:r w:rsidRPr="00BD49E0">
              <w:rPr>
                <w:sz w:val="20"/>
                <w:szCs w:val="20"/>
              </w:rPr>
              <w:t xml:space="preserve"> (2600-</w:t>
            </w:r>
            <w:r>
              <w:rPr>
                <w:sz w:val="20"/>
                <w:szCs w:val="20"/>
              </w:rPr>
              <w:t>54300</w:t>
            </w:r>
            <w:r w:rsidRPr="00BD49E0">
              <w:rPr>
                <w:sz w:val="20"/>
                <w:szCs w:val="20"/>
              </w:rPr>
              <w:t>)</w:t>
            </w:r>
          </w:p>
        </w:tc>
        <w:tc>
          <w:tcPr>
            <w:tcW w:w="1749" w:type="dxa"/>
            <w:vAlign w:val="center"/>
          </w:tcPr>
          <w:p w14:paraId="0EBC392C" w14:textId="3CD54E24"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0.17</w:t>
            </w:r>
          </w:p>
        </w:tc>
      </w:tr>
      <w:tr w:rsidR="008721B0" w:rsidRPr="00BD49E0" w14:paraId="4A64D05A" w14:textId="77777777" w:rsidTr="00111217">
        <w:trPr>
          <w:trHeight w:val="308"/>
          <w:jc w:val="center"/>
        </w:trPr>
        <w:tc>
          <w:tcPr>
            <w:tcW w:w="2569" w:type="dxa"/>
            <w:vAlign w:val="center"/>
          </w:tcPr>
          <w:p w14:paraId="5BEA0E81" w14:textId="77777777" w:rsidR="008721B0" w:rsidRPr="00BD49E0" w:rsidRDefault="008721B0" w:rsidP="008721B0">
            <w:pPr>
              <w:spacing w:line="360" w:lineRule="auto"/>
              <w:ind w:firstLine="0"/>
              <w:rPr>
                <w:rFonts w:eastAsia="Times New Roman"/>
                <w:b/>
                <w:bCs/>
                <w:sz w:val="20"/>
                <w:szCs w:val="20"/>
              </w:rPr>
            </w:pPr>
            <w:r w:rsidRPr="00BD49E0">
              <w:rPr>
                <w:sz w:val="20"/>
                <w:szCs w:val="20"/>
              </w:rPr>
              <w:t>HGB</w:t>
            </w:r>
          </w:p>
        </w:tc>
        <w:tc>
          <w:tcPr>
            <w:tcW w:w="2273" w:type="dxa"/>
            <w:noWrap/>
          </w:tcPr>
          <w:p w14:paraId="3D3B5B55" w14:textId="163AA0F3" w:rsidR="008721B0" w:rsidRPr="00BD49E0" w:rsidRDefault="008721B0" w:rsidP="008721B0">
            <w:pPr>
              <w:spacing w:line="360" w:lineRule="auto"/>
              <w:ind w:firstLine="0"/>
              <w:rPr>
                <w:sz w:val="20"/>
                <w:szCs w:val="20"/>
              </w:rPr>
            </w:pPr>
            <w:r w:rsidRPr="00BD49E0">
              <w:rPr>
                <w:sz w:val="20"/>
                <w:szCs w:val="20"/>
              </w:rPr>
              <w:t>9.</w:t>
            </w:r>
            <w:r>
              <w:rPr>
                <w:sz w:val="20"/>
                <w:szCs w:val="20"/>
              </w:rPr>
              <w:t>3</w:t>
            </w:r>
            <w:r w:rsidRPr="00BD49E0">
              <w:rPr>
                <w:sz w:val="20"/>
                <w:szCs w:val="20"/>
              </w:rPr>
              <w:t xml:space="preserve"> (8.</w:t>
            </w:r>
            <w:r>
              <w:rPr>
                <w:sz w:val="20"/>
                <w:szCs w:val="20"/>
              </w:rPr>
              <w:t>4</w:t>
            </w:r>
            <w:r w:rsidRPr="00BD49E0">
              <w:rPr>
                <w:sz w:val="20"/>
                <w:szCs w:val="20"/>
              </w:rPr>
              <w:t>-1</w:t>
            </w:r>
            <w:r>
              <w:rPr>
                <w:sz w:val="20"/>
                <w:szCs w:val="20"/>
              </w:rPr>
              <w:t>2</w:t>
            </w:r>
            <w:r w:rsidRPr="00BD49E0">
              <w:rPr>
                <w:sz w:val="20"/>
                <w:szCs w:val="20"/>
              </w:rPr>
              <w:t>.</w:t>
            </w:r>
            <w:r>
              <w:rPr>
                <w:sz w:val="20"/>
                <w:szCs w:val="20"/>
              </w:rPr>
              <w:t>8</w:t>
            </w:r>
            <w:r w:rsidRPr="00BD49E0">
              <w:rPr>
                <w:sz w:val="20"/>
                <w:szCs w:val="20"/>
              </w:rPr>
              <w:t>)</w:t>
            </w:r>
          </w:p>
        </w:tc>
        <w:tc>
          <w:tcPr>
            <w:tcW w:w="2353" w:type="dxa"/>
          </w:tcPr>
          <w:p w14:paraId="71654704" w14:textId="2A5F966C" w:rsidR="008721B0" w:rsidRPr="00BD49E0" w:rsidRDefault="008721B0" w:rsidP="008721B0">
            <w:pPr>
              <w:ind w:firstLine="0"/>
              <w:rPr>
                <w:sz w:val="20"/>
                <w:szCs w:val="20"/>
              </w:rPr>
            </w:pPr>
            <w:r>
              <w:rPr>
                <w:sz w:val="20"/>
                <w:szCs w:val="20"/>
              </w:rPr>
              <w:t>9.2</w:t>
            </w:r>
            <w:r w:rsidRPr="00BD49E0">
              <w:rPr>
                <w:sz w:val="20"/>
                <w:szCs w:val="20"/>
              </w:rPr>
              <w:t xml:space="preserve"> (7.3-1</w:t>
            </w:r>
            <w:r>
              <w:rPr>
                <w:sz w:val="20"/>
                <w:szCs w:val="20"/>
              </w:rPr>
              <w:t>4</w:t>
            </w:r>
            <w:r w:rsidRPr="00BD49E0">
              <w:rPr>
                <w:sz w:val="20"/>
                <w:szCs w:val="20"/>
              </w:rPr>
              <w:t>.</w:t>
            </w:r>
            <w:r>
              <w:rPr>
                <w:sz w:val="20"/>
                <w:szCs w:val="20"/>
              </w:rPr>
              <w:t>5</w:t>
            </w:r>
            <w:r w:rsidRPr="00BD49E0">
              <w:rPr>
                <w:sz w:val="20"/>
                <w:szCs w:val="20"/>
              </w:rPr>
              <w:t>)</w:t>
            </w:r>
          </w:p>
        </w:tc>
        <w:tc>
          <w:tcPr>
            <w:tcW w:w="1749" w:type="dxa"/>
            <w:vAlign w:val="center"/>
          </w:tcPr>
          <w:p w14:paraId="08734D30" w14:textId="5E23930B"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0.86</w:t>
            </w:r>
          </w:p>
        </w:tc>
      </w:tr>
      <w:tr w:rsidR="008721B0" w:rsidRPr="00BD49E0" w14:paraId="5E73F092" w14:textId="77777777" w:rsidTr="00111217">
        <w:trPr>
          <w:trHeight w:val="308"/>
          <w:jc w:val="center"/>
        </w:trPr>
        <w:tc>
          <w:tcPr>
            <w:tcW w:w="2569" w:type="dxa"/>
            <w:vAlign w:val="center"/>
          </w:tcPr>
          <w:p w14:paraId="1899E317" w14:textId="77777777" w:rsidR="008721B0" w:rsidRPr="00BD49E0" w:rsidRDefault="008721B0" w:rsidP="008721B0">
            <w:pPr>
              <w:spacing w:line="360" w:lineRule="auto"/>
              <w:ind w:firstLine="0"/>
              <w:rPr>
                <w:sz w:val="20"/>
                <w:szCs w:val="20"/>
              </w:rPr>
            </w:pPr>
            <w:r w:rsidRPr="00BD49E0">
              <w:rPr>
                <w:sz w:val="20"/>
                <w:szCs w:val="20"/>
              </w:rPr>
              <w:t>HTC</w:t>
            </w:r>
          </w:p>
        </w:tc>
        <w:tc>
          <w:tcPr>
            <w:tcW w:w="2273" w:type="dxa"/>
            <w:noWrap/>
          </w:tcPr>
          <w:p w14:paraId="62A9AD63" w14:textId="5E9A0CAF" w:rsidR="008721B0" w:rsidRPr="00BD49E0" w:rsidRDefault="008721B0" w:rsidP="008721B0">
            <w:pPr>
              <w:spacing w:line="360" w:lineRule="auto"/>
              <w:ind w:firstLine="0"/>
              <w:rPr>
                <w:sz w:val="20"/>
                <w:szCs w:val="20"/>
              </w:rPr>
            </w:pPr>
            <w:r w:rsidRPr="00BD49E0">
              <w:rPr>
                <w:sz w:val="20"/>
                <w:szCs w:val="20"/>
              </w:rPr>
              <w:t>2</w:t>
            </w:r>
            <w:r>
              <w:rPr>
                <w:sz w:val="20"/>
                <w:szCs w:val="20"/>
              </w:rPr>
              <w:t>7</w:t>
            </w:r>
            <w:r w:rsidRPr="00BD49E0">
              <w:rPr>
                <w:sz w:val="20"/>
                <w:szCs w:val="20"/>
              </w:rPr>
              <w:t>.</w:t>
            </w:r>
            <w:r>
              <w:rPr>
                <w:sz w:val="20"/>
                <w:szCs w:val="20"/>
              </w:rPr>
              <w:t>8</w:t>
            </w:r>
            <w:r w:rsidRPr="00BD49E0">
              <w:rPr>
                <w:sz w:val="20"/>
                <w:szCs w:val="20"/>
              </w:rPr>
              <w:t xml:space="preserve"> (24.2-</w:t>
            </w:r>
            <w:r>
              <w:rPr>
                <w:sz w:val="20"/>
                <w:szCs w:val="20"/>
              </w:rPr>
              <w:t>36.6</w:t>
            </w:r>
            <w:r w:rsidRPr="00BD49E0">
              <w:rPr>
                <w:sz w:val="20"/>
                <w:szCs w:val="20"/>
              </w:rPr>
              <w:t>)</w:t>
            </w:r>
          </w:p>
        </w:tc>
        <w:tc>
          <w:tcPr>
            <w:tcW w:w="2353" w:type="dxa"/>
          </w:tcPr>
          <w:p w14:paraId="7429CE30" w14:textId="301A7C23" w:rsidR="008721B0" w:rsidRPr="00BD49E0" w:rsidRDefault="008721B0" w:rsidP="008721B0">
            <w:pPr>
              <w:ind w:firstLine="0"/>
              <w:rPr>
                <w:sz w:val="20"/>
                <w:szCs w:val="20"/>
              </w:rPr>
            </w:pPr>
            <w:r>
              <w:rPr>
                <w:sz w:val="20"/>
                <w:szCs w:val="20"/>
              </w:rPr>
              <w:t>29</w:t>
            </w:r>
            <w:r w:rsidRPr="00BD49E0">
              <w:rPr>
                <w:sz w:val="20"/>
                <w:szCs w:val="20"/>
              </w:rPr>
              <w:t>.4 (22-</w:t>
            </w:r>
            <w:r>
              <w:rPr>
                <w:sz w:val="20"/>
                <w:szCs w:val="20"/>
              </w:rPr>
              <w:t>42.2</w:t>
            </w:r>
            <w:r w:rsidRPr="00BD49E0">
              <w:rPr>
                <w:sz w:val="20"/>
                <w:szCs w:val="20"/>
              </w:rPr>
              <w:t>)</w:t>
            </w:r>
          </w:p>
        </w:tc>
        <w:tc>
          <w:tcPr>
            <w:tcW w:w="1749" w:type="dxa"/>
            <w:vAlign w:val="center"/>
          </w:tcPr>
          <w:p w14:paraId="647E5AF2" w14:textId="6873E71E"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0.79</w:t>
            </w:r>
          </w:p>
        </w:tc>
      </w:tr>
      <w:tr w:rsidR="008721B0" w:rsidRPr="00BD49E0" w14:paraId="704F3F71" w14:textId="77777777" w:rsidTr="00111217">
        <w:trPr>
          <w:trHeight w:val="308"/>
          <w:jc w:val="center"/>
        </w:trPr>
        <w:tc>
          <w:tcPr>
            <w:tcW w:w="2569" w:type="dxa"/>
            <w:vAlign w:val="center"/>
          </w:tcPr>
          <w:p w14:paraId="20E0F825" w14:textId="77777777" w:rsidR="008721B0" w:rsidRPr="00BD49E0" w:rsidRDefault="008721B0" w:rsidP="008721B0">
            <w:pPr>
              <w:spacing w:line="360" w:lineRule="auto"/>
              <w:ind w:firstLine="0"/>
              <w:rPr>
                <w:sz w:val="20"/>
                <w:szCs w:val="20"/>
              </w:rPr>
            </w:pPr>
            <w:r w:rsidRPr="00BD49E0">
              <w:rPr>
                <w:sz w:val="20"/>
                <w:szCs w:val="20"/>
              </w:rPr>
              <w:t>LENFOSİT</w:t>
            </w:r>
          </w:p>
        </w:tc>
        <w:tc>
          <w:tcPr>
            <w:tcW w:w="2273" w:type="dxa"/>
            <w:noWrap/>
          </w:tcPr>
          <w:p w14:paraId="719C5484" w14:textId="3E511366" w:rsidR="008721B0" w:rsidRPr="00BD49E0" w:rsidRDefault="008721B0" w:rsidP="008721B0">
            <w:pPr>
              <w:spacing w:line="360" w:lineRule="auto"/>
              <w:ind w:firstLine="0"/>
              <w:rPr>
                <w:sz w:val="20"/>
                <w:szCs w:val="20"/>
              </w:rPr>
            </w:pPr>
            <w:r w:rsidRPr="00BD49E0">
              <w:rPr>
                <w:sz w:val="20"/>
                <w:szCs w:val="20"/>
              </w:rPr>
              <w:t>1</w:t>
            </w:r>
            <w:r>
              <w:rPr>
                <w:sz w:val="20"/>
                <w:szCs w:val="20"/>
              </w:rPr>
              <w:t>160</w:t>
            </w:r>
            <w:r w:rsidRPr="00BD49E0">
              <w:rPr>
                <w:sz w:val="20"/>
                <w:szCs w:val="20"/>
              </w:rPr>
              <w:t xml:space="preserve"> (110-</w:t>
            </w:r>
            <w:r>
              <w:rPr>
                <w:sz w:val="20"/>
                <w:szCs w:val="20"/>
              </w:rPr>
              <w:t>2720</w:t>
            </w:r>
            <w:r w:rsidRPr="00BD49E0">
              <w:rPr>
                <w:sz w:val="20"/>
                <w:szCs w:val="20"/>
              </w:rPr>
              <w:t>)</w:t>
            </w:r>
          </w:p>
        </w:tc>
        <w:tc>
          <w:tcPr>
            <w:tcW w:w="2353" w:type="dxa"/>
          </w:tcPr>
          <w:p w14:paraId="585BE2CD" w14:textId="03190876" w:rsidR="008721B0" w:rsidRPr="00BD49E0" w:rsidRDefault="008721B0" w:rsidP="008721B0">
            <w:pPr>
              <w:ind w:firstLine="0"/>
              <w:rPr>
                <w:sz w:val="20"/>
                <w:szCs w:val="20"/>
              </w:rPr>
            </w:pPr>
            <w:r>
              <w:rPr>
                <w:sz w:val="20"/>
                <w:szCs w:val="20"/>
              </w:rPr>
              <w:t>1410</w:t>
            </w:r>
            <w:r w:rsidRPr="00BD49E0">
              <w:rPr>
                <w:sz w:val="20"/>
                <w:szCs w:val="20"/>
              </w:rPr>
              <w:t xml:space="preserve"> (120-</w:t>
            </w:r>
            <w:r>
              <w:rPr>
                <w:sz w:val="20"/>
                <w:szCs w:val="20"/>
              </w:rPr>
              <w:t>3340</w:t>
            </w:r>
            <w:r w:rsidRPr="00BD49E0">
              <w:rPr>
                <w:sz w:val="20"/>
                <w:szCs w:val="20"/>
              </w:rPr>
              <w:t>)</w:t>
            </w:r>
          </w:p>
        </w:tc>
        <w:tc>
          <w:tcPr>
            <w:tcW w:w="1749" w:type="dxa"/>
            <w:vAlign w:val="center"/>
          </w:tcPr>
          <w:p w14:paraId="1D480E09" w14:textId="41766767"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0.90</w:t>
            </w:r>
          </w:p>
        </w:tc>
      </w:tr>
      <w:tr w:rsidR="008721B0" w:rsidRPr="00BD49E0" w14:paraId="653FCD32" w14:textId="77777777" w:rsidTr="00111217">
        <w:trPr>
          <w:trHeight w:val="308"/>
          <w:jc w:val="center"/>
        </w:trPr>
        <w:tc>
          <w:tcPr>
            <w:tcW w:w="2569" w:type="dxa"/>
            <w:vAlign w:val="center"/>
          </w:tcPr>
          <w:p w14:paraId="2B41B987" w14:textId="77777777" w:rsidR="008721B0" w:rsidRPr="00BD49E0" w:rsidRDefault="008721B0" w:rsidP="008721B0">
            <w:pPr>
              <w:spacing w:line="360" w:lineRule="auto"/>
              <w:ind w:firstLine="0"/>
              <w:rPr>
                <w:sz w:val="20"/>
                <w:szCs w:val="20"/>
              </w:rPr>
            </w:pPr>
            <w:r w:rsidRPr="00BD49E0">
              <w:rPr>
                <w:sz w:val="20"/>
                <w:szCs w:val="20"/>
              </w:rPr>
              <w:t>NÖTROFİL</w:t>
            </w:r>
          </w:p>
        </w:tc>
        <w:tc>
          <w:tcPr>
            <w:tcW w:w="2273" w:type="dxa"/>
            <w:noWrap/>
          </w:tcPr>
          <w:p w14:paraId="1377440A" w14:textId="50039E15" w:rsidR="008721B0" w:rsidRPr="00BD49E0" w:rsidRDefault="008721B0" w:rsidP="008721B0">
            <w:pPr>
              <w:spacing w:line="360" w:lineRule="auto"/>
              <w:ind w:firstLine="0"/>
              <w:rPr>
                <w:sz w:val="20"/>
                <w:szCs w:val="20"/>
              </w:rPr>
            </w:pPr>
            <w:r>
              <w:rPr>
                <w:sz w:val="20"/>
                <w:szCs w:val="20"/>
              </w:rPr>
              <w:t>9420</w:t>
            </w:r>
            <w:r w:rsidRPr="00BD49E0">
              <w:rPr>
                <w:sz w:val="20"/>
                <w:szCs w:val="20"/>
              </w:rPr>
              <w:t xml:space="preserve"> (4</w:t>
            </w:r>
            <w:r>
              <w:rPr>
                <w:sz w:val="20"/>
                <w:szCs w:val="20"/>
              </w:rPr>
              <w:t>680</w:t>
            </w:r>
            <w:r w:rsidRPr="00BD49E0">
              <w:rPr>
                <w:sz w:val="20"/>
                <w:szCs w:val="20"/>
              </w:rPr>
              <w:t>-</w:t>
            </w:r>
            <w:r>
              <w:rPr>
                <w:sz w:val="20"/>
                <w:szCs w:val="20"/>
              </w:rPr>
              <w:t>81800</w:t>
            </w:r>
            <w:r w:rsidRPr="00BD49E0">
              <w:rPr>
                <w:sz w:val="20"/>
                <w:szCs w:val="20"/>
              </w:rPr>
              <w:t>)</w:t>
            </w:r>
          </w:p>
        </w:tc>
        <w:tc>
          <w:tcPr>
            <w:tcW w:w="2353" w:type="dxa"/>
          </w:tcPr>
          <w:p w14:paraId="035A3471" w14:textId="72663DC1" w:rsidR="008721B0" w:rsidRPr="00BD49E0" w:rsidRDefault="008721B0" w:rsidP="008721B0">
            <w:pPr>
              <w:ind w:firstLine="0"/>
              <w:rPr>
                <w:sz w:val="20"/>
                <w:szCs w:val="20"/>
              </w:rPr>
            </w:pPr>
            <w:r w:rsidRPr="00BD49E0">
              <w:rPr>
                <w:sz w:val="20"/>
                <w:szCs w:val="20"/>
              </w:rPr>
              <w:t>1</w:t>
            </w:r>
            <w:r>
              <w:rPr>
                <w:sz w:val="20"/>
                <w:szCs w:val="20"/>
              </w:rPr>
              <w:t>4560</w:t>
            </w:r>
            <w:r w:rsidRPr="00BD49E0">
              <w:rPr>
                <w:sz w:val="20"/>
                <w:szCs w:val="20"/>
              </w:rPr>
              <w:t xml:space="preserve"> (1720-</w:t>
            </w:r>
            <w:r>
              <w:rPr>
                <w:sz w:val="20"/>
                <w:szCs w:val="20"/>
              </w:rPr>
              <w:t>47100</w:t>
            </w:r>
            <w:r w:rsidRPr="00BD49E0">
              <w:rPr>
                <w:sz w:val="20"/>
                <w:szCs w:val="20"/>
              </w:rPr>
              <w:t>)</w:t>
            </w:r>
          </w:p>
        </w:tc>
        <w:tc>
          <w:tcPr>
            <w:tcW w:w="1749" w:type="dxa"/>
            <w:vAlign w:val="center"/>
          </w:tcPr>
          <w:p w14:paraId="203325DA" w14:textId="7669BDC5"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0.24</w:t>
            </w:r>
          </w:p>
        </w:tc>
      </w:tr>
      <w:tr w:rsidR="008721B0" w:rsidRPr="00BD49E0" w14:paraId="73AAE779" w14:textId="77777777" w:rsidTr="00111217">
        <w:trPr>
          <w:trHeight w:val="308"/>
          <w:jc w:val="center"/>
        </w:trPr>
        <w:tc>
          <w:tcPr>
            <w:tcW w:w="2569" w:type="dxa"/>
            <w:vAlign w:val="center"/>
          </w:tcPr>
          <w:p w14:paraId="5BAFEF6C" w14:textId="77777777" w:rsidR="008721B0" w:rsidRPr="00BD49E0" w:rsidRDefault="008721B0" w:rsidP="008721B0">
            <w:pPr>
              <w:spacing w:line="360" w:lineRule="auto"/>
              <w:ind w:firstLine="0"/>
              <w:rPr>
                <w:sz w:val="20"/>
                <w:szCs w:val="20"/>
              </w:rPr>
            </w:pPr>
            <w:r w:rsidRPr="00BD49E0">
              <w:rPr>
                <w:sz w:val="20"/>
                <w:szCs w:val="20"/>
              </w:rPr>
              <w:t>PLT</w:t>
            </w:r>
            <w:r w:rsidRPr="00BD49E0">
              <w:rPr>
                <w:sz w:val="20"/>
                <w:szCs w:val="20"/>
              </w:rPr>
              <w:tab/>
            </w:r>
          </w:p>
        </w:tc>
        <w:tc>
          <w:tcPr>
            <w:tcW w:w="2273" w:type="dxa"/>
            <w:noWrap/>
          </w:tcPr>
          <w:p w14:paraId="0780F088" w14:textId="5B03FB04" w:rsidR="008721B0" w:rsidRPr="00BD49E0" w:rsidRDefault="008721B0" w:rsidP="008721B0">
            <w:pPr>
              <w:spacing w:line="360" w:lineRule="auto"/>
              <w:ind w:firstLine="0"/>
              <w:rPr>
                <w:sz w:val="20"/>
                <w:szCs w:val="20"/>
              </w:rPr>
            </w:pPr>
            <w:r w:rsidRPr="00BD49E0">
              <w:rPr>
                <w:sz w:val="20"/>
                <w:szCs w:val="20"/>
              </w:rPr>
              <w:t>1</w:t>
            </w:r>
            <w:r>
              <w:rPr>
                <w:sz w:val="20"/>
                <w:szCs w:val="20"/>
              </w:rPr>
              <w:t>1700</w:t>
            </w:r>
            <w:r w:rsidRPr="00BD49E0">
              <w:rPr>
                <w:sz w:val="20"/>
                <w:szCs w:val="20"/>
              </w:rPr>
              <w:t>0 (2</w:t>
            </w:r>
            <w:r>
              <w:rPr>
                <w:sz w:val="20"/>
                <w:szCs w:val="20"/>
              </w:rPr>
              <w:t>5</w:t>
            </w:r>
            <w:r w:rsidRPr="00BD49E0">
              <w:rPr>
                <w:sz w:val="20"/>
                <w:szCs w:val="20"/>
              </w:rPr>
              <w:t>000-</w:t>
            </w:r>
            <w:r>
              <w:rPr>
                <w:sz w:val="20"/>
                <w:szCs w:val="20"/>
              </w:rPr>
              <w:t>174</w:t>
            </w:r>
            <w:r w:rsidRPr="00BD49E0">
              <w:rPr>
                <w:sz w:val="20"/>
                <w:szCs w:val="20"/>
              </w:rPr>
              <w:t>000)</w:t>
            </w:r>
          </w:p>
        </w:tc>
        <w:tc>
          <w:tcPr>
            <w:tcW w:w="2353" w:type="dxa"/>
          </w:tcPr>
          <w:p w14:paraId="35885E00" w14:textId="575BF95E" w:rsidR="008721B0" w:rsidRPr="00BD49E0" w:rsidRDefault="008721B0" w:rsidP="008721B0">
            <w:pPr>
              <w:ind w:firstLine="0"/>
              <w:rPr>
                <w:sz w:val="20"/>
                <w:szCs w:val="20"/>
              </w:rPr>
            </w:pPr>
            <w:r>
              <w:rPr>
                <w:sz w:val="20"/>
                <w:szCs w:val="20"/>
              </w:rPr>
              <w:t>7000</w:t>
            </w:r>
            <w:r w:rsidRPr="00BD49E0">
              <w:rPr>
                <w:sz w:val="20"/>
                <w:szCs w:val="20"/>
              </w:rPr>
              <w:t>0 (2</w:t>
            </w:r>
            <w:r>
              <w:rPr>
                <w:sz w:val="20"/>
                <w:szCs w:val="20"/>
              </w:rPr>
              <w:t>2000-27700</w:t>
            </w:r>
            <w:r w:rsidRPr="00BD49E0">
              <w:rPr>
                <w:sz w:val="20"/>
                <w:szCs w:val="20"/>
              </w:rPr>
              <w:t>0)</w:t>
            </w:r>
          </w:p>
        </w:tc>
        <w:tc>
          <w:tcPr>
            <w:tcW w:w="1749" w:type="dxa"/>
            <w:vAlign w:val="center"/>
          </w:tcPr>
          <w:p w14:paraId="06BF4AF2" w14:textId="51A22939"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0.50</w:t>
            </w:r>
          </w:p>
        </w:tc>
      </w:tr>
      <w:tr w:rsidR="008721B0" w:rsidRPr="00BD49E0" w14:paraId="301FB329" w14:textId="77777777" w:rsidTr="00111217">
        <w:trPr>
          <w:trHeight w:val="308"/>
          <w:jc w:val="center"/>
        </w:trPr>
        <w:tc>
          <w:tcPr>
            <w:tcW w:w="2569" w:type="dxa"/>
            <w:vAlign w:val="center"/>
          </w:tcPr>
          <w:p w14:paraId="7E7F0AAF" w14:textId="77777777" w:rsidR="008721B0" w:rsidRPr="00BD49E0" w:rsidRDefault="008721B0" w:rsidP="008721B0">
            <w:pPr>
              <w:spacing w:line="360" w:lineRule="auto"/>
              <w:ind w:firstLine="0"/>
              <w:rPr>
                <w:sz w:val="20"/>
                <w:szCs w:val="20"/>
              </w:rPr>
            </w:pPr>
            <w:r w:rsidRPr="00BD49E0">
              <w:rPr>
                <w:sz w:val="20"/>
                <w:szCs w:val="20"/>
              </w:rPr>
              <w:t>INR</w:t>
            </w:r>
          </w:p>
        </w:tc>
        <w:tc>
          <w:tcPr>
            <w:tcW w:w="2273" w:type="dxa"/>
            <w:noWrap/>
          </w:tcPr>
          <w:p w14:paraId="6AC9D3FB" w14:textId="38E0B2F4" w:rsidR="008721B0" w:rsidRPr="00BD49E0" w:rsidRDefault="008721B0" w:rsidP="008721B0">
            <w:pPr>
              <w:spacing w:line="360" w:lineRule="auto"/>
              <w:ind w:firstLine="0"/>
              <w:rPr>
                <w:sz w:val="20"/>
                <w:szCs w:val="20"/>
              </w:rPr>
            </w:pPr>
            <w:r w:rsidRPr="00BD49E0">
              <w:rPr>
                <w:sz w:val="20"/>
                <w:szCs w:val="20"/>
              </w:rPr>
              <w:t>1.2 (1-1.6)</w:t>
            </w:r>
          </w:p>
        </w:tc>
        <w:tc>
          <w:tcPr>
            <w:tcW w:w="2353" w:type="dxa"/>
          </w:tcPr>
          <w:p w14:paraId="3EA62E2B" w14:textId="7E7A7D69" w:rsidR="008721B0" w:rsidRPr="00BD49E0" w:rsidRDefault="008721B0" w:rsidP="008721B0">
            <w:pPr>
              <w:ind w:firstLine="0"/>
              <w:rPr>
                <w:sz w:val="20"/>
                <w:szCs w:val="20"/>
              </w:rPr>
            </w:pPr>
            <w:r w:rsidRPr="00BD49E0">
              <w:rPr>
                <w:sz w:val="20"/>
                <w:szCs w:val="20"/>
              </w:rPr>
              <w:t>1.</w:t>
            </w:r>
            <w:r>
              <w:rPr>
                <w:sz w:val="20"/>
                <w:szCs w:val="20"/>
              </w:rPr>
              <w:t>2</w:t>
            </w:r>
            <w:r w:rsidRPr="00BD49E0">
              <w:rPr>
                <w:sz w:val="20"/>
                <w:szCs w:val="20"/>
              </w:rPr>
              <w:t xml:space="preserve"> (1.</w:t>
            </w:r>
            <w:r>
              <w:rPr>
                <w:sz w:val="20"/>
                <w:szCs w:val="20"/>
              </w:rPr>
              <w:t>1</w:t>
            </w:r>
            <w:r w:rsidRPr="00BD49E0">
              <w:rPr>
                <w:sz w:val="20"/>
                <w:szCs w:val="20"/>
              </w:rPr>
              <w:t>-2.9)</w:t>
            </w:r>
          </w:p>
        </w:tc>
        <w:tc>
          <w:tcPr>
            <w:tcW w:w="1749" w:type="dxa"/>
            <w:vAlign w:val="center"/>
          </w:tcPr>
          <w:p w14:paraId="4574E270" w14:textId="551456E2"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0.48</w:t>
            </w:r>
          </w:p>
        </w:tc>
      </w:tr>
      <w:tr w:rsidR="008721B0" w:rsidRPr="00BD49E0" w14:paraId="22760E88" w14:textId="77777777" w:rsidTr="00111217">
        <w:trPr>
          <w:trHeight w:val="308"/>
          <w:jc w:val="center"/>
        </w:trPr>
        <w:tc>
          <w:tcPr>
            <w:tcW w:w="2569" w:type="dxa"/>
            <w:vAlign w:val="center"/>
          </w:tcPr>
          <w:p w14:paraId="361131D5" w14:textId="26182D35" w:rsidR="008721B0" w:rsidRPr="00BD49E0" w:rsidRDefault="008721B0" w:rsidP="008721B0">
            <w:pPr>
              <w:ind w:firstLine="0"/>
              <w:rPr>
                <w:sz w:val="20"/>
                <w:szCs w:val="20"/>
              </w:rPr>
            </w:pPr>
            <w:r>
              <w:rPr>
                <w:sz w:val="20"/>
                <w:szCs w:val="20"/>
              </w:rPr>
              <w:t>PTZ</w:t>
            </w:r>
          </w:p>
        </w:tc>
        <w:tc>
          <w:tcPr>
            <w:tcW w:w="2273" w:type="dxa"/>
            <w:noWrap/>
          </w:tcPr>
          <w:p w14:paraId="4CB17D76" w14:textId="1F3E1335" w:rsidR="008721B0" w:rsidRPr="00BD49E0" w:rsidRDefault="008721B0" w:rsidP="008721B0">
            <w:pPr>
              <w:ind w:firstLine="0"/>
              <w:rPr>
                <w:sz w:val="20"/>
                <w:szCs w:val="20"/>
              </w:rPr>
            </w:pPr>
            <w:r>
              <w:rPr>
                <w:sz w:val="20"/>
                <w:szCs w:val="20"/>
              </w:rPr>
              <w:t>15.7 (12.2-18.4)</w:t>
            </w:r>
          </w:p>
        </w:tc>
        <w:tc>
          <w:tcPr>
            <w:tcW w:w="2353" w:type="dxa"/>
          </w:tcPr>
          <w:p w14:paraId="30D3D445" w14:textId="3C2A256C" w:rsidR="008721B0" w:rsidRPr="00BD49E0" w:rsidRDefault="008721B0" w:rsidP="008721B0">
            <w:pPr>
              <w:ind w:firstLine="0"/>
              <w:rPr>
                <w:sz w:val="20"/>
                <w:szCs w:val="20"/>
              </w:rPr>
            </w:pPr>
            <w:r>
              <w:rPr>
                <w:sz w:val="20"/>
                <w:szCs w:val="20"/>
              </w:rPr>
              <w:t>17.6 (13.3-45.1)</w:t>
            </w:r>
          </w:p>
        </w:tc>
        <w:tc>
          <w:tcPr>
            <w:tcW w:w="1749" w:type="dxa"/>
            <w:vAlign w:val="center"/>
          </w:tcPr>
          <w:p w14:paraId="03CB1F22" w14:textId="0855FA84" w:rsidR="008721B0" w:rsidRPr="00BD49E0" w:rsidRDefault="008721B0" w:rsidP="008721B0">
            <w:pPr>
              <w:ind w:right="360" w:firstLine="0"/>
              <w:jc w:val="center"/>
              <w:rPr>
                <w:rFonts w:eastAsia="Times New Roman"/>
                <w:sz w:val="20"/>
                <w:szCs w:val="20"/>
              </w:rPr>
            </w:pPr>
            <w:r>
              <w:rPr>
                <w:rFonts w:eastAsia="Times New Roman"/>
                <w:sz w:val="20"/>
                <w:szCs w:val="20"/>
              </w:rPr>
              <w:t>0.08</w:t>
            </w:r>
          </w:p>
        </w:tc>
      </w:tr>
      <w:tr w:rsidR="008721B0" w:rsidRPr="00BD49E0" w14:paraId="4A040511" w14:textId="77777777" w:rsidTr="00111217">
        <w:trPr>
          <w:trHeight w:val="308"/>
          <w:jc w:val="center"/>
        </w:trPr>
        <w:tc>
          <w:tcPr>
            <w:tcW w:w="2569" w:type="dxa"/>
            <w:vAlign w:val="center"/>
          </w:tcPr>
          <w:p w14:paraId="4B2908E1" w14:textId="4C06C28B" w:rsidR="008721B0" w:rsidRPr="00BD49E0" w:rsidRDefault="00EE69CB" w:rsidP="008721B0">
            <w:pPr>
              <w:spacing w:line="360" w:lineRule="auto"/>
              <w:ind w:firstLine="0"/>
              <w:rPr>
                <w:sz w:val="20"/>
                <w:szCs w:val="20"/>
              </w:rPr>
            </w:pPr>
            <w:r>
              <w:rPr>
                <w:sz w:val="20"/>
                <w:szCs w:val="20"/>
              </w:rPr>
              <w:t>a</w:t>
            </w:r>
            <w:r w:rsidR="00CE1309">
              <w:rPr>
                <w:sz w:val="20"/>
                <w:szCs w:val="20"/>
              </w:rPr>
              <w:t>PTT</w:t>
            </w:r>
          </w:p>
        </w:tc>
        <w:tc>
          <w:tcPr>
            <w:tcW w:w="2273" w:type="dxa"/>
            <w:noWrap/>
          </w:tcPr>
          <w:p w14:paraId="0046898B" w14:textId="38AECD78" w:rsidR="008721B0" w:rsidRPr="00BD49E0" w:rsidRDefault="008721B0" w:rsidP="008721B0">
            <w:pPr>
              <w:spacing w:line="360" w:lineRule="auto"/>
              <w:ind w:firstLine="0"/>
              <w:rPr>
                <w:sz w:val="20"/>
                <w:szCs w:val="20"/>
              </w:rPr>
            </w:pPr>
            <w:r w:rsidRPr="00BD49E0">
              <w:rPr>
                <w:sz w:val="20"/>
                <w:szCs w:val="20"/>
              </w:rPr>
              <w:t>2</w:t>
            </w:r>
            <w:r>
              <w:rPr>
                <w:sz w:val="20"/>
                <w:szCs w:val="20"/>
              </w:rPr>
              <w:t>5</w:t>
            </w:r>
            <w:r w:rsidRPr="00BD49E0">
              <w:rPr>
                <w:sz w:val="20"/>
                <w:szCs w:val="20"/>
              </w:rPr>
              <w:t>.</w:t>
            </w:r>
            <w:r>
              <w:rPr>
                <w:sz w:val="20"/>
                <w:szCs w:val="20"/>
              </w:rPr>
              <w:t>8</w:t>
            </w:r>
            <w:r w:rsidRPr="00BD49E0">
              <w:rPr>
                <w:sz w:val="20"/>
                <w:szCs w:val="20"/>
              </w:rPr>
              <w:t xml:space="preserve"> (20.4-3</w:t>
            </w:r>
            <w:r>
              <w:rPr>
                <w:sz w:val="20"/>
                <w:szCs w:val="20"/>
              </w:rPr>
              <w:t>0</w:t>
            </w:r>
            <w:r w:rsidRPr="00BD49E0">
              <w:rPr>
                <w:sz w:val="20"/>
                <w:szCs w:val="20"/>
              </w:rPr>
              <w:t>.</w:t>
            </w:r>
            <w:r>
              <w:rPr>
                <w:sz w:val="20"/>
                <w:szCs w:val="20"/>
              </w:rPr>
              <w:t>5</w:t>
            </w:r>
            <w:r w:rsidRPr="00BD49E0">
              <w:rPr>
                <w:sz w:val="20"/>
                <w:szCs w:val="20"/>
              </w:rPr>
              <w:t>)</w:t>
            </w:r>
          </w:p>
        </w:tc>
        <w:tc>
          <w:tcPr>
            <w:tcW w:w="2353" w:type="dxa"/>
          </w:tcPr>
          <w:p w14:paraId="78FD6B33" w14:textId="37EA78E0" w:rsidR="008721B0" w:rsidRPr="00BD49E0" w:rsidRDefault="008721B0" w:rsidP="008721B0">
            <w:pPr>
              <w:ind w:firstLine="0"/>
              <w:rPr>
                <w:sz w:val="20"/>
                <w:szCs w:val="20"/>
              </w:rPr>
            </w:pPr>
            <w:r w:rsidRPr="00BD49E0">
              <w:rPr>
                <w:sz w:val="20"/>
                <w:szCs w:val="20"/>
              </w:rPr>
              <w:t>2</w:t>
            </w:r>
            <w:r>
              <w:rPr>
                <w:sz w:val="20"/>
                <w:szCs w:val="20"/>
              </w:rPr>
              <w:t>4</w:t>
            </w:r>
            <w:r w:rsidRPr="00BD49E0">
              <w:rPr>
                <w:sz w:val="20"/>
                <w:szCs w:val="20"/>
              </w:rPr>
              <w:t>.</w:t>
            </w:r>
            <w:r>
              <w:rPr>
                <w:sz w:val="20"/>
                <w:szCs w:val="20"/>
              </w:rPr>
              <w:t>5</w:t>
            </w:r>
            <w:r w:rsidRPr="00BD49E0">
              <w:rPr>
                <w:sz w:val="20"/>
                <w:szCs w:val="20"/>
              </w:rPr>
              <w:t xml:space="preserve"> (19-60.3)</w:t>
            </w:r>
          </w:p>
        </w:tc>
        <w:tc>
          <w:tcPr>
            <w:tcW w:w="1749" w:type="dxa"/>
            <w:vAlign w:val="center"/>
          </w:tcPr>
          <w:p w14:paraId="6EEE60CA" w14:textId="65784855"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0.79</w:t>
            </w:r>
          </w:p>
        </w:tc>
      </w:tr>
      <w:tr w:rsidR="008721B0" w:rsidRPr="00BD49E0" w14:paraId="5A0452D8" w14:textId="77777777" w:rsidTr="00111217">
        <w:trPr>
          <w:trHeight w:val="308"/>
          <w:jc w:val="center"/>
        </w:trPr>
        <w:tc>
          <w:tcPr>
            <w:tcW w:w="2569" w:type="dxa"/>
            <w:vAlign w:val="center"/>
          </w:tcPr>
          <w:p w14:paraId="1743355F" w14:textId="77777777" w:rsidR="008721B0" w:rsidRPr="00BD49E0" w:rsidRDefault="008721B0" w:rsidP="008721B0">
            <w:pPr>
              <w:spacing w:line="360" w:lineRule="auto"/>
              <w:ind w:firstLine="0"/>
              <w:rPr>
                <w:sz w:val="20"/>
                <w:szCs w:val="20"/>
              </w:rPr>
            </w:pPr>
            <w:r w:rsidRPr="00BD49E0">
              <w:rPr>
                <w:sz w:val="20"/>
                <w:szCs w:val="20"/>
              </w:rPr>
              <w:t>CRP</w:t>
            </w:r>
          </w:p>
        </w:tc>
        <w:tc>
          <w:tcPr>
            <w:tcW w:w="2273" w:type="dxa"/>
            <w:noWrap/>
          </w:tcPr>
          <w:p w14:paraId="086328F9" w14:textId="6ED14A84" w:rsidR="008721B0" w:rsidRPr="00BD49E0" w:rsidRDefault="008721B0" w:rsidP="008721B0">
            <w:pPr>
              <w:spacing w:line="360" w:lineRule="auto"/>
              <w:ind w:firstLine="0"/>
              <w:rPr>
                <w:sz w:val="20"/>
                <w:szCs w:val="20"/>
              </w:rPr>
            </w:pPr>
            <w:r w:rsidRPr="00BD49E0">
              <w:rPr>
                <w:sz w:val="20"/>
                <w:szCs w:val="20"/>
              </w:rPr>
              <w:t>7.</w:t>
            </w:r>
            <w:r>
              <w:rPr>
                <w:sz w:val="20"/>
                <w:szCs w:val="20"/>
              </w:rPr>
              <w:t>7</w:t>
            </w:r>
            <w:r w:rsidRPr="00BD49E0">
              <w:rPr>
                <w:sz w:val="20"/>
                <w:szCs w:val="20"/>
              </w:rPr>
              <w:t xml:space="preserve"> (</w:t>
            </w:r>
            <w:r>
              <w:rPr>
                <w:sz w:val="20"/>
                <w:szCs w:val="20"/>
              </w:rPr>
              <w:t>2</w:t>
            </w:r>
            <w:r w:rsidRPr="00BD49E0">
              <w:rPr>
                <w:sz w:val="20"/>
                <w:szCs w:val="20"/>
              </w:rPr>
              <w:t>-20.7)</w:t>
            </w:r>
          </w:p>
        </w:tc>
        <w:tc>
          <w:tcPr>
            <w:tcW w:w="2353" w:type="dxa"/>
          </w:tcPr>
          <w:p w14:paraId="645DE8D1" w14:textId="392BFEA5" w:rsidR="008721B0" w:rsidRPr="00BD49E0" w:rsidRDefault="008721B0" w:rsidP="008721B0">
            <w:pPr>
              <w:ind w:firstLine="0"/>
              <w:rPr>
                <w:sz w:val="20"/>
                <w:szCs w:val="20"/>
              </w:rPr>
            </w:pPr>
            <w:r w:rsidRPr="00BD49E0">
              <w:rPr>
                <w:sz w:val="20"/>
                <w:szCs w:val="20"/>
              </w:rPr>
              <w:t>5.</w:t>
            </w:r>
            <w:r>
              <w:rPr>
                <w:sz w:val="20"/>
                <w:szCs w:val="20"/>
              </w:rPr>
              <w:t>6</w:t>
            </w:r>
            <w:r w:rsidRPr="00BD49E0">
              <w:rPr>
                <w:sz w:val="20"/>
                <w:szCs w:val="20"/>
              </w:rPr>
              <w:t xml:space="preserve"> (0.32-1</w:t>
            </w:r>
            <w:r>
              <w:rPr>
                <w:sz w:val="20"/>
                <w:szCs w:val="20"/>
              </w:rPr>
              <w:t>4</w:t>
            </w:r>
            <w:r w:rsidRPr="00BD49E0">
              <w:rPr>
                <w:sz w:val="20"/>
                <w:szCs w:val="20"/>
              </w:rPr>
              <w:t>.</w:t>
            </w:r>
            <w:r>
              <w:rPr>
                <w:sz w:val="20"/>
                <w:szCs w:val="20"/>
              </w:rPr>
              <w:t>8</w:t>
            </w:r>
            <w:r w:rsidRPr="00BD49E0">
              <w:rPr>
                <w:sz w:val="20"/>
                <w:szCs w:val="20"/>
              </w:rPr>
              <w:t>)</w:t>
            </w:r>
          </w:p>
        </w:tc>
        <w:tc>
          <w:tcPr>
            <w:tcW w:w="1749" w:type="dxa"/>
            <w:vAlign w:val="center"/>
          </w:tcPr>
          <w:p w14:paraId="0D358A39" w14:textId="72D16DAC"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0.46</w:t>
            </w:r>
          </w:p>
        </w:tc>
      </w:tr>
      <w:tr w:rsidR="008721B0" w:rsidRPr="00BD49E0" w14:paraId="5029690F" w14:textId="77777777" w:rsidTr="00111217">
        <w:trPr>
          <w:trHeight w:val="308"/>
          <w:jc w:val="center"/>
        </w:trPr>
        <w:tc>
          <w:tcPr>
            <w:tcW w:w="2569" w:type="dxa"/>
            <w:vAlign w:val="center"/>
          </w:tcPr>
          <w:p w14:paraId="72EB13C3" w14:textId="77777777" w:rsidR="008721B0" w:rsidRPr="00BD49E0" w:rsidRDefault="008721B0" w:rsidP="008721B0">
            <w:pPr>
              <w:spacing w:line="360" w:lineRule="auto"/>
              <w:ind w:firstLine="0"/>
              <w:rPr>
                <w:sz w:val="20"/>
                <w:szCs w:val="20"/>
              </w:rPr>
            </w:pPr>
            <w:r w:rsidRPr="00BD49E0">
              <w:rPr>
                <w:sz w:val="20"/>
                <w:szCs w:val="20"/>
              </w:rPr>
              <w:t>PROKALSİTONİN</w:t>
            </w:r>
          </w:p>
        </w:tc>
        <w:tc>
          <w:tcPr>
            <w:tcW w:w="2273" w:type="dxa"/>
            <w:noWrap/>
          </w:tcPr>
          <w:p w14:paraId="3F62243D" w14:textId="0D5D3E92" w:rsidR="008721B0" w:rsidRPr="00BD49E0" w:rsidRDefault="008721B0" w:rsidP="008721B0">
            <w:pPr>
              <w:spacing w:line="360" w:lineRule="auto"/>
              <w:ind w:firstLine="0"/>
              <w:rPr>
                <w:sz w:val="20"/>
                <w:szCs w:val="20"/>
              </w:rPr>
            </w:pPr>
            <w:r w:rsidRPr="00BD49E0">
              <w:rPr>
                <w:sz w:val="20"/>
                <w:szCs w:val="20"/>
              </w:rPr>
              <w:t>2.7 (0.18-9.8)</w:t>
            </w:r>
          </w:p>
        </w:tc>
        <w:tc>
          <w:tcPr>
            <w:tcW w:w="2353" w:type="dxa"/>
          </w:tcPr>
          <w:p w14:paraId="7FCE077E" w14:textId="67D4CE8A" w:rsidR="008721B0" w:rsidRPr="00BD49E0" w:rsidRDefault="008721B0" w:rsidP="008721B0">
            <w:pPr>
              <w:ind w:firstLine="0"/>
              <w:rPr>
                <w:sz w:val="20"/>
                <w:szCs w:val="20"/>
              </w:rPr>
            </w:pPr>
            <w:r w:rsidRPr="00BD49E0">
              <w:rPr>
                <w:sz w:val="20"/>
                <w:szCs w:val="20"/>
              </w:rPr>
              <w:t>2.</w:t>
            </w:r>
            <w:r>
              <w:rPr>
                <w:sz w:val="20"/>
                <w:szCs w:val="20"/>
              </w:rPr>
              <w:t>3</w:t>
            </w:r>
            <w:r w:rsidRPr="00BD49E0">
              <w:rPr>
                <w:sz w:val="20"/>
                <w:szCs w:val="20"/>
              </w:rPr>
              <w:t xml:space="preserve"> (0.</w:t>
            </w:r>
            <w:r>
              <w:rPr>
                <w:sz w:val="20"/>
                <w:szCs w:val="20"/>
              </w:rPr>
              <w:t>43</w:t>
            </w:r>
            <w:r w:rsidRPr="00BD49E0">
              <w:rPr>
                <w:sz w:val="20"/>
                <w:szCs w:val="20"/>
              </w:rPr>
              <w:t>-47.9)</w:t>
            </w:r>
          </w:p>
        </w:tc>
        <w:tc>
          <w:tcPr>
            <w:tcW w:w="1749" w:type="dxa"/>
            <w:vAlign w:val="center"/>
          </w:tcPr>
          <w:p w14:paraId="4A26DE42" w14:textId="676960F5"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0.83</w:t>
            </w:r>
          </w:p>
        </w:tc>
      </w:tr>
      <w:tr w:rsidR="008721B0" w:rsidRPr="00BD49E0" w14:paraId="2DFF24F2" w14:textId="77777777" w:rsidTr="00111217">
        <w:trPr>
          <w:trHeight w:val="308"/>
          <w:jc w:val="center"/>
        </w:trPr>
        <w:tc>
          <w:tcPr>
            <w:tcW w:w="2569" w:type="dxa"/>
            <w:vAlign w:val="center"/>
          </w:tcPr>
          <w:p w14:paraId="5FB0518B" w14:textId="77777777" w:rsidR="008721B0" w:rsidRPr="00BD49E0" w:rsidRDefault="008721B0" w:rsidP="008721B0">
            <w:pPr>
              <w:spacing w:line="360" w:lineRule="auto"/>
              <w:ind w:firstLine="0"/>
              <w:rPr>
                <w:sz w:val="20"/>
                <w:szCs w:val="20"/>
              </w:rPr>
            </w:pPr>
            <w:r w:rsidRPr="00BD49E0">
              <w:rPr>
                <w:sz w:val="20"/>
                <w:szCs w:val="20"/>
              </w:rPr>
              <w:t>ALBUMİN</w:t>
            </w:r>
          </w:p>
        </w:tc>
        <w:tc>
          <w:tcPr>
            <w:tcW w:w="2273" w:type="dxa"/>
            <w:noWrap/>
          </w:tcPr>
          <w:p w14:paraId="0A352D52" w14:textId="3A498A49" w:rsidR="008721B0" w:rsidRPr="00BD49E0" w:rsidRDefault="008721B0" w:rsidP="008721B0">
            <w:pPr>
              <w:spacing w:line="360" w:lineRule="auto"/>
              <w:ind w:firstLine="0"/>
              <w:rPr>
                <w:sz w:val="20"/>
                <w:szCs w:val="20"/>
              </w:rPr>
            </w:pPr>
            <w:r w:rsidRPr="00BD49E0">
              <w:rPr>
                <w:sz w:val="20"/>
                <w:szCs w:val="20"/>
              </w:rPr>
              <w:t>2.7 (2.1-3.</w:t>
            </w:r>
            <w:r>
              <w:rPr>
                <w:sz w:val="20"/>
                <w:szCs w:val="20"/>
              </w:rPr>
              <w:t>5</w:t>
            </w:r>
            <w:r w:rsidRPr="00BD49E0">
              <w:rPr>
                <w:sz w:val="20"/>
                <w:szCs w:val="20"/>
              </w:rPr>
              <w:t>)</w:t>
            </w:r>
          </w:p>
        </w:tc>
        <w:tc>
          <w:tcPr>
            <w:tcW w:w="2353" w:type="dxa"/>
          </w:tcPr>
          <w:p w14:paraId="5B42DC83" w14:textId="6A0472BA" w:rsidR="008721B0" w:rsidRPr="00BD49E0" w:rsidRDefault="008721B0" w:rsidP="008721B0">
            <w:pPr>
              <w:ind w:firstLine="0"/>
              <w:rPr>
                <w:sz w:val="20"/>
                <w:szCs w:val="20"/>
              </w:rPr>
            </w:pPr>
            <w:r w:rsidRPr="00BD49E0">
              <w:rPr>
                <w:sz w:val="20"/>
                <w:szCs w:val="20"/>
              </w:rPr>
              <w:t>2.</w:t>
            </w:r>
            <w:r>
              <w:rPr>
                <w:sz w:val="20"/>
                <w:szCs w:val="20"/>
              </w:rPr>
              <w:t>7</w:t>
            </w:r>
            <w:r w:rsidRPr="00BD49E0">
              <w:rPr>
                <w:sz w:val="20"/>
                <w:szCs w:val="20"/>
              </w:rPr>
              <w:t xml:space="preserve"> (2</w:t>
            </w:r>
            <w:r>
              <w:rPr>
                <w:sz w:val="20"/>
                <w:szCs w:val="20"/>
              </w:rPr>
              <w:t>.2</w:t>
            </w:r>
            <w:r w:rsidRPr="00BD49E0">
              <w:rPr>
                <w:sz w:val="20"/>
                <w:szCs w:val="20"/>
              </w:rPr>
              <w:t>-</w:t>
            </w:r>
            <w:r>
              <w:rPr>
                <w:sz w:val="20"/>
                <w:szCs w:val="20"/>
              </w:rPr>
              <w:t>3.6</w:t>
            </w:r>
            <w:r w:rsidRPr="00BD49E0">
              <w:rPr>
                <w:sz w:val="20"/>
                <w:szCs w:val="20"/>
              </w:rPr>
              <w:t>)</w:t>
            </w:r>
          </w:p>
        </w:tc>
        <w:tc>
          <w:tcPr>
            <w:tcW w:w="1749" w:type="dxa"/>
            <w:vAlign w:val="center"/>
          </w:tcPr>
          <w:p w14:paraId="03E2C729" w14:textId="50B99269"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0.79</w:t>
            </w:r>
          </w:p>
        </w:tc>
      </w:tr>
      <w:tr w:rsidR="008721B0" w:rsidRPr="00BD49E0" w14:paraId="603E2DF5" w14:textId="77777777" w:rsidTr="00111217">
        <w:trPr>
          <w:trHeight w:val="308"/>
          <w:jc w:val="center"/>
        </w:trPr>
        <w:tc>
          <w:tcPr>
            <w:tcW w:w="2569" w:type="dxa"/>
            <w:vAlign w:val="center"/>
          </w:tcPr>
          <w:p w14:paraId="056B4339" w14:textId="6C8C4C02" w:rsidR="008721B0" w:rsidRPr="00BD49E0" w:rsidRDefault="008721B0" w:rsidP="008721B0">
            <w:pPr>
              <w:ind w:firstLine="0"/>
              <w:rPr>
                <w:sz w:val="20"/>
                <w:szCs w:val="20"/>
              </w:rPr>
            </w:pPr>
            <w:r>
              <w:rPr>
                <w:sz w:val="20"/>
                <w:szCs w:val="20"/>
              </w:rPr>
              <w:t>T.BİLİRUBİN</w:t>
            </w:r>
          </w:p>
        </w:tc>
        <w:tc>
          <w:tcPr>
            <w:tcW w:w="2273" w:type="dxa"/>
            <w:noWrap/>
          </w:tcPr>
          <w:p w14:paraId="7EFE8991" w14:textId="324AE5C4" w:rsidR="008721B0" w:rsidRPr="00BD49E0" w:rsidRDefault="008721B0" w:rsidP="008721B0">
            <w:pPr>
              <w:ind w:firstLine="0"/>
              <w:rPr>
                <w:sz w:val="20"/>
                <w:szCs w:val="20"/>
              </w:rPr>
            </w:pPr>
            <w:r>
              <w:rPr>
                <w:sz w:val="20"/>
                <w:szCs w:val="20"/>
              </w:rPr>
              <w:t>5.4 (1.7-17.3)</w:t>
            </w:r>
          </w:p>
        </w:tc>
        <w:tc>
          <w:tcPr>
            <w:tcW w:w="2353" w:type="dxa"/>
          </w:tcPr>
          <w:p w14:paraId="444EAE42" w14:textId="47B2274E" w:rsidR="008721B0" w:rsidRPr="00BD49E0" w:rsidRDefault="008721B0" w:rsidP="008721B0">
            <w:pPr>
              <w:ind w:firstLine="0"/>
              <w:rPr>
                <w:sz w:val="20"/>
                <w:szCs w:val="20"/>
              </w:rPr>
            </w:pPr>
            <w:r>
              <w:rPr>
                <w:sz w:val="20"/>
                <w:szCs w:val="20"/>
              </w:rPr>
              <w:t>14.1 (1.3-31.6)</w:t>
            </w:r>
          </w:p>
        </w:tc>
        <w:tc>
          <w:tcPr>
            <w:tcW w:w="1749" w:type="dxa"/>
            <w:vAlign w:val="center"/>
          </w:tcPr>
          <w:p w14:paraId="744A44CC" w14:textId="7A32A633" w:rsidR="008721B0" w:rsidRPr="00BD49E0" w:rsidRDefault="008721B0" w:rsidP="008721B0">
            <w:pPr>
              <w:ind w:right="360" w:firstLine="0"/>
              <w:jc w:val="center"/>
              <w:rPr>
                <w:rFonts w:eastAsia="Times New Roman"/>
                <w:sz w:val="20"/>
                <w:szCs w:val="20"/>
              </w:rPr>
            </w:pPr>
            <w:r>
              <w:rPr>
                <w:rFonts w:eastAsia="Times New Roman"/>
                <w:sz w:val="20"/>
                <w:szCs w:val="20"/>
              </w:rPr>
              <w:t>0.33</w:t>
            </w:r>
          </w:p>
        </w:tc>
      </w:tr>
      <w:tr w:rsidR="008721B0" w:rsidRPr="00BD49E0" w14:paraId="3EF2329B" w14:textId="77777777" w:rsidTr="00111217">
        <w:trPr>
          <w:trHeight w:val="308"/>
          <w:jc w:val="center"/>
        </w:trPr>
        <w:tc>
          <w:tcPr>
            <w:tcW w:w="2569" w:type="dxa"/>
            <w:vAlign w:val="center"/>
          </w:tcPr>
          <w:p w14:paraId="70748B36" w14:textId="5D4CD18D" w:rsidR="008721B0" w:rsidRPr="00BD49E0" w:rsidRDefault="008721B0" w:rsidP="008721B0">
            <w:pPr>
              <w:ind w:firstLine="0"/>
              <w:rPr>
                <w:sz w:val="20"/>
                <w:szCs w:val="20"/>
              </w:rPr>
            </w:pPr>
            <w:r>
              <w:rPr>
                <w:sz w:val="20"/>
                <w:szCs w:val="20"/>
              </w:rPr>
              <w:t>D.BİLİRUBİN</w:t>
            </w:r>
          </w:p>
        </w:tc>
        <w:tc>
          <w:tcPr>
            <w:tcW w:w="2273" w:type="dxa"/>
            <w:noWrap/>
          </w:tcPr>
          <w:p w14:paraId="420D79AC" w14:textId="7E5D6279" w:rsidR="008721B0" w:rsidRPr="00BD49E0" w:rsidRDefault="008721B0" w:rsidP="008721B0">
            <w:pPr>
              <w:ind w:firstLine="0"/>
              <w:rPr>
                <w:sz w:val="20"/>
                <w:szCs w:val="20"/>
              </w:rPr>
            </w:pPr>
            <w:r>
              <w:rPr>
                <w:sz w:val="20"/>
                <w:szCs w:val="20"/>
              </w:rPr>
              <w:t>3.6 (0.9-12.1)</w:t>
            </w:r>
          </w:p>
        </w:tc>
        <w:tc>
          <w:tcPr>
            <w:tcW w:w="2353" w:type="dxa"/>
          </w:tcPr>
          <w:p w14:paraId="193F034E" w14:textId="189ABE18" w:rsidR="008721B0" w:rsidRPr="00BD49E0" w:rsidRDefault="008721B0" w:rsidP="008721B0">
            <w:pPr>
              <w:ind w:firstLine="0"/>
              <w:rPr>
                <w:sz w:val="20"/>
                <w:szCs w:val="20"/>
              </w:rPr>
            </w:pPr>
            <w:r>
              <w:rPr>
                <w:sz w:val="20"/>
                <w:szCs w:val="20"/>
              </w:rPr>
              <w:t>8.1 (0.6-21.4)</w:t>
            </w:r>
          </w:p>
        </w:tc>
        <w:tc>
          <w:tcPr>
            <w:tcW w:w="1749" w:type="dxa"/>
            <w:vAlign w:val="center"/>
          </w:tcPr>
          <w:p w14:paraId="4A8DDA08" w14:textId="041EED7D" w:rsidR="008721B0" w:rsidRPr="00BD49E0" w:rsidRDefault="008721B0" w:rsidP="008721B0">
            <w:pPr>
              <w:ind w:right="360" w:firstLine="0"/>
              <w:jc w:val="center"/>
              <w:rPr>
                <w:rFonts w:eastAsia="Times New Roman"/>
                <w:sz w:val="20"/>
                <w:szCs w:val="20"/>
              </w:rPr>
            </w:pPr>
            <w:r>
              <w:rPr>
                <w:rFonts w:eastAsia="Times New Roman"/>
                <w:sz w:val="20"/>
                <w:szCs w:val="20"/>
              </w:rPr>
              <w:t>0.40</w:t>
            </w:r>
          </w:p>
        </w:tc>
      </w:tr>
      <w:tr w:rsidR="008721B0" w:rsidRPr="00BD49E0" w14:paraId="6854B733" w14:textId="77777777" w:rsidTr="00111217">
        <w:trPr>
          <w:trHeight w:val="308"/>
          <w:jc w:val="center"/>
        </w:trPr>
        <w:tc>
          <w:tcPr>
            <w:tcW w:w="2569" w:type="dxa"/>
            <w:vAlign w:val="center"/>
          </w:tcPr>
          <w:p w14:paraId="3302D89E" w14:textId="77777777" w:rsidR="008721B0" w:rsidRPr="00BD49E0" w:rsidRDefault="008721B0" w:rsidP="008721B0">
            <w:pPr>
              <w:spacing w:line="360" w:lineRule="auto"/>
              <w:ind w:firstLine="0"/>
              <w:rPr>
                <w:sz w:val="20"/>
                <w:szCs w:val="20"/>
              </w:rPr>
            </w:pPr>
            <w:r w:rsidRPr="00BD49E0">
              <w:rPr>
                <w:sz w:val="20"/>
                <w:szCs w:val="20"/>
              </w:rPr>
              <w:t>ALP</w:t>
            </w:r>
          </w:p>
        </w:tc>
        <w:tc>
          <w:tcPr>
            <w:tcW w:w="2273" w:type="dxa"/>
            <w:noWrap/>
          </w:tcPr>
          <w:p w14:paraId="0F3CE46B" w14:textId="7FF3C04C" w:rsidR="008721B0" w:rsidRPr="00BD49E0" w:rsidRDefault="008721B0" w:rsidP="008721B0">
            <w:pPr>
              <w:spacing w:line="360" w:lineRule="auto"/>
              <w:ind w:firstLine="0"/>
              <w:rPr>
                <w:sz w:val="20"/>
                <w:szCs w:val="20"/>
              </w:rPr>
            </w:pPr>
            <w:r w:rsidRPr="00BD49E0">
              <w:rPr>
                <w:sz w:val="20"/>
                <w:szCs w:val="20"/>
              </w:rPr>
              <w:t>1</w:t>
            </w:r>
            <w:r>
              <w:rPr>
                <w:sz w:val="20"/>
                <w:szCs w:val="20"/>
              </w:rPr>
              <w:t>25</w:t>
            </w:r>
            <w:r w:rsidRPr="00BD49E0">
              <w:rPr>
                <w:sz w:val="20"/>
                <w:szCs w:val="20"/>
              </w:rPr>
              <w:t xml:space="preserve"> (58-</w:t>
            </w:r>
            <w:r>
              <w:rPr>
                <w:sz w:val="20"/>
                <w:szCs w:val="20"/>
              </w:rPr>
              <w:t>262</w:t>
            </w:r>
            <w:r w:rsidRPr="00BD49E0">
              <w:rPr>
                <w:sz w:val="20"/>
                <w:szCs w:val="20"/>
              </w:rPr>
              <w:t>)</w:t>
            </w:r>
          </w:p>
        </w:tc>
        <w:tc>
          <w:tcPr>
            <w:tcW w:w="2353" w:type="dxa"/>
          </w:tcPr>
          <w:p w14:paraId="22326D2A" w14:textId="037B61A2" w:rsidR="008721B0" w:rsidRPr="00BD49E0" w:rsidRDefault="008721B0" w:rsidP="008721B0">
            <w:pPr>
              <w:ind w:firstLine="0"/>
              <w:rPr>
                <w:sz w:val="20"/>
                <w:szCs w:val="20"/>
              </w:rPr>
            </w:pPr>
            <w:r>
              <w:rPr>
                <w:sz w:val="20"/>
                <w:szCs w:val="20"/>
              </w:rPr>
              <w:t>136</w:t>
            </w:r>
            <w:r w:rsidRPr="00BD49E0">
              <w:rPr>
                <w:sz w:val="20"/>
                <w:szCs w:val="20"/>
              </w:rPr>
              <w:t xml:space="preserve"> (</w:t>
            </w:r>
            <w:r>
              <w:rPr>
                <w:sz w:val="20"/>
                <w:szCs w:val="20"/>
              </w:rPr>
              <w:t>67</w:t>
            </w:r>
            <w:r w:rsidRPr="00BD49E0">
              <w:rPr>
                <w:sz w:val="20"/>
                <w:szCs w:val="20"/>
              </w:rPr>
              <w:t>-556)</w:t>
            </w:r>
          </w:p>
        </w:tc>
        <w:tc>
          <w:tcPr>
            <w:tcW w:w="1749" w:type="dxa"/>
            <w:vAlign w:val="center"/>
          </w:tcPr>
          <w:p w14:paraId="3E33E7E9" w14:textId="77F72457"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0.38</w:t>
            </w:r>
          </w:p>
        </w:tc>
      </w:tr>
      <w:tr w:rsidR="008721B0" w:rsidRPr="00BD49E0" w14:paraId="0811460A" w14:textId="77777777" w:rsidTr="00111217">
        <w:trPr>
          <w:trHeight w:val="308"/>
          <w:jc w:val="center"/>
        </w:trPr>
        <w:tc>
          <w:tcPr>
            <w:tcW w:w="2569" w:type="dxa"/>
            <w:vAlign w:val="center"/>
          </w:tcPr>
          <w:p w14:paraId="15050C67" w14:textId="77777777" w:rsidR="008721B0" w:rsidRPr="00BD49E0" w:rsidRDefault="008721B0" w:rsidP="008721B0">
            <w:pPr>
              <w:spacing w:line="360" w:lineRule="auto"/>
              <w:ind w:firstLine="0"/>
              <w:rPr>
                <w:sz w:val="20"/>
                <w:szCs w:val="20"/>
              </w:rPr>
            </w:pPr>
            <w:r w:rsidRPr="00BD49E0">
              <w:rPr>
                <w:sz w:val="20"/>
                <w:szCs w:val="20"/>
              </w:rPr>
              <w:t>GGT</w:t>
            </w:r>
          </w:p>
        </w:tc>
        <w:tc>
          <w:tcPr>
            <w:tcW w:w="2273" w:type="dxa"/>
            <w:noWrap/>
          </w:tcPr>
          <w:p w14:paraId="7DB97BF8" w14:textId="3C435B3D" w:rsidR="008721B0" w:rsidRPr="00BD49E0" w:rsidRDefault="008721B0" w:rsidP="008721B0">
            <w:pPr>
              <w:spacing w:line="360" w:lineRule="auto"/>
              <w:ind w:firstLine="0"/>
              <w:rPr>
                <w:sz w:val="20"/>
                <w:szCs w:val="20"/>
              </w:rPr>
            </w:pPr>
            <w:r w:rsidRPr="00BD49E0">
              <w:rPr>
                <w:sz w:val="20"/>
                <w:szCs w:val="20"/>
              </w:rPr>
              <w:t>11</w:t>
            </w:r>
            <w:r>
              <w:rPr>
                <w:sz w:val="20"/>
                <w:szCs w:val="20"/>
              </w:rPr>
              <w:t>6</w:t>
            </w:r>
            <w:r w:rsidRPr="00BD49E0">
              <w:rPr>
                <w:sz w:val="20"/>
                <w:szCs w:val="20"/>
              </w:rPr>
              <w:t xml:space="preserve"> (17-830)</w:t>
            </w:r>
          </w:p>
        </w:tc>
        <w:tc>
          <w:tcPr>
            <w:tcW w:w="2353" w:type="dxa"/>
          </w:tcPr>
          <w:p w14:paraId="61DD8E84" w14:textId="2F5D3F32" w:rsidR="008721B0" w:rsidRPr="00BD49E0" w:rsidRDefault="008721B0" w:rsidP="008721B0">
            <w:pPr>
              <w:ind w:firstLine="0"/>
              <w:rPr>
                <w:sz w:val="20"/>
                <w:szCs w:val="20"/>
              </w:rPr>
            </w:pPr>
            <w:r>
              <w:rPr>
                <w:sz w:val="20"/>
                <w:szCs w:val="20"/>
              </w:rPr>
              <w:t>106</w:t>
            </w:r>
            <w:r w:rsidRPr="00BD49E0">
              <w:rPr>
                <w:sz w:val="20"/>
                <w:szCs w:val="20"/>
              </w:rPr>
              <w:t xml:space="preserve"> (34-1011)</w:t>
            </w:r>
          </w:p>
        </w:tc>
        <w:tc>
          <w:tcPr>
            <w:tcW w:w="1749" w:type="dxa"/>
            <w:vAlign w:val="center"/>
          </w:tcPr>
          <w:p w14:paraId="58491E03" w14:textId="5F3A1710" w:rsidR="008721B0" w:rsidRPr="00BD49E0" w:rsidRDefault="008721B0" w:rsidP="008721B0">
            <w:pPr>
              <w:spacing w:line="360" w:lineRule="auto"/>
              <w:ind w:right="360" w:firstLine="0"/>
              <w:jc w:val="center"/>
              <w:rPr>
                <w:rFonts w:eastAsia="Times New Roman"/>
                <w:sz w:val="20"/>
                <w:szCs w:val="20"/>
              </w:rPr>
            </w:pPr>
            <w:r>
              <w:rPr>
                <w:rFonts w:eastAsia="Times New Roman"/>
                <w:sz w:val="20"/>
                <w:szCs w:val="20"/>
              </w:rPr>
              <w:t>0.86</w:t>
            </w:r>
          </w:p>
        </w:tc>
      </w:tr>
    </w:tbl>
    <w:p w14:paraId="31CB29CB" w14:textId="5C8B462B" w:rsidR="00376435" w:rsidRDefault="00376435" w:rsidP="00D84F3A">
      <w:r>
        <w:br w:type="page"/>
      </w:r>
    </w:p>
    <w:p w14:paraId="3BA76503" w14:textId="7B9689BC" w:rsidR="002F1052" w:rsidRDefault="002F1052" w:rsidP="002F1052">
      <w:r>
        <w:lastRenderedPageBreak/>
        <w:t xml:space="preserve">Bu değişkenler kullanılarak oluşturulan yeni kategorik değişken setlerinin </w:t>
      </w:r>
      <w:r w:rsidR="00F41A53">
        <w:t>multivaryan lojistik</w:t>
      </w:r>
      <w:r>
        <w:t xml:space="preserve"> regresyon analizi sonucunda, abdominal sepsis gelişen olgularda, hematokrit değerinin 24 ün altına düşmesi mortaliteyi 6.8 kat arttıran bağımsız risk fa</w:t>
      </w:r>
      <w:r w:rsidR="00B0144B">
        <w:t>ktörü olarak bulundu [p&lt;0.06 - HR:</w:t>
      </w:r>
      <w:r>
        <w:t>7,5 -</w:t>
      </w:r>
      <w:r w:rsidR="00B0144B">
        <w:t xml:space="preserve"> </w:t>
      </w:r>
      <w:r>
        <w:t>Exp(B):3,2]. Aşağıdaki tabloda devamlı değişken parametrelerin cut-off değerleri gösterilmektedir.</w:t>
      </w:r>
      <w:r w:rsidR="00472272" w:rsidRPr="00472272">
        <w:t xml:space="preserve"> </w:t>
      </w:r>
      <w:r w:rsidR="00472272">
        <w:t>ROC curve analizi sonucu Tablo 4.14 te özetlenmiştir.</w:t>
      </w:r>
    </w:p>
    <w:p w14:paraId="1FDAED26" w14:textId="77777777" w:rsidR="002F1052" w:rsidRDefault="002F1052" w:rsidP="002F1052"/>
    <w:p w14:paraId="2CC8821A" w14:textId="6C0F5185" w:rsidR="002F1052" w:rsidRPr="002F1052" w:rsidRDefault="002F1052" w:rsidP="002F1052">
      <w:pPr>
        <w:pStyle w:val="ResimYazs"/>
        <w:rPr>
          <w:i w:val="0"/>
          <w:color w:val="auto"/>
          <w:sz w:val="24"/>
          <w:szCs w:val="24"/>
        </w:rPr>
      </w:pPr>
      <w:bookmarkStart w:id="566" w:name="_Toc49818029"/>
      <w:r w:rsidRPr="002F1052">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14</w:t>
      </w:r>
      <w:r w:rsidR="002B4CBE">
        <w:rPr>
          <w:i w:val="0"/>
          <w:color w:val="auto"/>
          <w:sz w:val="24"/>
          <w:szCs w:val="24"/>
        </w:rPr>
        <w:fldChar w:fldCharType="end"/>
      </w:r>
      <w:r w:rsidRPr="002F1052">
        <w:rPr>
          <w:i w:val="0"/>
          <w:color w:val="auto"/>
          <w:sz w:val="24"/>
          <w:szCs w:val="24"/>
        </w:rPr>
        <w:t xml:space="preserve"> ROC </w:t>
      </w:r>
      <w:r w:rsidR="001110C5" w:rsidRPr="002F1052">
        <w:rPr>
          <w:i w:val="0"/>
          <w:color w:val="auto"/>
          <w:sz w:val="24"/>
          <w:szCs w:val="24"/>
        </w:rPr>
        <w:t>Curve Analizi</w:t>
      </w:r>
      <w:bookmarkEnd w:id="566"/>
    </w:p>
    <w:tbl>
      <w:tblPr>
        <w:tblW w:w="5668" w:type="pct"/>
        <w:tblInd w:w="-5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16"/>
        <w:gridCol w:w="1018"/>
        <w:gridCol w:w="1161"/>
        <w:gridCol w:w="1172"/>
        <w:gridCol w:w="1481"/>
        <w:gridCol w:w="1419"/>
        <w:gridCol w:w="1272"/>
      </w:tblGrid>
      <w:tr w:rsidR="00B055F8" w:rsidRPr="00B055F8" w14:paraId="31CB2A72" w14:textId="77777777" w:rsidTr="00B055F8">
        <w:trPr>
          <w:cantSplit/>
        </w:trPr>
        <w:tc>
          <w:tcPr>
            <w:tcW w:w="1098" w:type="pct"/>
            <w:tcBorders>
              <w:top w:val="nil"/>
              <w:left w:val="nil"/>
              <w:bottom w:val="nil"/>
              <w:right w:val="nil"/>
            </w:tcBorders>
            <w:shd w:val="clear" w:color="auto" w:fill="FFFFFF"/>
          </w:tcPr>
          <w:p w14:paraId="31CB2A70" w14:textId="77777777" w:rsidR="00DD3D53" w:rsidRPr="00B055F8" w:rsidRDefault="00DD3D53" w:rsidP="00D36AD3">
            <w:pPr>
              <w:autoSpaceDE w:val="0"/>
              <w:autoSpaceDN w:val="0"/>
              <w:adjustRightInd w:val="0"/>
              <w:spacing w:line="320" w:lineRule="atLeast"/>
              <w:ind w:left="60" w:right="60"/>
              <w:jc w:val="center"/>
              <w:rPr>
                <w:rFonts w:ascii="Arial" w:hAnsi="Arial" w:cs="Arial"/>
                <w:b/>
                <w:bCs/>
                <w:color w:val="000000" w:themeColor="text1"/>
              </w:rPr>
            </w:pPr>
          </w:p>
        </w:tc>
        <w:tc>
          <w:tcPr>
            <w:tcW w:w="3902" w:type="pct"/>
            <w:gridSpan w:val="6"/>
            <w:tcBorders>
              <w:top w:val="nil"/>
              <w:left w:val="nil"/>
              <w:bottom w:val="nil"/>
              <w:right w:val="nil"/>
            </w:tcBorders>
            <w:shd w:val="clear" w:color="auto" w:fill="FFFFFF"/>
            <w:vAlign w:val="center"/>
          </w:tcPr>
          <w:p w14:paraId="31CB2A71" w14:textId="77777777" w:rsidR="00DD3D53" w:rsidRPr="00B055F8" w:rsidRDefault="00DD3D53" w:rsidP="00D36AD3">
            <w:pPr>
              <w:autoSpaceDE w:val="0"/>
              <w:autoSpaceDN w:val="0"/>
              <w:adjustRightInd w:val="0"/>
              <w:spacing w:line="320" w:lineRule="atLeast"/>
              <w:ind w:left="60" w:right="60"/>
              <w:jc w:val="center"/>
              <w:rPr>
                <w:rFonts w:ascii="Arial" w:hAnsi="Arial" w:cs="Arial"/>
                <w:color w:val="000000" w:themeColor="text1"/>
              </w:rPr>
            </w:pPr>
            <w:r w:rsidRPr="00B055F8">
              <w:rPr>
                <w:rFonts w:ascii="Arial" w:hAnsi="Arial" w:cs="Arial"/>
                <w:b/>
                <w:bCs/>
                <w:color w:val="000000" w:themeColor="text1"/>
              </w:rPr>
              <w:t>Area Under the ROC Curve</w:t>
            </w:r>
          </w:p>
        </w:tc>
      </w:tr>
      <w:tr w:rsidR="00B055F8" w:rsidRPr="00B055F8" w14:paraId="31CB2A79" w14:textId="77777777" w:rsidTr="00B055F8">
        <w:trPr>
          <w:cantSplit/>
        </w:trPr>
        <w:tc>
          <w:tcPr>
            <w:tcW w:w="1098" w:type="pct"/>
            <w:vMerge w:val="restart"/>
            <w:tcBorders>
              <w:top w:val="nil"/>
              <w:left w:val="nil"/>
              <w:bottom w:val="nil"/>
              <w:right w:val="nil"/>
            </w:tcBorders>
            <w:shd w:val="clear" w:color="auto" w:fill="FFFFFF"/>
            <w:vAlign w:val="bottom"/>
          </w:tcPr>
          <w:p w14:paraId="31CB2A73" w14:textId="77777777" w:rsidR="00DD3D53" w:rsidRPr="00B055F8" w:rsidRDefault="00B055F8" w:rsidP="00B055F8">
            <w:pPr>
              <w:autoSpaceDE w:val="0"/>
              <w:autoSpaceDN w:val="0"/>
              <w:adjustRightInd w:val="0"/>
              <w:spacing w:line="320" w:lineRule="atLeast"/>
              <w:ind w:left="60" w:right="60" w:firstLine="0"/>
              <w:jc w:val="left"/>
              <w:rPr>
                <w:rFonts w:ascii="Arial" w:hAnsi="Arial" w:cs="Arial"/>
                <w:color w:val="000000" w:themeColor="text1"/>
                <w:sz w:val="18"/>
                <w:szCs w:val="18"/>
              </w:rPr>
            </w:pPr>
            <w:r w:rsidRPr="00B055F8">
              <w:rPr>
                <w:rFonts w:ascii="Arial" w:hAnsi="Arial" w:cs="Arial"/>
                <w:color w:val="000000" w:themeColor="text1"/>
                <w:sz w:val="18"/>
                <w:szCs w:val="18"/>
              </w:rPr>
              <w:t xml:space="preserve">Test Result </w:t>
            </w:r>
            <w:r w:rsidR="00DD3D53" w:rsidRPr="00B055F8">
              <w:rPr>
                <w:rFonts w:ascii="Arial" w:hAnsi="Arial" w:cs="Arial"/>
                <w:color w:val="000000" w:themeColor="text1"/>
                <w:sz w:val="18"/>
                <w:szCs w:val="18"/>
              </w:rPr>
              <w:t>Variable(s)</w:t>
            </w:r>
          </w:p>
        </w:tc>
        <w:tc>
          <w:tcPr>
            <w:tcW w:w="528" w:type="pct"/>
            <w:tcBorders>
              <w:top w:val="nil"/>
              <w:left w:val="nil"/>
              <w:bottom w:val="nil"/>
              <w:right w:val="nil"/>
            </w:tcBorders>
            <w:shd w:val="clear" w:color="auto" w:fill="FFFFFF"/>
          </w:tcPr>
          <w:p w14:paraId="31CB2A74" w14:textId="77777777" w:rsidR="00DD3D53" w:rsidRPr="00B055F8" w:rsidRDefault="00DD3D53" w:rsidP="00B055F8">
            <w:pPr>
              <w:autoSpaceDE w:val="0"/>
              <w:autoSpaceDN w:val="0"/>
              <w:adjustRightInd w:val="0"/>
              <w:spacing w:line="320" w:lineRule="atLeast"/>
              <w:ind w:left="60" w:right="60"/>
              <w:jc w:val="left"/>
              <w:rPr>
                <w:rFonts w:ascii="Arial" w:hAnsi="Arial" w:cs="Arial"/>
                <w:color w:val="000000" w:themeColor="text1"/>
                <w:sz w:val="18"/>
                <w:szCs w:val="18"/>
              </w:rPr>
            </w:pPr>
          </w:p>
        </w:tc>
        <w:tc>
          <w:tcPr>
            <w:tcW w:w="602" w:type="pct"/>
            <w:vMerge w:val="restart"/>
            <w:tcBorders>
              <w:top w:val="nil"/>
              <w:left w:val="nil"/>
              <w:bottom w:val="nil"/>
              <w:right w:val="single" w:sz="8" w:space="0" w:color="E0E0E0"/>
            </w:tcBorders>
            <w:shd w:val="clear" w:color="auto" w:fill="FFFFFF"/>
            <w:vAlign w:val="bottom"/>
          </w:tcPr>
          <w:p w14:paraId="31CB2A75" w14:textId="77777777" w:rsidR="00DD3D53" w:rsidRPr="00B055F8" w:rsidRDefault="00DD3D53" w:rsidP="00B055F8">
            <w:pPr>
              <w:autoSpaceDE w:val="0"/>
              <w:autoSpaceDN w:val="0"/>
              <w:adjustRightInd w:val="0"/>
              <w:spacing w:line="320" w:lineRule="atLeast"/>
              <w:ind w:left="60"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Area</w:t>
            </w:r>
          </w:p>
        </w:tc>
        <w:tc>
          <w:tcPr>
            <w:tcW w:w="608" w:type="pct"/>
            <w:vMerge w:val="restart"/>
            <w:tcBorders>
              <w:top w:val="nil"/>
              <w:left w:val="single" w:sz="8" w:space="0" w:color="E0E0E0"/>
              <w:bottom w:val="nil"/>
              <w:right w:val="single" w:sz="8" w:space="0" w:color="E0E0E0"/>
            </w:tcBorders>
            <w:shd w:val="clear" w:color="auto" w:fill="FFFFFF"/>
            <w:vAlign w:val="bottom"/>
          </w:tcPr>
          <w:p w14:paraId="31CB2A76" w14:textId="77777777" w:rsidR="00DD3D53" w:rsidRPr="00B055F8" w:rsidRDefault="00DD3D53" w:rsidP="00B055F8">
            <w:pPr>
              <w:autoSpaceDE w:val="0"/>
              <w:autoSpaceDN w:val="0"/>
              <w:adjustRightInd w:val="0"/>
              <w:spacing w:line="320" w:lineRule="atLeast"/>
              <w:ind w:left="60" w:right="60" w:firstLine="0"/>
              <w:jc w:val="left"/>
              <w:rPr>
                <w:rFonts w:ascii="Arial" w:hAnsi="Arial" w:cs="Arial"/>
                <w:color w:val="000000" w:themeColor="text1"/>
                <w:sz w:val="18"/>
                <w:szCs w:val="18"/>
              </w:rPr>
            </w:pPr>
            <w:r w:rsidRPr="00B055F8">
              <w:rPr>
                <w:rFonts w:ascii="Arial" w:hAnsi="Arial" w:cs="Arial"/>
                <w:color w:val="000000" w:themeColor="text1"/>
                <w:sz w:val="18"/>
                <w:szCs w:val="18"/>
              </w:rPr>
              <w:t>Std. Error</w:t>
            </w:r>
            <w:r w:rsidRPr="00B055F8">
              <w:rPr>
                <w:rFonts w:ascii="Arial" w:hAnsi="Arial" w:cs="Arial"/>
                <w:color w:val="000000" w:themeColor="text1"/>
                <w:sz w:val="18"/>
                <w:szCs w:val="18"/>
                <w:vertAlign w:val="superscript"/>
              </w:rPr>
              <w:t>a</w:t>
            </w:r>
          </w:p>
        </w:tc>
        <w:tc>
          <w:tcPr>
            <w:tcW w:w="768" w:type="pct"/>
            <w:vMerge w:val="restart"/>
            <w:tcBorders>
              <w:top w:val="nil"/>
              <w:left w:val="single" w:sz="8" w:space="0" w:color="E0E0E0"/>
              <w:bottom w:val="nil"/>
              <w:right w:val="single" w:sz="8" w:space="0" w:color="E0E0E0"/>
            </w:tcBorders>
            <w:shd w:val="clear" w:color="auto" w:fill="FFFFFF"/>
            <w:vAlign w:val="bottom"/>
          </w:tcPr>
          <w:p w14:paraId="31CB2A77" w14:textId="77777777" w:rsidR="00DD3D53" w:rsidRPr="00B055F8" w:rsidRDefault="00DD3D53" w:rsidP="00B055F8">
            <w:pPr>
              <w:autoSpaceDE w:val="0"/>
              <w:autoSpaceDN w:val="0"/>
              <w:adjustRightInd w:val="0"/>
              <w:spacing w:line="320" w:lineRule="atLeast"/>
              <w:ind w:left="60" w:right="60" w:firstLine="0"/>
              <w:jc w:val="left"/>
              <w:rPr>
                <w:rFonts w:ascii="Arial" w:hAnsi="Arial" w:cs="Arial"/>
                <w:color w:val="000000" w:themeColor="text1"/>
                <w:sz w:val="18"/>
                <w:szCs w:val="18"/>
              </w:rPr>
            </w:pPr>
            <w:r w:rsidRPr="00B055F8">
              <w:rPr>
                <w:rFonts w:ascii="Arial" w:hAnsi="Arial" w:cs="Arial"/>
                <w:color w:val="000000" w:themeColor="text1"/>
                <w:sz w:val="18"/>
                <w:szCs w:val="18"/>
              </w:rPr>
              <w:t>Asymptotic Sig.</w:t>
            </w:r>
            <w:r w:rsidRPr="00B055F8">
              <w:rPr>
                <w:rFonts w:ascii="Arial" w:hAnsi="Arial" w:cs="Arial"/>
                <w:color w:val="000000" w:themeColor="text1"/>
                <w:sz w:val="18"/>
                <w:szCs w:val="18"/>
                <w:vertAlign w:val="superscript"/>
              </w:rPr>
              <w:t>b</w:t>
            </w:r>
          </w:p>
        </w:tc>
        <w:tc>
          <w:tcPr>
            <w:tcW w:w="1396" w:type="pct"/>
            <w:gridSpan w:val="2"/>
            <w:tcBorders>
              <w:top w:val="nil"/>
              <w:left w:val="single" w:sz="8" w:space="0" w:color="E0E0E0"/>
              <w:bottom w:val="nil"/>
              <w:right w:val="nil"/>
            </w:tcBorders>
            <w:shd w:val="clear" w:color="auto" w:fill="FFFFFF"/>
            <w:vAlign w:val="bottom"/>
          </w:tcPr>
          <w:p w14:paraId="31CB2A78" w14:textId="77777777" w:rsidR="00DD3D53" w:rsidRPr="00B055F8" w:rsidRDefault="00DD3D53" w:rsidP="00B055F8">
            <w:pPr>
              <w:autoSpaceDE w:val="0"/>
              <w:autoSpaceDN w:val="0"/>
              <w:adjustRightInd w:val="0"/>
              <w:spacing w:line="320" w:lineRule="atLeast"/>
              <w:ind w:left="60"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 xml:space="preserve">Asymptotic 95% </w:t>
            </w:r>
            <w:r w:rsidR="00B055F8" w:rsidRPr="00B055F8">
              <w:rPr>
                <w:rFonts w:ascii="Arial" w:hAnsi="Arial" w:cs="Arial"/>
                <w:color w:val="000000" w:themeColor="text1"/>
                <w:sz w:val="18"/>
                <w:szCs w:val="18"/>
              </w:rPr>
              <w:t>CI</w:t>
            </w:r>
          </w:p>
        </w:tc>
      </w:tr>
      <w:tr w:rsidR="00B055F8" w:rsidRPr="00B055F8" w14:paraId="31CB2A83" w14:textId="77777777" w:rsidTr="00B055F8">
        <w:trPr>
          <w:cantSplit/>
        </w:trPr>
        <w:tc>
          <w:tcPr>
            <w:tcW w:w="1098" w:type="pct"/>
            <w:vMerge/>
            <w:tcBorders>
              <w:top w:val="nil"/>
              <w:left w:val="nil"/>
              <w:bottom w:val="nil"/>
              <w:right w:val="nil"/>
            </w:tcBorders>
            <w:shd w:val="clear" w:color="auto" w:fill="FFFFFF"/>
            <w:vAlign w:val="bottom"/>
          </w:tcPr>
          <w:p w14:paraId="31CB2A7A" w14:textId="77777777" w:rsidR="00DD3D53" w:rsidRPr="00B055F8" w:rsidRDefault="00DD3D53" w:rsidP="00B055F8">
            <w:pPr>
              <w:autoSpaceDE w:val="0"/>
              <w:autoSpaceDN w:val="0"/>
              <w:adjustRightInd w:val="0"/>
              <w:spacing w:line="240" w:lineRule="auto"/>
              <w:jc w:val="left"/>
              <w:rPr>
                <w:rFonts w:ascii="Arial" w:hAnsi="Arial" w:cs="Arial"/>
                <w:color w:val="000000" w:themeColor="text1"/>
                <w:sz w:val="18"/>
                <w:szCs w:val="18"/>
              </w:rPr>
            </w:pPr>
          </w:p>
        </w:tc>
        <w:tc>
          <w:tcPr>
            <w:tcW w:w="528" w:type="pct"/>
            <w:tcBorders>
              <w:top w:val="nil"/>
              <w:left w:val="nil"/>
              <w:bottom w:val="nil"/>
              <w:right w:val="nil"/>
            </w:tcBorders>
            <w:shd w:val="clear" w:color="auto" w:fill="FFFFFF"/>
          </w:tcPr>
          <w:p w14:paraId="31CB2A7B" w14:textId="77777777" w:rsidR="00B055F8" w:rsidRPr="00B055F8" w:rsidRDefault="00B055F8" w:rsidP="00B055F8">
            <w:pPr>
              <w:autoSpaceDE w:val="0"/>
              <w:autoSpaceDN w:val="0"/>
              <w:adjustRightInd w:val="0"/>
              <w:spacing w:line="240" w:lineRule="auto"/>
              <w:ind w:firstLine="0"/>
              <w:jc w:val="center"/>
              <w:rPr>
                <w:rFonts w:ascii="Arial" w:hAnsi="Arial" w:cs="Arial"/>
                <w:color w:val="000000" w:themeColor="text1"/>
                <w:sz w:val="18"/>
                <w:szCs w:val="18"/>
              </w:rPr>
            </w:pPr>
          </w:p>
          <w:p w14:paraId="31CB2A7C" w14:textId="77777777" w:rsidR="00B055F8" w:rsidRPr="00B055F8" w:rsidRDefault="00B055F8" w:rsidP="00B055F8">
            <w:pPr>
              <w:autoSpaceDE w:val="0"/>
              <w:autoSpaceDN w:val="0"/>
              <w:adjustRightInd w:val="0"/>
              <w:spacing w:line="240" w:lineRule="auto"/>
              <w:ind w:firstLine="0"/>
              <w:jc w:val="center"/>
              <w:rPr>
                <w:rFonts w:ascii="Arial" w:hAnsi="Arial" w:cs="Arial"/>
                <w:color w:val="000000" w:themeColor="text1"/>
                <w:sz w:val="18"/>
                <w:szCs w:val="18"/>
              </w:rPr>
            </w:pPr>
          </w:p>
          <w:p w14:paraId="31CB2A7D" w14:textId="77777777" w:rsidR="00DD3D53" w:rsidRPr="003C1539" w:rsidRDefault="00DD3D53" w:rsidP="00B055F8">
            <w:pPr>
              <w:autoSpaceDE w:val="0"/>
              <w:autoSpaceDN w:val="0"/>
              <w:adjustRightInd w:val="0"/>
              <w:spacing w:line="240" w:lineRule="auto"/>
              <w:ind w:firstLine="0"/>
              <w:jc w:val="center"/>
              <w:rPr>
                <w:rFonts w:ascii="Arial" w:hAnsi="Arial" w:cs="Arial"/>
                <w:b/>
                <w:color w:val="000000" w:themeColor="text1"/>
                <w:sz w:val="18"/>
                <w:szCs w:val="18"/>
              </w:rPr>
            </w:pPr>
            <w:r w:rsidRPr="003C1539">
              <w:rPr>
                <w:rFonts w:ascii="Arial" w:hAnsi="Arial" w:cs="Arial"/>
                <w:b/>
                <w:color w:val="000000" w:themeColor="text1"/>
                <w:sz w:val="18"/>
                <w:szCs w:val="18"/>
              </w:rPr>
              <w:t>Cut-off</w:t>
            </w:r>
          </w:p>
        </w:tc>
        <w:tc>
          <w:tcPr>
            <w:tcW w:w="602" w:type="pct"/>
            <w:vMerge/>
            <w:tcBorders>
              <w:top w:val="nil"/>
              <w:left w:val="nil"/>
              <w:bottom w:val="nil"/>
              <w:right w:val="single" w:sz="8" w:space="0" w:color="E0E0E0"/>
            </w:tcBorders>
            <w:shd w:val="clear" w:color="auto" w:fill="FFFFFF"/>
            <w:vAlign w:val="bottom"/>
          </w:tcPr>
          <w:p w14:paraId="31CB2A7E" w14:textId="77777777" w:rsidR="00DD3D53" w:rsidRPr="00B055F8" w:rsidRDefault="00DD3D53" w:rsidP="00B055F8">
            <w:pPr>
              <w:autoSpaceDE w:val="0"/>
              <w:autoSpaceDN w:val="0"/>
              <w:adjustRightInd w:val="0"/>
              <w:spacing w:line="240" w:lineRule="auto"/>
              <w:jc w:val="left"/>
              <w:rPr>
                <w:rFonts w:ascii="Arial" w:hAnsi="Arial" w:cs="Arial"/>
                <w:color w:val="000000" w:themeColor="text1"/>
                <w:sz w:val="18"/>
                <w:szCs w:val="18"/>
              </w:rPr>
            </w:pPr>
          </w:p>
        </w:tc>
        <w:tc>
          <w:tcPr>
            <w:tcW w:w="608" w:type="pct"/>
            <w:vMerge/>
            <w:tcBorders>
              <w:top w:val="nil"/>
              <w:left w:val="single" w:sz="8" w:space="0" w:color="E0E0E0"/>
              <w:bottom w:val="nil"/>
              <w:right w:val="single" w:sz="8" w:space="0" w:color="E0E0E0"/>
            </w:tcBorders>
            <w:shd w:val="clear" w:color="auto" w:fill="FFFFFF"/>
            <w:vAlign w:val="bottom"/>
          </w:tcPr>
          <w:p w14:paraId="31CB2A7F" w14:textId="77777777" w:rsidR="00DD3D53" w:rsidRPr="00B055F8" w:rsidRDefault="00DD3D53" w:rsidP="00B055F8">
            <w:pPr>
              <w:autoSpaceDE w:val="0"/>
              <w:autoSpaceDN w:val="0"/>
              <w:adjustRightInd w:val="0"/>
              <w:spacing w:line="240" w:lineRule="auto"/>
              <w:jc w:val="left"/>
              <w:rPr>
                <w:rFonts w:ascii="Arial" w:hAnsi="Arial" w:cs="Arial"/>
                <w:color w:val="000000" w:themeColor="text1"/>
                <w:sz w:val="18"/>
                <w:szCs w:val="18"/>
              </w:rPr>
            </w:pPr>
          </w:p>
        </w:tc>
        <w:tc>
          <w:tcPr>
            <w:tcW w:w="768" w:type="pct"/>
            <w:vMerge/>
            <w:tcBorders>
              <w:top w:val="nil"/>
              <w:left w:val="single" w:sz="8" w:space="0" w:color="E0E0E0"/>
              <w:bottom w:val="nil"/>
              <w:right w:val="single" w:sz="8" w:space="0" w:color="E0E0E0"/>
            </w:tcBorders>
            <w:shd w:val="clear" w:color="auto" w:fill="FFFFFF"/>
            <w:vAlign w:val="bottom"/>
          </w:tcPr>
          <w:p w14:paraId="31CB2A80" w14:textId="77777777" w:rsidR="00DD3D53" w:rsidRPr="00B055F8" w:rsidRDefault="00DD3D53" w:rsidP="00B055F8">
            <w:pPr>
              <w:autoSpaceDE w:val="0"/>
              <w:autoSpaceDN w:val="0"/>
              <w:adjustRightInd w:val="0"/>
              <w:spacing w:line="240" w:lineRule="auto"/>
              <w:jc w:val="left"/>
              <w:rPr>
                <w:rFonts w:ascii="Arial" w:hAnsi="Arial" w:cs="Arial"/>
                <w:color w:val="000000" w:themeColor="text1"/>
                <w:sz w:val="18"/>
                <w:szCs w:val="18"/>
              </w:rPr>
            </w:pPr>
          </w:p>
        </w:tc>
        <w:tc>
          <w:tcPr>
            <w:tcW w:w="736" w:type="pct"/>
            <w:tcBorders>
              <w:top w:val="nil"/>
              <w:left w:val="single" w:sz="8" w:space="0" w:color="E0E0E0"/>
              <w:bottom w:val="single" w:sz="8" w:space="0" w:color="152935"/>
              <w:right w:val="single" w:sz="8" w:space="0" w:color="E0E0E0"/>
            </w:tcBorders>
            <w:shd w:val="clear" w:color="auto" w:fill="FFFFFF"/>
            <w:vAlign w:val="bottom"/>
          </w:tcPr>
          <w:p w14:paraId="31CB2A81" w14:textId="77777777" w:rsidR="00DD3D53" w:rsidRPr="00B055F8" w:rsidRDefault="00DD3D53" w:rsidP="00B055F8">
            <w:pPr>
              <w:autoSpaceDE w:val="0"/>
              <w:autoSpaceDN w:val="0"/>
              <w:adjustRightInd w:val="0"/>
              <w:spacing w:line="320" w:lineRule="atLeast"/>
              <w:ind w:left="60" w:right="60" w:firstLine="0"/>
              <w:jc w:val="left"/>
              <w:rPr>
                <w:rFonts w:ascii="Arial" w:hAnsi="Arial" w:cs="Arial"/>
                <w:color w:val="000000" w:themeColor="text1"/>
                <w:sz w:val="18"/>
                <w:szCs w:val="18"/>
              </w:rPr>
            </w:pPr>
            <w:r w:rsidRPr="00B055F8">
              <w:rPr>
                <w:rFonts w:ascii="Arial" w:hAnsi="Arial" w:cs="Arial"/>
                <w:color w:val="000000" w:themeColor="text1"/>
                <w:sz w:val="18"/>
                <w:szCs w:val="18"/>
              </w:rPr>
              <w:t>Lower Bound</w:t>
            </w:r>
          </w:p>
        </w:tc>
        <w:tc>
          <w:tcPr>
            <w:tcW w:w="660" w:type="pct"/>
            <w:tcBorders>
              <w:top w:val="nil"/>
              <w:left w:val="single" w:sz="8" w:space="0" w:color="E0E0E0"/>
              <w:bottom w:val="single" w:sz="8" w:space="0" w:color="152935"/>
              <w:right w:val="nil"/>
            </w:tcBorders>
            <w:shd w:val="clear" w:color="auto" w:fill="FFFFFF"/>
            <w:vAlign w:val="bottom"/>
          </w:tcPr>
          <w:p w14:paraId="31CB2A82" w14:textId="77777777" w:rsidR="00DD3D53" w:rsidRPr="00B055F8" w:rsidRDefault="00DD3D53" w:rsidP="00B055F8">
            <w:pPr>
              <w:autoSpaceDE w:val="0"/>
              <w:autoSpaceDN w:val="0"/>
              <w:adjustRightInd w:val="0"/>
              <w:spacing w:line="320" w:lineRule="atLeast"/>
              <w:ind w:right="60" w:firstLine="0"/>
              <w:jc w:val="left"/>
              <w:rPr>
                <w:rFonts w:ascii="Arial" w:hAnsi="Arial" w:cs="Arial"/>
                <w:color w:val="000000" w:themeColor="text1"/>
                <w:sz w:val="18"/>
                <w:szCs w:val="18"/>
              </w:rPr>
            </w:pPr>
            <w:r w:rsidRPr="00B055F8">
              <w:rPr>
                <w:rFonts w:ascii="Arial" w:hAnsi="Arial" w:cs="Arial"/>
                <w:color w:val="000000" w:themeColor="text1"/>
                <w:sz w:val="18"/>
                <w:szCs w:val="18"/>
              </w:rPr>
              <w:t>Upper Bound</w:t>
            </w:r>
          </w:p>
        </w:tc>
      </w:tr>
      <w:tr w:rsidR="00B055F8" w:rsidRPr="00B055F8" w14:paraId="31CB2A8B" w14:textId="77777777" w:rsidTr="00B055F8">
        <w:trPr>
          <w:cantSplit/>
        </w:trPr>
        <w:tc>
          <w:tcPr>
            <w:tcW w:w="1098" w:type="pct"/>
            <w:tcBorders>
              <w:top w:val="single" w:sz="8" w:space="0" w:color="152935"/>
              <w:left w:val="nil"/>
              <w:bottom w:val="single" w:sz="8" w:space="0" w:color="AEAEAE"/>
              <w:right w:val="nil"/>
            </w:tcBorders>
            <w:shd w:val="clear" w:color="auto" w:fill="E0E0E0"/>
          </w:tcPr>
          <w:p w14:paraId="31CB2A84"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SHLAG</w:t>
            </w:r>
          </w:p>
        </w:tc>
        <w:tc>
          <w:tcPr>
            <w:tcW w:w="528" w:type="pct"/>
            <w:tcBorders>
              <w:top w:val="single" w:sz="8" w:space="0" w:color="152935"/>
              <w:left w:val="nil"/>
              <w:bottom w:val="single" w:sz="8" w:space="0" w:color="AEAEAE"/>
              <w:right w:val="nil"/>
            </w:tcBorders>
            <w:shd w:val="clear" w:color="auto" w:fill="FFFFFF"/>
          </w:tcPr>
          <w:p w14:paraId="31CB2A85"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52.4</w:t>
            </w:r>
          </w:p>
        </w:tc>
        <w:tc>
          <w:tcPr>
            <w:tcW w:w="602" w:type="pct"/>
            <w:tcBorders>
              <w:top w:val="single" w:sz="8" w:space="0" w:color="152935"/>
              <w:left w:val="nil"/>
              <w:bottom w:val="single" w:sz="8" w:space="0" w:color="AEAEAE"/>
              <w:right w:val="single" w:sz="8" w:space="0" w:color="E0E0E0"/>
            </w:tcBorders>
            <w:shd w:val="clear" w:color="auto" w:fill="FFFFFF"/>
          </w:tcPr>
          <w:p w14:paraId="31CB2A86"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.703</w:t>
            </w:r>
          </w:p>
        </w:tc>
        <w:tc>
          <w:tcPr>
            <w:tcW w:w="608" w:type="pct"/>
            <w:tcBorders>
              <w:top w:val="single" w:sz="8" w:space="0" w:color="152935"/>
              <w:left w:val="single" w:sz="8" w:space="0" w:color="E0E0E0"/>
              <w:bottom w:val="single" w:sz="8" w:space="0" w:color="AEAEAE"/>
              <w:right w:val="single" w:sz="8" w:space="0" w:color="E0E0E0"/>
            </w:tcBorders>
            <w:shd w:val="clear" w:color="auto" w:fill="FFFFFF"/>
          </w:tcPr>
          <w:p w14:paraId="31CB2A87"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.117</w:t>
            </w:r>
          </w:p>
        </w:tc>
        <w:tc>
          <w:tcPr>
            <w:tcW w:w="768" w:type="pct"/>
            <w:tcBorders>
              <w:top w:val="single" w:sz="8" w:space="0" w:color="152935"/>
              <w:left w:val="single" w:sz="8" w:space="0" w:color="E0E0E0"/>
              <w:bottom w:val="single" w:sz="8" w:space="0" w:color="AEAEAE"/>
              <w:right w:val="single" w:sz="8" w:space="0" w:color="E0E0E0"/>
            </w:tcBorders>
            <w:shd w:val="clear" w:color="auto" w:fill="FFFFFF"/>
          </w:tcPr>
          <w:p w14:paraId="31CB2A88"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.082</w:t>
            </w:r>
          </w:p>
        </w:tc>
        <w:tc>
          <w:tcPr>
            <w:tcW w:w="736" w:type="pct"/>
            <w:tcBorders>
              <w:top w:val="single" w:sz="8" w:space="0" w:color="152935"/>
              <w:left w:val="single" w:sz="8" w:space="0" w:color="E0E0E0"/>
              <w:bottom w:val="single" w:sz="8" w:space="0" w:color="AEAEAE"/>
              <w:right w:val="single" w:sz="8" w:space="0" w:color="E0E0E0"/>
            </w:tcBorders>
            <w:shd w:val="clear" w:color="auto" w:fill="FFFFFF"/>
          </w:tcPr>
          <w:p w14:paraId="31CB2A89"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.474</w:t>
            </w:r>
          </w:p>
        </w:tc>
        <w:tc>
          <w:tcPr>
            <w:tcW w:w="660" w:type="pct"/>
            <w:tcBorders>
              <w:top w:val="single" w:sz="8" w:space="0" w:color="152935"/>
              <w:left w:val="single" w:sz="8" w:space="0" w:color="E0E0E0"/>
              <w:bottom w:val="single" w:sz="8" w:space="0" w:color="AEAEAE"/>
              <w:right w:val="nil"/>
            </w:tcBorders>
            <w:shd w:val="clear" w:color="auto" w:fill="FFFFFF"/>
          </w:tcPr>
          <w:p w14:paraId="31CB2A8A"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.932</w:t>
            </w:r>
          </w:p>
        </w:tc>
      </w:tr>
      <w:tr w:rsidR="00B055F8" w:rsidRPr="00B055F8" w14:paraId="31CB2A93"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8C"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IL6</w:t>
            </w:r>
          </w:p>
        </w:tc>
        <w:tc>
          <w:tcPr>
            <w:tcW w:w="528" w:type="pct"/>
            <w:tcBorders>
              <w:top w:val="single" w:sz="8" w:space="0" w:color="AEAEAE"/>
              <w:left w:val="nil"/>
              <w:bottom w:val="single" w:sz="8" w:space="0" w:color="AEAEAE"/>
              <w:right w:val="nil"/>
            </w:tcBorders>
            <w:shd w:val="clear" w:color="auto" w:fill="FFFFFF"/>
          </w:tcPr>
          <w:p w14:paraId="31CB2A8D"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48.7</w:t>
            </w:r>
          </w:p>
        </w:tc>
        <w:tc>
          <w:tcPr>
            <w:tcW w:w="602" w:type="pct"/>
            <w:tcBorders>
              <w:top w:val="single" w:sz="8" w:space="0" w:color="AEAEAE"/>
              <w:left w:val="nil"/>
              <w:bottom w:val="single" w:sz="8" w:space="0" w:color="AEAEAE"/>
              <w:right w:val="single" w:sz="8" w:space="0" w:color="E0E0E0"/>
            </w:tcBorders>
            <w:shd w:val="clear" w:color="auto" w:fill="FFFFFF"/>
          </w:tcPr>
          <w:p w14:paraId="31CB2A8E"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.656</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8F"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.130</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90"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.230</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91"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.401</w:t>
            </w:r>
          </w:p>
        </w:tc>
        <w:tc>
          <w:tcPr>
            <w:tcW w:w="660" w:type="pct"/>
            <w:tcBorders>
              <w:top w:val="single" w:sz="8" w:space="0" w:color="AEAEAE"/>
              <w:left w:val="single" w:sz="8" w:space="0" w:color="E0E0E0"/>
              <w:bottom w:val="single" w:sz="8" w:space="0" w:color="AEAEAE"/>
              <w:right w:val="nil"/>
            </w:tcBorders>
            <w:shd w:val="clear" w:color="auto" w:fill="FFFFFF"/>
          </w:tcPr>
          <w:p w14:paraId="31CB2A92"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.912</w:t>
            </w:r>
          </w:p>
        </w:tc>
      </w:tr>
      <w:tr w:rsidR="00B055F8" w:rsidRPr="00B055F8" w14:paraId="31CB2A9B"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94"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HGB</w:t>
            </w:r>
          </w:p>
        </w:tc>
        <w:tc>
          <w:tcPr>
            <w:tcW w:w="528" w:type="pct"/>
            <w:tcBorders>
              <w:top w:val="single" w:sz="8" w:space="0" w:color="AEAEAE"/>
              <w:left w:val="nil"/>
              <w:bottom w:val="single" w:sz="8" w:space="0" w:color="AEAEAE"/>
              <w:right w:val="nil"/>
            </w:tcBorders>
            <w:shd w:val="clear" w:color="auto" w:fill="FFFFFF"/>
          </w:tcPr>
          <w:p w14:paraId="31CB2A95"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8.2</w:t>
            </w:r>
          </w:p>
        </w:tc>
        <w:tc>
          <w:tcPr>
            <w:tcW w:w="602" w:type="pct"/>
            <w:tcBorders>
              <w:top w:val="single" w:sz="8" w:space="0" w:color="AEAEAE"/>
              <w:left w:val="nil"/>
              <w:bottom w:val="single" w:sz="8" w:space="0" w:color="AEAEAE"/>
              <w:right w:val="single" w:sz="8" w:space="0" w:color="E0E0E0"/>
            </w:tcBorders>
            <w:shd w:val="clear" w:color="auto" w:fill="FFFFFF"/>
          </w:tcPr>
          <w:p w14:paraId="31CB2A96"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.258</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97"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.121</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98"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.045</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99"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.022</w:t>
            </w:r>
          </w:p>
        </w:tc>
        <w:tc>
          <w:tcPr>
            <w:tcW w:w="660" w:type="pct"/>
            <w:tcBorders>
              <w:top w:val="single" w:sz="8" w:space="0" w:color="AEAEAE"/>
              <w:left w:val="single" w:sz="8" w:space="0" w:color="E0E0E0"/>
              <w:bottom w:val="single" w:sz="8" w:space="0" w:color="AEAEAE"/>
              <w:right w:val="nil"/>
            </w:tcBorders>
            <w:shd w:val="clear" w:color="auto" w:fill="FFFFFF"/>
          </w:tcPr>
          <w:p w14:paraId="31CB2A9A"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.494</w:t>
            </w:r>
          </w:p>
        </w:tc>
      </w:tr>
      <w:tr w:rsidR="00B055F8" w:rsidRPr="00B055F8" w14:paraId="31CB2AA3"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9C" w14:textId="77777777" w:rsidR="00DD3D53" w:rsidRPr="007235C8" w:rsidRDefault="00DD3D53" w:rsidP="00B055F8">
            <w:pPr>
              <w:autoSpaceDE w:val="0"/>
              <w:autoSpaceDN w:val="0"/>
              <w:adjustRightInd w:val="0"/>
              <w:spacing w:line="320" w:lineRule="atLeast"/>
              <w:ind w:right="60" w:firstLine="0"/>
              <w:rPr>
                <w:rFonts w:ascii="Arial" w:hAnsi="Arial" w:cs="Arial"/>
                <w:sz w:val="18"/>
                <w:szCs w:val="18"/>
              </w:rPr>
            </w:pPr>
            <w:r w:rsidRPr="007235C8">
              <w:rPr>
                <w:rFonts w:ascii="Arial" w:hAnsi="Arial" w:cs="Arial"/>
                <w:sz w:val="18"/>
                <w:szCs w:val="18"/>
              </w:rPr>
              <w:t>HTC</w:t>
            </w:r>
          </w:p>
        </w:tc>
        <w:tc>
          <w:tcPr>
            <w:tcW w:w="528" w:type="pct"/>
            <w:tcBorders>
              <w:top w:val="single" w:sz="8" w:space="0" w:color="AEAEAE"/>
              <w:left w:val="nil"/>
              <w:bottom w:val="single" w:sz="8" w:space="0" w:color="AEAEAE"/>
              <w:right w:val="nil"/>
            </w:tcBorders>
            <w:shd w:val="clear" w:color="auto" w:fill="FFFFFF"/>
          </w:tcPr>
          <w:p w14:paraId="31CB2A9D" w14:textId="77777777" w:rsidR="00DD3D53" w:rsidRPr="007235C8" w:rsidRDefault="00DD3D53" w:rsidP="00B055F8">
            <w:pPr>
              <w:autoSpaceDE w:val="0"/>
              <w:autoSpaceDN w:val="0"/>
              <w:adjustRightInd w:val="0"/>
              <w:spacing w:line="320" w:lineRule="atLeast"/>
              <w:ind w:right="60" w:firstLine="0"/>
              <w:jc w:val="center"/>
              <w:rPr>
                <w:rFonts w:ascii="Arial" w:hAnsi="Arial" w:cs="Arial"/>
                <w:sz w:val="18"/>
                <w:szCs w:val="18"/>
              </w:rPr>
            </w:pPr>
            <w:r w:rsidRPr="007235C8">
              <w:rPr>
                <w:rFonts w:ascii="Arial" w:hAnsi="Arial" w:cs="Arial"/>
                <w:sz w:val="18"/>
                <w:szCs w:val="18"/>
              </w:rPr>
              <w:t>24.2</w:t>
            </w:r>
          </w:p>
        </w:tc>
        <w:tc>
          <w:tcPr>
            <w:tcW w:w="602" w:type="pct"/>
            <w:tcBorders>
              <w:top w:val="single" w:sz="8" w:space="0" w:color="AEAEAE"/>
              <w:left w:val="nil"/>
              <w:bottom w:val="single" w:sz="8" w:space="0" w:color="AEAEAE"/>
              <w:right w:val="single" w:sz="8" w:space="0" w:color="E0E0E0"/>
            </w:tcBorders>
            <w:shd w:val="clear" w:color="auto" w:fill="FFFFFF"/>
          </w:tcPr>
          <w:p w14:paraId="31CB2A9E" w14:textId="77777777" w:rsidR="00DD3D53" w:rsidRPr="007235C8" w:rsidRDefault="00DD3D53" w:rsidP="00D36AD3">
            <w:pPr>
              <w:autoSpaceDE w:val="0"/>
              <w:autoSpaceDN w:val="0"/>
              <w:adjustRightInd w:val="0"/>
              <w:spacing w:line="320" w:lineRule="atLeast"/>
              <w:ind w:left="60" w:right="60"/>
              <w:jc w:val="right"/>
              <w:rPr>
                <w:rFonts w:ascii="Arial" w:hAnsi="Arial" w:cs="Arial"/>
                <w:sz w:val="18"/>
                <w:szCs w:val="18"/>
              </w:rPr>
            </w:pPr>
            <w:r w:rsidRPr="007235C8">
              <w:rPr>
                <w:rFonts w:ascii="Arial" w:hAnsi="Arial" w:cs="Arial"/>
                <w:sz w:val="18"/>
                <w:szCs w:val="18"/>
              </w:rPr>
              <w:t>.277</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9F"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.129</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A0"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.084</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A1"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.025</w:t>
            </w:r>
          </w:p>
        </w:tc>
        <w:tc>
          <w:tcPr>
            <w:tcW w:w="660" w:type="pct"/>
            <w:tcBorders>
              <w:top w:val="single" w:sz="8" w:space="0" w:color="AEAEAE"/>
              <w:left w:val="single" w:sz="8" w:space="0" w:color="E0E0E0"/>
              <w:bottom w:val="single" w:sz="8" w:space="0" w:color="AEAEAE"/>
              <w:right w:val="nil"/>
            </w:tcBorders>
            <w:shd w:val="clear" w:color="auto" w:fill="FFFFFF"/>
          </w:tcPr>
          <w:p w14:paraId="31CB2AA2"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.530</w:t>
            </w:r>
          </w:p>
        </w:tc>
      </w:tr>
      <w:tr w:rsidR="00B055F8" w:rsidRPr="00B055F8" w14:paraId="31CB2AAB"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A4"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PLT</w:t>
            </w:r>
          </w:p>
        </w:tc>
        <w:tc>
          <w:tcPr>
            <w:tcW w:w="528" w:type="pct"/>
            <w:tcBorders>
              <w:top w:val="single" w:sz="8" w:space="0" w:color="AEAEAE"/>
              <w:left w:val="nil"/>
              <w:bottom w:val="single" w:sz="8" w:space="0" w:color="AEAEAE"/>
              <w:right w:val="nil"/>
            </w:tcBorders>
            <w:shd w:val="clear" w:color="auto" w:fill="FFFFFF"/>
          </w:tcPr>
          <w:p w14:paraId="31CB2AA5"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24000</w:t>
            </w:r>
          </w:p>
        </w:tc>
        <w:tc>
          <w:tcPr>
            <w:tcW w:w="602" w:type="pct"/>
            <w:tcBorders>
              <w:top w:val="single" w:sz="8" w:space="0" w:color="AEAEAE"/>
              <w:left w:val="nil"/>
              <w:bottom w:val="single" w:sz="8" w:space="0" w:color="AEAEAE"/>
              <w:right w:val="single" w:sz="8" w:space="0" w:color="E0E0E0"/>
            </w:tcBorders>
            <w:shd w:val="clear" w:color="auto" w:fill="FFFFFF"/>
          </w:tcPr>
          <w:p w14:paraId="31CB2AA6"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.305</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A7"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.117</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A8"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.094</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A9"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.076</w:t>
            </w:r>
          </w:p>
        </w:tc>
        <w:tc>
          <w:tcPr>
            <w:tcW w:w="660" w:type="pct"/>
            <w:tcBorders>
              <w:top w:val="single" w:sz="8" w:space="0" w:color="AEAEAE"/>
              <w:left w:val="single" w:sz="8" w:space="0" w:color="E0E0E0"/>
              <w:bottom w:val="single" w:sz="8" w:space="0" w:color="AEAEAE"/>
              <w:right w:val="nil"/>
            </w:tcBorders>
            <w:shd w:val="clear" w:color="auto" w:fill="FFFFFF"/>
          </w:tcPr>
          <w:p w14:paraId="31CB2AAA"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.533</w:t>
            </w:r>
          </w:p>
        </w:tc>
      </w:tr>
      <w:tr w:rsidR="00B055F8" w:rsidRPr="00B055F8" w14:paraId="31CB2AB3"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AC"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INR</w:t>
            </w:r>
          </w:p>
        </w:tc>
        <w:tc>
          <w:tcPr>
            <w:tcW w:w="528" w:type="pct"/>
            <w:tcBorders>
              <w:top w:val="single" w:sz="8" w:space="0" w:color="AEAEAE"/>
              <w:left w:val="nil"/>
              <w:bottom w:val="single" w:sz="8" w:space="0" w:color="AEAEAE"/>
              <w:right w:val="nil"/>
            </w:tcBorders>
            <w:shd w:val="clear" w:color="auto" w:fill="FFFFFF"/>
          </w:tcPr>
          <w:p w14:paraId="31CB2AAD"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1.2</w:t>
            </w:r>
          </w:p>
        </w:tc>
        <w:tc>
          <w:tcPr>
            <w:tcW w:w="602" w:type="pct"/>
            <w:tcBorders>
              <w:top w:val="single" w:sz="8" w:space="0" w:color="AEAEAE"/>
              <w:left w:val="nil"/>
              <w:bottom w:val="single" w:sz="8" w:space="0" w:color="AEAEAE"/>
              <w:right w:val="single" w:sz="8" w:space="0" w:color="E0E0E0"/>
            </w:tcBorders>
            <w:shd w:val="clear" w:color="auto" w:fill="FFFFFF"/>
          </w:tcPr>
          <w:p w14:paraId="31CB2AAE"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.723</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AF"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.113</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B0"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.048</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B1"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.502</w:t>
            </w:r>
          </w:p>
        </w:tc>
        <w:tc>
          <w:tcPr>
            <w:tcW w:w="660" w:type="pct"/>
            <w:tcBorders>
              <w:top w:val="single" w:sz="8" w:space="0" w:color="AEAEAE"/>
              <w:left w:val="single" w:sz="8" w:space="0" w:color="E0E0E0"/>
              <w:bottom w:val="single" w:sz="8" w:space="0" w:color="AEAEAE"/>
              <w:right w:val="nil"/>
            </w:tcBorders>
            <w:shd w:val="clear" w:color="auto" w:fill="FFFFFF"/>
          </w:tcPr>
          <w:p w14:paraId="31CB2AB2"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.944</w:t>
            </w:r>
          </w:p>
        </w:tc>
      </w:tr>
      <w:tr w:rsidR="00B055F8" w:rsidRPr="00B055F8" w14:paraId="31CB2ABB"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B4"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PTZ</w:t>
            </w:r>
          </w:p>
        </w:tc>
        <w:tc>
          <w:tcPr>
            <w:tcW w:w="528" w:type="pct"/>
            <w:tcBorders>
              <w:top w:val="single" w:sz="8" w:space="0" w:color="AEAEAE"/>
              <w:left w:val="nil"/>
              <w:bottom w:val="single" w:sz="8" w:space="0" w:color="AEAEAE"/>
              <w:right w:val="nil"/>
            </w:tcBorders>
            <w:shd w:val="clear" w:color="auto" w:fill="FFFFFF"/>
          </w:tcPr>
          <w:p w14:paraId="31CB2AB5"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14</w:t>
            </w:r>
          </w:p>
        </w:tc>
        <w:tc>
          <w:tcPr>
            <w:tcW w:w="602" w:type="pct"/>
            <w:tcBorders>
              <w:top w:val="single" w:sz="8" w:space="0" w:color="AEAEAE"/>
              <w:left w:val="nil"/>
              <w:bottom w:val="single" w:sz="8" w:space="0" w:color="AEAEAE"/>
              <w:right w:val="single" w:sz="8" w:space="0" w:color="E0E0E0"/>
            </w:tcBorders>
            <w:shd w:val="clear" w:color="auto" w:fill="FFFFFF"/>
          </w:tcPr>
          <w:p w14:paraId="31CB2AB6"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.824</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B7"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.095</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B8"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.001</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B9"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.638</w:t>
            </w:r>
          </w:p>
        </w:tc>
        <w:tc>
          <w:tcPr>
            <w:tcW w:w="660" w:type="pct"/>
            <w:tcBorders>
              <w:top w:val="single" w:sz="8" w:space="0" w:color="AEAEAE"/>
              <w:left w:val="single" w:sz="8" w:space="0" w:color="E0E0E0"/>
              <w:bottom w:val="single" w:sz="8" w:space="0" w:color="AEAEAE"/>
              <w:right w:val="nil"/>
            </w:tcBorders>
            <w:shd w:val="clear" w:color="auto" w:fill="FFFFFF"/>
          </w:tcPr>
          <w:p w14:paraId="31CB2ABA"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1.011</w:t>
            </w:r>
          </w:p>
        </w:tc>
      </w:tr>
      <w:tr w:rsidR="00B055F8" w:rsidRPr="00B055F8" w14:paraId="31CB2AC3"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BC"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FİBRİNOJEN</w:t>
            </w:r>
          </w:p>
        </w:tc>
        <w:tc>
          <w:tcPr>
            <w:tcW w:w="528" w:type="pct"/>
            <w:tcBorders>
              <w:top w:val="single" w:sz="8" w:space="0" w:color="AEAEAE"/>
              <w:left w:val="nil"/>
              <w:bottom w:val="single" w:sz="8" w:space="0" w:color="AEAEAE"/>
              <w:right w:val="nil"/>
            </w:tcBorders>
            <w:shd w:val="clear" w:color="auto" w:fill="FFFFFF"/>
          </w:tcPr>
          <w:p w14:paraId="31CB2ABD"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65.4</w:t>
            </w:r>
          </w:p>
        </w:tc>
        <w:tc>
          <w:tcPr>
            <w:tcW w:w="602" w:type="pct"/>
            <w:tcBorders>
              <w:top w:val="single" w:sz="8" w:space="0" w:color="AEAEAE"/>
              <w:left w:val="nil"/>
              <w:bottom w:val="single" w:sz="8" w:space="0" w:color="AEAEAE"/>
              <w:right w:val="single" w:sz="8" w:space="0" w:color="E0E0E0"/>
            </w:tcBorders>
            <w:shd w:val="clear" w:color="auto" w:fill="FFFFFF"/>
          </w:tcPr>
          <w:p w14:paraId="31CB2ABE"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.098</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BF"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.072</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C0"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.000</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C1" w14:textId="7F892B4B" w:rsidR="00DD3D53" w:rsidRPr="00B055F8" w:rsidRDefault="00B055F8" w:rsidP="00B055F8">
            <w:pPr>
              <w:autoSpaceDE w:val="0"/>
              <w:autoSpaceDN w:val="0"/>
              <w:adjustRightInd w:val="0"/>
              <w:spacing w:line="320" w:lineRule="atLeast"/>
              <w:ind w:left="60" w:right="60" w:firstLine="0"/>
              <w:rPr>
                <w:rFonts w:ascii="Arial" w:hAnsi="Arial" w:cs="Arial"/>
                <w:color w:val="000000" w:themeColor="text1"/>
                <w:sz w:val="18"/>
                <w:szCs w:val="18"/>
              </w:rPr>
            </w:pPr>
            <w:r w:rsidRPr="00B055F8">
              <w:rPr>
                <w:rFonts w:ascii="Arial" w:hAnsi="Arial" w:cs="Arial"/>
                <w:color w:val="000000" w:themeColor="text1"/>
                <w:sz w:val="18"/>
                <w:szCs w:val="18"/>
              </w:rPr>
              <w:t xml:space="preserve">          </w:t>
            </w:r>
            <w:r w:rsidR="007235C8">
              <w:rPr>
                <w:rFonts w:ascii="Arial" w:hAnsi="Arial" w:cs="Arial"/>
                <w:color w:val="000000" w:themeColor="text1"/>
                <w:sz w:val="18"/>
                <w:szCs w:val="18"/>
              </w:rPr>
              <w:t xml:space="preserve">     </w:t>
            </w:r>
            <w:r w:rsidRPr="00B055F8">
              <w:rPr>
                <w:rFonts w:ascii="Arial" w:hAnsi="Arial" w:cs="Arial"/>
                <w:color w:val="000000" w:themeColor="text1"/>
                <w:sz w:val="18"/>
                <w:szCs w:val="18"/>
              </w:rPr>
              <w:t xml:space="preserve">  </w:t>
            </w:r>
            <w:r w:rsidR="00DD3D53" w:rsidRPr="00B055F8">
              <w:rPr>
                <w:rFonts w:ascii="Arial" w:hAnsi="Arial" w:cs="Arial"/>
                <w:color w:val="000000" w:themeColor="text1"/>
                <w:sz w:val="18"/>
                <w:szCs w:val="18"/>
              </w:rPr>
              <w:t>-.044</w:t>
            </w:r>
          </w:p>
        </w:tc>
        <w:tc>
          <w:tcPr>
            <w:tcW w:w="660" w:type="pct"/>
            <w:tcBorders>
              <w:top w:val="single" w:sz="8" w:space="0" w:color="AEAEAE"/>
              <w:left w:val="single" w:sz="8" w:space="0" w:color="E0E0E0"/>
              <w:bottom w:val="single" w:sz="8" w:space="0" w:color="AEAEAE"/>
              <w:right w:val="nil"/>
            </w:tcBorders>
            <w:shd w:val="clear" w:color="auto" w:fill="FFFFFF"/>
          </w:tcPr>
          <w:p w14:paraId="31CB2AC2"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.239</w:t>
            </w:r>
          </w:p>
        </w:tc>
      </w:tr>
      <w:tr w:rsidR="00B055F8" w:rsidRPr="00B055F8" w14:paraId="31CB2ACB"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C4"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CRP</w:t>
            </w:r>
          </w:p>
        </w:tc>
        <w:tc>
          <w:tcPr>
            <w:tcW w:w="528" w:type="pct"/>
            <w:tcBorders>
              <w:top w:val="single" w:sz="8" w:space="0" w:color="AEAEAE"/>
              <w:left w:val="nil"/>
              <w:bottom w:val="single" w:sz="8" w:space="0" w:color="AEAEAE"/>
              <w:right w:val="nil"/>
            </w:tcBorders>
            <w:shd w:val="clear" w:color="auto" w:fill="FFFFFF"/>
          </w:tcPr>
          <w:p w14:paraId="31CB2AC5"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1.9</w:t>
            </w:r>
          </w:p>
        </w:tc>
        <w:tc>
          <w:tcPr>
            <w:tcW w:w="602" w:type="pct"/>
            <w:tcBorders>
              <w:top w:val="single" w:sz="8" w:space="0" w:color="AEAEAE"/>
              <w:left w:val="nil"/>
              <w:bottom w:val="single" w:sz="8" w:space="0" w:color="AEAEAE"/>
              <w:right w:val="single" w:sz="8" w:space="0" w:color="E0E0E0"/>
            </w:tcBorders>
            <w:shd w:val="clear" w:color="auto" w:fill="FFFFFF"/>
          </w:tcPr>
          <w:p w14:paraId="31CB2AC6"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.359</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C7"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.128</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C8"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.270</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C9"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.109</w:t>
            </w:r>
          </w:p>
        </w:tc>
        <w:tc>
          <w:tcPr>
            <w:tcW w:w="660" w:type="pct"/>
            <w:tcBorders>
              <w:top w:val="single" w:sz="8" w:space="0" w:color="AEAEAE"/>
              <w:left w:val="single" w:sz="8" w:space="0" w:color="E0E0E0"/>
              <w:bottom w:val="single" w:sz="8" w:space="0" w:color="AEAEAE"/>
              <w:right w:val="nil"/>
            </w:tcBorders>
            <w:shd w:val="clear" w:color="auto" w:fill="FFFFFF"/>
          </w:tcPr>
          <w:p w14:paraId="31CB2ACA"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.609</w:t>
            </w:r>
          </w:p>
        </w:tc>
      </w:tr>
      <w:tr w:rsidR="00B055F8" w:rsidRPr="00B055F8" w14:paraId="31CB2AD3"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CC"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ALBUMİN</w:t>
            </w:r>
          </w:p>
        </w:tc>
        <w:tc>
          <w:tcPr>
            <w:tcW w:w="528" w:type="pct"/>
            <w:tcBorders>
              <w:top w:val="single" w:sz="8" w:space="0" w:color="AEAEAE"/>
              <w:left w:val="nil"/>
              <w:bottom w:val="single" w:sz="8" w:space="0" w:color="AEAEAE"/>
              <w:right w:val="nil"/>
            </w:tcBorders>
            <w:shd w:val="clear" w:color="auto" w:fill="FFFFFF"/>
          </w:tcPr>
          <w:p w14:paraId="31CB2ACD"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2.4</w:t>
            </w:r>
          </w:p>
        </w:tc>
        <w:tc>
          <w:tcPr>
            <w:tcW w:w="602" w:type="pct"/>
            <w:tcBorders>
              <w:top w:val="single" w:sz="8" w:space="0" w:color="AEAEAE"/>
              <w:left w:val="nil"/>
              <w:bottom w:val="single" w:sz="8" w:space="0" w:color="AEAEAE"/>
              <w:right w:val="single" w:sz="8" w:space="0" w:color="E0E0E0"/>
            </w:tcBorders>
            <w:shd w:val="clear" w:color="auto" w:fill="FFFFFF"/>
          </w:tcPr>
          <w:p w14:paraId="31CB2ACE"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.344</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CF"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.111</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D0"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.161</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D1"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.125</w:t>
            </w:r>
          </w:p>
        </w:tc>
        <w:tc>
          <w:tcPr>
            <w:tcW w:w="660" w:type="pct"/>
            <w:tcBorders>
              <w:top w:val="single" w:sz="8" w:space="0" w:color="AEAEAE"/>
              <w:left w:val="single" w:sz="8" w:space="0" w:color="E0E0E0"/>
              <w:bottom w:val="single" w:sz="8" w:space="0" w:color="AEAEAE"/>
              <w:right w:val="nil"/>
            </w:tcBorders>
            <w:shd w:val="clear" w:color="auto" w:fill="FFFFFF"/>
          </w:tcPr>
          <w:p w14:paraId="31CB2AD2"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.562</w:t>
            </w:r>
          </w:p>
        </w:tc>
      </w:tr>
      <w:tr w:rsidR="00B055F8" w:rsidRPr="00B055F8" w14:paraId="31CB2ADB"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D4"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TBİLİRUBİN</w:t>
            </w:r>
          </w:p>
        </w:tc>
        <w:tc>
          <w:tcPr>
            <w:tcW w:w="528" w:type="pct"/>
            <w:tcBorders>
              <w:top w:val="single" w:sz="8" w:space="0" w:color="AEAEAE"/>
              <w:left w:val="nil"/>
              <w:bottom w:val="single" w:sz="8" w:space="0" w:color="AEAEAE"/>
              <w:right w:val="nil"/>
            </w:tcBorders>
            <w:shd w:val="clear" w:color="auto" w:fill="FFFFFF"/>
          </w:tcPr>
          <w:p w14:paraId="31CB2AD5"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3.6</w:t>
            </w:r>
          </w:p>
        </w:tc>
        <w:tc>
          <w:tcPr>
            <w:tcW w:w="602" w:type="pct"/>
            <w:tcBorders>
              <w:top w:val="single" w:sz="8" w:space="0" w:color="AEAEAE"/>
              <w:left w:val="nil"/>
              <w:bottom w:val="single" w:sz="8" w:space="0" w:color="AEAEAE"/>
              <w:right w:val="single" w:sz="8" w:space="0" w:color="E0E0E0"/>
            </w:tcBorders>
            <w:shd w:val="clear" w:color="auto" w:fill="FFFFFF"/>
          </w:tcPr>
          <w:p w14:paraId="31CB2AD6"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.844</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D7"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.094</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D8"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.000</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D9"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.660</w:t>
            </w:r>
          </w:p>
        </w:tc>
        <w:tc>
          <w:tcPr>
            <w:tcW w:w="660" w:type="pct"/>
            <w:tcBorders>
              <w:top w:val="single" w:sz="8" w:space="0" w:color="AEAEAE"/>
              <w:left w:val="single" w:sz="8" w:space="0" w:color="E0E0E0"/>
              <w:bottom w:val="single" w:sz="8" w:space="0" w:color="AEAEAE"/>
              <w:right w:val="nil"/>
            </w:tcBorders>
            <w:shd w:val="clear" w:color="auto" w:fill="FFFFFF"/>
          </w:tcPr>
          <w:p w14:paraId="31CB2ADA"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1.027</w:t>
            </w:r>
          </w:p>
        </w:tc>
      </w:tr>
      <w:tr w:rsidR="00B055F8" w:rsidRPr="00B055F8" w14:paraId="31CB2AE3"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DC"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DBİLİRUBİN</w:t>
            </w:r>
          </w:p>
        </w:tc>
        <w:tc>
          <w:tcPr>
            <w:tcW w:w="528" w:type="pct"/>
            <w:tcBorders>
              <w:top w:val="single" w:sz="8" w:space="0" w:color="AEAEAE"/>
              <w:left w:val="nil"/>
              <w:bottom w:val="single" w:sz="8" w:space="0" w:color="AEAEAE"/>
              <w:right w:val="nil"/>
            </w:tcBorders>
            <w:shd w:val="clear" w:color="auto" w:fill="FFFFFF"/>
          </w:tcPr>
          <w:p w14:paraId="31CB2ADD"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2</w:t>
            </w:r>
          </w:p>
        </w:tc>
        <w:tc>
          <w:tcPr>
            <w:tcW w:w="602" w:type="pct"/>
            <w:tcBorders>
              <w:top w:val="single" w:sz="8" w:space="0" w:color="AEAEAE"/>
              <w:left w:val="nil"/>
              <w:bottom w:val="single" w:sz="8" w:space="0" w:color="AEAEAE"/>
              <w:right w:val="single" w:sz="8" w:space="0" w:color="E0E0E0"/>
            </w:tcBorders>
            <w:shd w:val="clear" w:color="auto" w:fill="FFFFFF"/>
          </w:tcPr>
          <w:p w14:paraId="31CB2ADE"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.805</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DF"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.097</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E0"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.002</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E1"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.615</w:t>
            </w:r>
          </w:p>
        </w:tc>
        <w:tc>
          <w:tcPr>
            <w:tcW w:w="660" w:type="pct"/>
            <w:tcBorders>
              <w:top w:val="single" w:sz="8" w:space="0" w:color="AEAEAE"/>
              <w:left w:val="single" w:sz="8" w:space="0" w:color="E0E0E0"/>
              <w:bottom w:val="single" w:sz="8" w:space="0" w:color="AEAEAE"/>
              <w:right w:val="nil"/>
            </w:tcBorders>
            <w:shd w:val="clear" w:color="auto" w:fill="FFFFFF"/>
          </w:tcPr>
          <w:p w14:paraId="31CB2AE2"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.994</w:t>
            </w:r>
          </w:p>
        </w:tc>
      </w:tr>
      <w:tr w:rsidR="00B055F8" w:rsidRPr="00B055F8" w14:paraId="31CB2AEB"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E4"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AST</w:t>
            </w:r>
          </w:p>
        </w:tc>
        <w:tc>
          <w:tcPr>
            <w:tcW w:w="528" w:type="pct"/>
            <w:tcBorders>
              <w:top w:val="single" w:sz="8" w:space="0" w:color="AEAEAE"/>
              <w:left w:val="nil"/>
              <w:bottom w:val="single" w:sz="8" w:space="0" w:color="AEAEAE"/>
              <w:right w:val="nil"/>
            </w:tcBorders>
            <w:shd w:val="clear" w:color="auto" w:fill="FFFFFF"/>
          </w:tcPr>
          <w:p w14:paraId="31CB2AE5"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19</w:t>
            </w:r>
          </w:p>
        </w:tc>
        <w:tc>
          <w:tcPr>
            <w:tcW w:w="602" w:type="pct"/>
            <w:tcBorders>
              <w:top w:val="single" w:sz="8" w:space="0" w:color="AEAEAE"/>
              <w:left w:val="nil"/>
              <w:bottom w:val="single" w:sz="8" w:space="0" w:color="AEAEAE"/>
              <w:right w:val="single" w:sz="8" w:space="0" w:color="E0E0E0"/>
            </w:tcBorders>
            <w:shd w:val="clear" w:color="auto" w:fill="FFFFFF"/>
          </w:tcPr>
          <w:p w14:paraId="31CB2AE6"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.715</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E7"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.122</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E8"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.079</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E9"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.475</w:t>
            </w:r>
          </w:p>
        </w:tc>
        <w:tc>
          <w:tcPr>
            <w:tcW w:w="660" w:type="pct"/>
            <w:tcBorders>
              <w:top w:val="single" w:sz="8" w:space="0" w:color="AEAEAE"/>
              <w:left w:val="single" w:sz="8" w:space="0" w:color="E0E0E0"/>
              <w:bottom w:val="single" w:sz="8" w:space="0" w:color="AEAEAE"/>
              <w:right w:val="nil"/>
            </w:tcBorders>
            <w:shd w:val="clear" w:color="auto" w:fill="FFFFFF"/>
          </w:tcPr>
          <w:p w14:paraId="31CB2AEA"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.954</w:t>
            </w:r>
          </w:p>
        </w:tc>
      </w:tr>
      <w:tr w:rsidR="00B055F8" w:rsidRPr="00B055F8" w14:paraId="31CB2AF3"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EC"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ALT</w:t>
            </w:r>
          </w:p>
        </w:tc>
        <w:tc>
          <w:tcPr>
            <w:tcW w:w="528" w:type="pct"/>
            <w:tcBorders>
              <w:top w:val="single" w:sz="8" w:space="0" w:color="AEAEAE"/>
              <w:left w:val="nil"/>
              <w:bottom w:val="single" w:sz="8" w:space="0" w:color="AEAEAE"/>
              <w:right w:val="nil"/>
            </w:tcBorders>
            <w:shd w:val="clear" w:color="auto" w:fill="FFFFFF"/>
          </w:tcPr>
          <w:p w14:paraId="31CB2AED"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29</w:t>
            </w:r>
          </w:p>
        </w:tc>
        <w:tc>
          <w:tcPr>
            <w:tcW w:w="602" w:type="pct"/>
            <w:tcBorders>
              <w:top w:val="single" w:sz="8" w:space="0" w:color="AEAEAE"/>
              <w:left w:val="nil"/>
              <w:bottom w:val="single" w:sz="8" w:space="0" w:color="AEAEAE"/>
              <w:right w:val="single" w:sz="8" w:space="0" w:color="E0E0E0"/>
            </w:tcBorders>
            <w:shd w:val="clear" w:color="auto" w:fill="FFFFFF"/>
          </w:tcPr>
          <w:p w14:paraId="31CB2AEE"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.664</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EF"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.115</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F0"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.152</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F1"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.440</w:t>
            </w:r>
          </w:p>
        </w:tc>
        <w:tc>
          <w:tcPr>
            <w:tcW w:w="660" w:type="pct"/>
            <w:tcBorders>
              <w:top w:val="single" w:sz="8" w:space="0" w:color="AEAEAE"/>
              <w:left w:val="single" w:sz="8" w:space="0" w:color="E0E0E0"/>
              <w:bottom w:val="single" w:sz="8" w:space="0" w:color="AEAEAE"/>
              <w:right w:val="nil"/>
            </w:tcBorders>
            <w:shd w:val="clear" w:color="auto" w:fill="FFFFFF"/>
          </w:tcPr>
          <w:p w14:paraId="31CB2AF2"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.889</w:t>
            </w:r>
          </w:p>
        </w:tc>
      </w:tr>
      <w:tr w:rsidR="00B055F8" w:rsidRPr="00B055F8" w14:paraId="31CB2AFB"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F4"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LDH</w:t>
            </w:r>
          </w:p>
        </w:tc>
        <w:tc>
          <w:tcPr>
            <w:tcW w:w="528" w:type="pct"/>
            <w:tcBorders>
              <w:top w:val="single" w:sz="8" w:space="0" w:color="AEAEAE"/>
              <w:left w:val="nil"/>
              <w:bottom w:val="single" w:sz="8" w:space="0" w:color="AEAEAE"/>
              <w:right w:val="nil"/>
            </w:tcBorders>
            <w:shd w:val="clear" w:color="auto" w:fill="FFFFFF"/>
          </w:tcPr>
          <w:p w14:paraId="31CB2AF5"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217</w:t>
            </w:r>
          </w:p>
        </w:tc>
        <w:tc>
          <w:tcPr>
            <w:tcW w:w="602" w:type="pct"/>
            <w:tcBorders>
              <w:top w:val="single" w:sz="8" w:space="0" w:color="AEAEAE"/>
              <w:left w:val="nil"/>
              <w:bottom w:val="single" w:sz="8" w:space="0" w:color="AEAEAE"/>
              <w:right w:val="single" w:sz="8" w:space="0" w:color="E0E0E0"/>
            </w:tcBorders>
            <w:shd w:val="clear" w:color="auto" w:fill="FFFFFF"/>
          </w:tcPr>
          <w:p w14:paraId="31CB2AF6"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.672</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F7"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.148</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AF8"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.247</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AF9"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.381</w:t>
            </w:r>
          </w:p>
        </w:tc>
        <w:tc>
          <w:tcPr>
            <w:tcW w:w="660" w:type="pct"/>
            <w:tcBorders>
              <w:top w:val="single" w:sz="8" w:space="0" w:color="AEAEAE"/>
              <w:left w:val="single" w:sz="8" w:space="0" w:color="E0E0E0"/>
              <w:bottom w:val="single" w:sz="8" w:space="0" w:color="AEAEAE"/>
              <w:right w:val="nil"/>
            </w:tcBorders>
            <w:shd w:val="clear" w:color="auto" w:fill="FFFFFF"/>
          </w:tcPr>
          <w:p w14:paraId="31CB2AFA"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.963</w:t>
            </w:r>
          </w:p>
        </w:tc>
      </w:tr>
      <w:tr w:rsidR="00B055F8" w:rsidRPr="00B055F8" w14:paraId="31CB2B03" w14:textId="77777777" w:rsidTr="00B055F8">
        <w:trPr>
          <w:cantSplit/>
        </w:trPr>
        <w:tc>
          <w:tcPr>
            <w:tcW w:w="1098" w:type="pct"/>
            <w:tcBorders>
              <w:top w:val="single" w:sz="8" w:space="0" w:color="AEAEAE"/>
              <w:left w:val="nil"/>
              <w:bottom w:val="single" w:sz="8" w:space="0" w:color="AEAEAE"/>
              <w:right w:val="nil"/>
            </w:tcBorders>
            <w:shd w:val="clear" w:color="auto" w:fill="E0E0E0"/>
          </w:tcPr>
          <w:p w14:paraId="31CB2AFC"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AMONYAK</w:t>
            </w:r>
          </w:p>
        </w:tc>
        <w:tc>
          <w:tcPr>
            <w:tcW w:w="528" w:type="pct"/>
            <w:tcBorders>
              <w:top w:val="single" w:sz="8" w:space="0" w:color="AEAEAE"/>
              <w:left w:val="nil"/>
              <w:bottom w:val="single" w:sz="8" w:space="0" w:color="AEAEAE"/>
              <w:right w:val="nil"/>
            </w:tcBorders>
            <w:shd w:val="clear" w:color="auto" w:fill="FFFFFF"/>
          </w:tcPr>
          <w:p w14:paraId="31CB2AFD"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45.5</w:t>
            </w:r>
          </w:p>
        </w:tc>
        <w:tc>
          <w:tcPr>
            <w:tcW w:w="602" w:type="pct"/>
            <w:tcBorders>
              <w:top w:val="single" w:sz="8" w:space="0" w:color="AEAEAE"/>
              <w:left w:val="nil"/>
              <w:bottom w:val="single" w:sz="8" w:space="0" w:color="AEAEAE"/>
              <w:right w:val="single" w:sz="8" w:space="0" w:color="E0E0E0"/>
            </w:tcBorders>
            <w:shd w:val="clear" w:color="auto" w:fill="FFFFFF"/>
          </w:tcPr>
          <w:p w14:paraId="31CB2AFE"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.672</w:t>
            </w:r>
          </w:p>
        </w:tc>
        <w:tc>
          <w:tcPr>
            <w:tcW w:w="608" w:type="pct"/>
            <w:tcBorders>
              <w:top w:val="single" w:sz="8" w:space="0" w:color="AEAEAE"/>
              <w:left w:val="single" w:sz="8" w:space="0" w:color="E0E0E0"/>
              <w:bottom w:val="single" w:sz="8" w:space="0" w:color="AEAEAE"/>
              <w:right w:val="single" w:sz="8" w:space="0" w:color="E0E0E0"/>
            </w:tcBorders>
            <w:shd w:val="clear" w:color="auto" w:fill="FFFFFF"/>
          </w:tcPr>
          <w:p w14:paraId="31CB2AFF"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.142</w:t>
            </w:r>
          </w:p>
        </w:tc>
        <w:tc>
          <w:tcPr>
            <w:tcW w:w="768" w:type="pct"/>
            <w:tcBorders>
              <w:top w:val="single" w:sz="8" w:space="0" w:color="AEAEAE"/>
              <w:left w:val="single" w:sz="8" w:space="0" w:color="E0E0E0"/>
              <w:bottom w:val="single" w:sz="8" w:space="0" w:color="AEAEAE"/>
              <w:right w:val="single" w:sz="8" w:space="0" w:color="E0E0E0"/>
            </w:tcBorders>
            <w:shd w:val="clear" w:color="auto" w:fill="FFFFFF"/>
          </w:tcPr>
          <w:p w14:paraId="31CB2B00"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.227</w:t>
            </w:r>
          </w:p>
        </w:tc>
        <w:tc>
          <w:tcPr>
            <w:tcW w:w="736" w:type="pct"/>
            <w:tcBorders>
              <w:top w:val="single" w:sz="8" w:space="0" w:color="AEAEAE"/>
              <w:left w:val="single" w:sz="8" w:space="0" w:color="E0E0E0"/>
              <w:bottom w:val="single" w:sz="8" w:space="0" w:color="AEAEAE"/>
              <w:right w:val="single" w:sz="8" w:space="0" w:color="E0E0E0"/>
            </w:tcBorders>
            <w:shd w:val="clear" w:color="auto" w:fill="FFFFFF"/>
          </w:tcPr>
          <w:p w14:paraId="31CB2B01"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.393</w:t>
            </w:r>
          </w:p>
        </w:tc>
        <w:tc>
          <w:tcPr>
            <w:tcW w:w="660" w:type="pct"/>
            <w:tcBorders>
              <w:top w:val="single" w:sz="8" w:space="0" w:color="AEAEAE"/>
              <w:left w:val="single" w:sz="8" w:space="0" w:color="E0E0E0"/>
              <w:bottom w:val="single" w:sz="8" w:space="0" w:color="AEAEAE"/>
              <w:right w:val="nil"/>
            </w:tcBorders>
            <w:shd w:val="clear" w:color="auto" w:fill="FFFFFF"/>
          </w:tcPr>
          <w:p w14:paraId="31CB2B02"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.951</w:t>
            </w:r>
          </w:p>
        </w:tc>
      </w:tr>
      <w:tr w:rsidR="00B055F8" w:rsidRPr="00B055F8" w14:paraId="31CB2B0B" w14:textId="77777777" w:rsidTr="00B055F8">
        <w:trPr>
          <w:cantSplit/>
        </w:trPr>
        <w:tc>
          <w:tcPr>
            <w:tcW w:w="1098" w:type="pct"/>
            <w:tcBorders>
              <w:top w:val="single" w:sz="8" w:space="0" w:color="AEAEAE"/>
              <w:left w:val="nil"/>
              <w:bottom w:val="single" w:sz="8" w:space="0" w:color="152935"/>
              <w:right w:val="nil"/>
            </w:tcBorders>
            <w:shd w:val="clear" w:color="auto" w:fill="E0E0E0"/>
          </w:tcPr>
          <w:p w14:paraId="31CB2B04" w14:textId="77777777" w:rsidR="00DD3D53" w:rsidRPr="00B055F8" w:rsidRDefault="00DD3D53" w:rsidP="00B055F8">
            <w:pPr>
              <w:autoSpaceDE w:val="0"/>
              <w:autoSpaceDN w:val="0"/>
              <w:adjustRightInd w:val="0"/>
              <w:spacing w:line="320" w:lineRule="atLeast"/>
              <w:ind w:right="60" w:firstLine="0"/>
              <w:rPr>
                <w:rFonts w:ascii="Arial" w:hAnsi="Arial" w:cs="Arial"/>
                <w:color w:val="000000" w:themeColor="text1"/>
                <w:sz w:val="18"/>
                <w:szCs w:val="18"/>
              </w:rPr>
            </w:pPr>
            <w:r w:rsidRPr="00B055F8">
              <w:rPr>
                <w:rFonts w:ascii="Arial" w:hAnsi="Arial" w:cs="Arial"/>
                <w:color w:val="000000" w:themeColor="text1"/>
                <w:sz w:val="18"/>
                <w:szCs w:val="18"/>
              </w:rPr>
              <w:t>LAKTAT</w:t>
            </w:r>
          </w:p>
        </w:tc>
        <w:tc>
          <w:tcPr>
            <w:tcW w:w="528" w:type="pct"/>
            <w:tcBorders>
              <w:top w:val="single" w:sz="8" w:space="0" w:color="AEAEAE"/>
              <w:left w:val="nil"/>
              <w:bottom w:val="single" w:sz="8" w:space="0" w:color="152935"/>
              <w:right w:val="nil"/>
            </w:tcBorders>
            <w:shd w:val="clear" w:color="auto" w:fill="FFFFFF"/>
          </w:tcPr>
          <w:p w14:paraId="31CB2B05" w14:textId="77777777" w:rsidR="00DD3D53" w:rsidRPr="00B055F8" w:rsidRDefault="00DD3D53" w:rsidP="00B055F8">
            <w:pPr>
              <w:autoSpaceDE w:val="0"/>
              <w:autoSpaceDN w:val="0"/>
              <w:adjustRightInd w:val="0"/>
              <w:spacing w:line="320" w:lineRule="atLeast"/>
              <w:ind w:right="60" w:firstLine="0"/>
              <w:jc w:val="center"/>
              <w:rPr>
                <w:rFonts w:ascii="Arial" w:hAnsi="Arial" w:cs="Arial"/>
                <w:color w:val="000000" w:themeColor="text1"/>
                <w:sz w:val="18"/>
                <w:szCs w:val="18"/>
              </w:rPr>
            </w:pPr>
            <w:r w:rsidRPr="00B055F8">
              <w:rPr>
                <w:rFonts w:ascii="Arial" w:hAnsi="Arial" w:cs="Arial"/>
                <w:color w:val="000000" w:themeColor="text1"/>
                <w:sz w:val="18"/>
                <w:szCs w:val="18"/>
              </w:rPr>
              <w:t>1.5</w:t>
            </w:r>
          </w:p>
        </w:tc>
        <w:tc>
          <w:tcPr>
            <w:tcW w:w="602" w:type="pct"/>
            <w:tcBorders>
              <w:top w:val="single" w:sz="8" w:space="0" w:color="AEAEAE"/>
              <w:left w:val="nil"/>
              <w:bottom w:val="single" w:sz="8" w:space="0" w:color="152935"/>
              <w:right w:val="single" w:sz="8" w:space="0" w:color="E0E0E0"/>
            </w:tcBorders>
            <w:shd w:val="clear" w:color="auto" w:fill="FFFFFF"/>
          </w:tcPr>
          <w:p w14:paraId="31CB2B06"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.684</w:t>
            </w:r>
          </w:p>
        </w:tc>
        <w:tc>
          <w:tcPr>
            <w:tcW w:w="608" w:type="pct"/>
            <w:tcBorders>
              <w:top w:val="single" w:sz="8" w:space="0" w:color="AEAEAE"/>
              <w:left w:val="single" w:sz="8" w:space="0" w:color="E0E0E0"/>
              <w:bottom w:val="single" w:sz="8" w:space="0" w:color="152935"/>
              <w:right w:val="single" w:sz="8" w:space="0" w:color="E0E0E0"/>
            </w:tcBorders>
            <w:shd w:val="clear" w:color="auto" w:fill="FFFFFF"/>
          </w:tcPr>
          <w:p w14:paraId="31CB2B07"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.128</w:t>
            </w:r>
          </w:p>
        </w:tc>
        <w:tc>
          <w:tcPr>
            <w:tcW w:w="768" w:type="pct"/>
            <w:tcBorders>
              <w:top w:val="single" w:sz="8" w:space="0" w:color="AEAEAE"/>
              <w:left w:val="single" w:sz="8" w:space="0" w:color="E0E0E0"/>
              <w:bottom w:val="single" w:sz="8" w:space="0" w:color="152935"/>
              <w:right w:val="single" w:sz="8" w:space="0" w:color="E0E0E0"/>
            </w:tcBorders>
            <w:shd w:val="clear" w:color="auto" w:fill="FFFFFF"/>
          </w:tcPr>
          <w:p w14:paraId="31CB2B08"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.153</w:t>
            </w:r>
          </w:p>
        </w:tc>
        <w:tc>
          <w:tcPr>
            <w:tcW w:w="736" w:type="pct"/>
            <w:tcBorders>
              <w:top w:val="single" w:sz="8" w:space="0" w:color="AEAEAE"/>
              <w:left w:val="single" w:sz="8" w:space="0" w:color="E0E0E0"/>
              <w:bottom w:val="single" w:sz="8" w:space="0" w:color="152935"/>
              <w:right w:val="single" w:sz="8" w:space="0" w:color="E0E0E0"/>
            </w:tcBorders>
            <w:shd w:val="clear" w:color="auto" w:fill="FFFFFF"/>
          </w:tcPr>
          <w:p w14:paraId="31CB2B09"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.432</w:t>
            </w:r>
          </w:p>
        </w:tc>
        <w:tc>
          <w:tcPr>
            <w:tcW w:w="660" w:type="pct"/>
            <w:tcBorders>
              <w:top w:val="single" w:sz="8" w:space="0" w:color="AEAEAE"/>
              <w:left w:val="single" w:sz="8" w:space="0" w:color="E0E0E0"/>
              <w:bottom w:val="single" w:sz="8" w:space="0" w:color="152935"/>
              <w:right w:val="nil"/>
            </w:tcBorders>
            <w:shd w:val="clear" w:color="auto" w:fill="FFFFFF"/>
          </w:tcPr>
          <w:p w14:paraId="31CB2B0A" w14:textId="77777777" w:rsidR="00DD3D53" w:rsidRPr="00B055F8" w:rsidRDefault="00DD3D53" w:rsidP="00D36AD3">
            <w:pPr>
              <w:autoSpaceDE w:val="0"/>
              <w:autoSpaceDN w:val="0"/>
              <w:adjustRightInd w:val="0"/>
              <w:spacing w:line="320" w:lineRule="atLeast"/>
              <w:ind w:left="60" w:right="60"/>
              <w:jc w:val="right"/>
              <w:rPr>
                <w:rFonts w:ascii="Arial" w:hAnsi="Arial" w:cs="Arial"/>
                <w:color w:val="000000" w:themeColor="text1"/>
                <w:sz w:val="18"/>
                <w:szCs w:val="18"/>
              </w:rPr>
            </w:pPr>
            <w:r w:rsidRPr="00B055F8">
              <w:rPr>
                <w:rFonts w:ascii="Arial" w:hAnsi="Arial" w:cs="Arial"/>
                <w:color w:val="000000" w:themeColor="text1"/>
                <w:sz w:val="18"/>
                <w:szCs w:val="18"/>
              </w:rPr>
              <w:t>.935</w:t>
            </w:r>
          </w:p>
        </w:tc>
      </w:tr>
    </w:tbl>
    <w:p w14:paraId="7CDBD5E1" w14:textId="77777777" w:rsidR="002F1052" w:rsidRDefault="002F1052" w:rsidP="002F1052">
      <w:bookmarkStart w:id="567" w:name="_Toc45265951"/>
    </w:p>
    <w:p w14:paraId="18A92349" w14:textId="77777777" w:rsidR="002F1052" w:rsidRDefault="002F1052" w:rsidP="002F1052"/>
    <w:p w14:paraId="67F7B2D4" w14:textId="77777777" w:rsidR="00BF0F9A" w:rsidRDefault="00BF0F9A" w:rsidP="002F1052"/>
    <w:p w14:paraId="24945419" w14:textId="77777777" w:rsidR="00BF0F9A" w:rsidRDefault="00BF0F9A" w:rsidP="002F1052"/>
    <w:p w14:paraId="696AF7D4" w14:textId="77777777" w:rsidR="00BF0F9A" w:rsidRDefault="00BF0F9A" w:rsidP="002F1052"/>
    <w:p w14:paraId="31CB2BCA" w14:textId="1A0AF635" w:rsidR="00494395" w:rsidRDefault="00DE74F9" w:rsidP="00494395">
      <w:pPr>
        <w:pStyle w:val="Balk2"/>
        <w:numPr>
          <w:ilvl w:val="0"/>
          <w:numId w:val="0"/>
        </w:numPr>
        <w:ind w:left="576"/>
      </w:pPr>
      <w:bookmarkStart w:id="568" w:name="_Toc55727851"/>
      <w:bookmarkEnd w:id="567"/>
      <w:r>
        <w:t>Işık Mikroskopisi Bulguları</w:t>
      </w:r>
      <w:bookmarkEnd w:id="568"/>
    </w:p>
    <w:p w14:paraId="31CB2BCB" w14:textId="76F48DD2" w:rsidR="00F358A4" w:rsidRPr="00993B80" w:rsidRDefault="00E07D0B" w:rsidP="00A53908">
      <w:pPr>
        <w:rPr>
          <w:b/>
          <w:bCs/>
          <w:color w:val="FF0000"/>
        </w:rPr>
      </w:pPr>
      <w:r>
        <w:t xml:space="preserve">Patoloji preparatları değerlendirilen </w:t>
      </w:r>
      <w:r w:rsidR="00C607FD" w:rsidRPr="003656DA">
        <w:t>24 vakanın</w:t>
      </w:r>
      <w:r>
        <w:t>;</w:t>
      </w:r>
      <w:r w:rsidR="00C607FD">
        <w:t xml:space="preserve"> 17</w:t>
      </w:r>
      <w:r w:rsidR="001D224A">
        <w:t>’sinde</w:t>
      </w:r>
      <w:r>
        <w:t xml:space="preserve"> (%70</w:t>
      </w:r>
      <w:r w:rsidR="006A66CD">
        <w:t>.</w:t>
      </w:r>
      <w:r>
        <w:t xml:space="preserve">8) </w:t>
      </w:r>
      <w:r w:rsidR="00C607FD" w:rsidRPr="003656DA">
        <w:t xml:space="preserve">kolestaz, </w:t>
      </w:r>
      <w:r w:rsidR="001266E3">
        <w:t>1</w:t>
      </w:r>
      <w:r w:rsidR="006A66CD">
        <w:t>2</w:t>
      </w:r>
      <w:r w:rsidR="001D224A">
        <w:t>’</w:t>
      </w:r>
      <w:r w:rsidR="006A66CD">
        <w:t>s</w:t>
      </w:r>
      <w:r w:rsidR="001D224A">
        <w:t xml:space="preserve">inde </w:t>
      </w:r>
      <w:r w:rsidR="001266E3">
        <w:t xml:space="preserve"> (%5</w:t>
      </w:r>
      <w:r w:rsidR="006A66CD">
        <w:t>0</w:t>
      </w:r>
      <w:r w:rsidR="001266E3">
        <w:t xml:space="preserve">) duktuler proliferasyon (CK7+), </w:t>
      </w:r>
      <w:r w:rsidR="006A66CD">
        <w:t xml:space="preserve">9’unda (%37.5) makroveziküler steatoz, </w:t>
      </w:r>
      <w:r w:rsidR="001266E3">
        <w:lastRenderedPageBreak/>
        <w:t>9</w:t>
      </w:r>
      <w:r w:rsidR="001D224A">
        <w:t>’unda</w:t>
      </w:r>
      <w:r w:rsidR="001266E3">
        <w:t xml:space="preserve"> (%37</w:t>
      </w:r>
      <w:r w:rsidR="006A66CD">
        <w:t>.</w:t>
      </w:r>
      <w:r w:rsidR="001266E3">
        <w:t>5) iskemik nekroz, 4</w:t>
      </w:r>
      <w:r w:rsidR="001D224A">
        <w:t>’ünde</w:t>
      </w:r>
      <w:r w:rsidR="001266E3">
        <w:t xml:space="preserve"> (%16</w:t>
      </w:r>
      <w:r w:rsidR="006A66CD">
        <w:t>.</w:t>
      </w:r>
      <w:r w:rsidR="001266E3">
        <w:t>6)</w:t>
      </w:r>
      <w:r w:rsidR="00C607FD">
        <w:t xml:space="preserve"> </w:t>
      </w:r>
      <w:r w:rsidR="001266E3">
        <w:t xml:space="preserve">portal alanda hafif-orta şiddette </w:t>
      </w:r>
      <w:r w:rsidR="00CE4583">
        <w:t>enflamasy</w:t>
      </w:r>
      <w:r w:rsidR="001266E3">
        <w:t>on (</w:t>
      </w:r>
      <w:r w:rsidR="0051452E" w:rsidRPr="001266E3">
        <w:t>T-cell mediated rejection</w:t>
      </w:r>
      <w:r w:rsidR="0051452E">
        <w:t>/</w:t>
      </w:r>
      <w:r w:rsidR="00C607FD">
        <w:t>TCMR</w:t>
      </w:r>
      <w:r w:rsidR="001266E3">
        <w:t>+)</w:t>
      </w:r>
      <w:r w:rsidR="00C607FD">
        <w:t xml:space="preserve">, </w:t>
      </w:r>
      <w:r w:rsidR="001266E3">
        <w:t>4</w:t>
      </w:r>
      <w:r w:rsidR="001D224A">
        <w:t>’ünde</w:t>
      </w:r>
      <w:r w:rsidR="006A66CD">
        <w:t xml:space="preserve"> (%16.</w:t>
      </w:r>
      <w:r w:rsidR="001266E3">
        <w:t xml:space="preserve">6) C4d immün skor pozitifliği, </w:t>
      </w:r>
      <w:r w:rsidR="00C607FD">
        <w:t>2</w:t>
      </w:r>
      <w:r w:rsidR="001D224A">
        <w:t>’sinde</w:t>
      </w:r>
      <w:r w:rsidR="00C607FD">
        <w:t xml:space="preserve"> </w:t>
      </w:r>
      <w:r w:rsidR="001266E3">
        <w:t>(%8</w:t>
      </w:r>
      <w:r w:rsidR="006A66CD">
        <w:t>.</w:t>
      </w:r>
      <w:r w:rsidR="001266E3">
        <w:t xml:space="preserve">3) </w:t>
      </w:r>
      <w:r w:rsidR="00C607FD">
        <w:t xml:space="preserve">duktuler </w:t>
      </w:r>
      <w:r w:rsidR="001266E3">
        <w:t xml:space="preserve">tıkaç </w:t>
      </w:r>
      <w:r w:rsidR="001266E3" w:rsidRPr="00FA28BF">
        <w:t>görüldü</w:t>
      </w:r>
      <w:r w:rsidR="00C607FD" w:rsidRPr="00FA28BF">
        <w:t xml:space="preserve">. </w:t>
      </w:r>
      <w:r w:rsidR="00F358A4" w:rsidRPr="00FA28BF">
        <w:t xml:space="preserve"> </w:t>
      </w:r>
    </w:p>
    <w:p w14:paraId="31CB2BCD" w14:textId="451A0D4C" w:rsidR="00C607FD" w:rsidRDefault="00AB7C73" w:rsidP="00B0794E">
      <w:r>
        <w:t xml:space="preserve">Hastaların </w:t>
      </w:r>
      <w:r w:rsidR="001D224A">
        <w:t>14’ünde  (%58</w:t>
      </w:r>
      <w:r w:rsidR="006A66CD">
        <w:t>.</w:t>
      </w:r>
      <w:r w:rsidR="001D224A">
        <w:t xml:space="preserve">3) değişik derecelerde makroveziküler steatoz görüldü. Hastalardan steatoz yoğunluğu %5’in altında olanlarda </w:t>
      </w:r>
      <w:r>
        <w:t>(</w:t>
      </w:r>
      <w:r w:rsidR="002F1052">
        <w:t>n=</w:t>
      </w:r>
      <w:r>
        <w:t xml:space="preserve">5) </w:t>
      </w:r>
      <w:r w:rsidR="001D224A">
        <w:t>bu bulgu anlamlı kabul edilme</w:t>
      </w:r>
      <w:r w:rsidR="0051452E">
        <w:t>zken</w:t>
      </w:r>
      <w:r w:rsidR="001D224A">
        <w:t>, %5-50 arasında değişen oranlarda steatoz görülen hasta</w:t>
      </w:r>
      <w:r>
        <w:t>lar</w:t>
      </w:r>
      <w:r w:rsidR="001D224A">
        <w:t>da (</w:t>
      </w:r>
      <w:r w:rsidR="002F1052">
        <w:t>n=</w:t>
      </w:r>
      <w:r w:rsidR="001D224A">
        <w:t>9) “hücre hasarı olduğu”  kabul edildi. Bir hastada (4 nolu hasta) ise hafif steatoz görülmesine rağmen yaygın ne</w:t>
      </w:r>
      <w:r w:rsidR="00B0794E">
        <w:t>kroz nedeniyle oran verilemedi.</w:t>
      </w:r>
      <w:r w:rsidR="00C607FD">
        <w:t xml:space="preserve"> </w:t>
      </w:r>
      <w:r w:rsidR="00B0794E">
        <w:t xml:space="preserve">Çalışmadaki </w:t>
      </w:r>
      <w:r w:rsidR="00C607FD" w:rsidRPr="003656DA">
        <w:t xml:space="preserve">15. ve 22. </w:t>
      </w:r>
      <w:r w:rsidR="002C6C28">
        <w:t>v</w:t>
      </w:r>
      <w:r w:rsidR="00C607FD" w:rsidRPr="003656DA">
        <w:t>akaların preparatlarında tam nekroz mevcuttu</w:t>
      </w:r>
      <w:r w:rsidR="00B0794E">
        <w:t>.</w:t>
      </w:r>
      <w:r w:rsidR="009C74FB">
        <w:t xml:space="preserve"> Yukarıda söz edilen patolojik veriler Tablo 4.15 te gösterilmiştir.</w:t>
      </w:r>
    </w:p>
    <w:p w14:paraId="2797E1AD" w14:textId="77777777" w:rsidR="007E64BB" w:rsidRDefault="007E64BB" w:rsidP="00B0794E"/>
    <w:p w14:paraId="31CB2BCF" w14:textId="4FE87680" w:rsidR="008C5BAE" w:rsidRDefault="008C5BAE" w:rsidP="00986C91">
      <w:pPr>
        <w:pStyle w:val="ResimYazs"/>
        <w:ind w:firstLine="0"/>
        <w:rPr>
          <w:i w:val="0"/>
          <w:color w:val="auto"/>
          <w:sz w:val="24"/>
          <w:szCs w:val="24"/>
        </w:rPr>
      </w:pPr>
      <w:bookmarkStart w:id="569" w:name="_Toc45383401"/>
      <w:bookmarkStart w:id="570" w:name="_Toc49818030"/>
      <w:r w:rsidRPr="00DB55F1">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15</w:t>
      </w:r>
      <w:r w:rsidR="002B4CBE">
        <w:rPr>
          <w:i w:val="0"/>
          <w:color w:val="auto"/>
          <w:sz w:val="24"/>
          <w:szCs w:val="24"/>
        </w:rPr>
        <w:fldChar w:fldCharType="end"/>
      </w:r>
      <w:r w:rsidR="00986C91" w:rsidRPr="00DB55F1">
        <w:rPr>
          <w:i w:val="0"/>
          <w:color w:val="auto"/>
          <w:sz w:val="24"/>
          <w:szCs w:val="24"/>
        </w:rPr>
        <w:t xml:space="preserve"> </w:t>
      </w:r>
      <w:r w:rsidR="008134F8" w:rsidRPr="00DB55F1">
        <w:rPr>
          <w:i w:val="0"/>
          <w:color w:val="auto"/>
          <w:sz w:val="24"/>
          <w:szCs w:val="24"/>
        </w:rPr>
        <w:t>Biyopsiler</w:t>
      </w:r>
      <w:r w:rsidRPr="00DB55F1">
        <w:rPr>
          <w:i w:val="0"/>
          <w:color w:val="auto"/>
          <w:sz w:val="24"/>
          <w:szCs w:val="24"/>
        </w:rPr>
        <w:t>de</w:t>
      </w:r>
      <w:r w:rsidR="00986C91" w:rsidRPr="00DB55F1">
        <w:rPr>
          <w:i w:val="0"/>
          <w:color w:val="auto"/>
          <w:sz w:val="24"/>
          <w:szCs w:val="24"/>
        </w:rPr>
        <w:t xml:space="preserve"> </w:t>
      </w:r>
      <w:r w:rsidR="001110C5" w:rsidRPr="00DB55F1">
        <w:rPr>
          <w:i w:val="0"/>
          <w:color w:val="auto"/>
          <w:sz w:val="24"/>
          <w:szCs w:val="24"/>
        </w:rPr>
        <w:t>Işık Mikroskopisi Altında Görülen Patolojik Bulgular</w:t>
      </w:r>
      <w:bookmarkEnd w:id="569"/>
      <w:bookmarkEnd w:id="570"/>
    </w:p>
    <w:tbl>
      <w:tblPr>
        <w:tblStyle w:val="DzTablo4"/>
        <w:tblpPr w:leftFromText="141" w:rightFromText="141" w:vertAnchor="text" w:horzAnchor="margin" w:tblpY="263"/>
        <w:tblW w:w="6357" w:type="dxa"/>
        <w:tblLook w:val="04A0" w:firstRow="1" w:lastRow="0" w:firstColumn="1" w:lastColumn="0" w:noHBand="0" w:noVBand="1"/>
      </w:tblPr>
      <w:tblGrid>
        <w:gridCol w:w="2884"/>
        <w:gridCol w:w="933"/>
        <w:gridCol w:w="933"/>
        <w:gridCol w:w="1607"/>
      </w:tblGrid>
      <w:tr w:rsidR="008134F8" w14:paraId="31CB2BD4" w14:textId="77777777" w:rsidTr="008134F8">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0" w:type="auto"/>
          </w:tcPr>
          <w:p w14:paraId="31CB2BD0" w14:textId="77777777" w:rsidR="008134F8" w:rsidRDefault="008134F8" w:rsidP="008134F8">
            <w:pPr>
              <w:ind w:firstLine="0"/>
            </w:pPr>
            <w:r>
              <w:br w:type="textWrapping" w:clear="all"/>
            </w:r>
          </w:p>
        </w:tc>
        <w:tc>
          <w:tcPr>
            <w:tcW w:w="0" w:type="auto"/>
          </w:tcPr>
          <w:p w14:paraId="31CB2BD1" w14:textId="77777777" w:rsidR="008134F8" w:rsidRDefault="008134F8" w:rsidP="008134F8">
            <w:pPr>
              <w:ind w:firstLine="0"/>
              <w:cnfStyle w:val="100000000000" w:firstRow="1" w:lastRow="0" w:firstColumn="0" w:lastColumn="0" w:oddVBand="0" w:evenVBand="0" w:oddHBand="0" w:evenHBand="0" w:firstRowFirstColumn="0" w:firstRowLastColumn="0" w:lastRowFirstColumn="0" w:lastRowLastColumn="0"/>
            </w:pPr>
            <w:r>
              <w:t>Kadın</w:t>
            </w:r>
          </w:p>
        </w:tc>
        <w:tc>
          <w:tcPr>
            <w:tcW w:w="0" w:type="auto"/>
          </w:tcPr>
          <w:p w14:paraId="31CB2BD2" w14:textId="77777777" w:rsidR="008134F8" w:rsidRDefault="008134F8" w:rsidP="008134F8">
            <w:pPr>
              <w:ind w:firstLine="0"/>
              <w:cnfStyle w:val="100000000000" w:firstRow="1" w:lastRow="0" w:firstColumn="0" w:lastColumn="0" w:oddVBand="0" w:evenVBand="0" w:oddHBand="0" w:evenHBand="0" w:firstRowFirstColumn="0" w:firstRowLastColumn="0" w:lastRowFirstColumn="0" w:lastRowLastColumn="0"/>
            </w:pPr>
            <w:r>
              <w:t>Erkek</w:t>
            </w:r>
          </w:p>
        </w:tc>
        <w:tc>
          <w:tcPr>
            <w:tcW w:w="0" w:type="auto"/>
          </w:tcPr>
          <w:p w14:paraId="31CB2BD3" w14:textId="77777777" w:rsidR="008134F8" w:rsidRDefault="008134F8" w:rsidP="008134F8">
            <w:pPr>
              <w:ind w:firstLine="0"/>
              <w:cnfStyle w:val="100000000000" w:firstRow="1" w:lastRow="0" w:firstColumn="0" w:lastColumn="0" w:oddVBand="0" w:evenVBand="0" w:oddHBand="0" w:evenHBand="0" w:firstRowFirstColumn="0" w:firstRowLastColumn="0" w:lastRowFirstColumn="0" w:lastRowLastColumn="0"/>
            </w:pPr>
            <w:r>
              <w:t>Toplam (%)</w:t>
            </w:r>
          </w:p>
        </w:tc>
      </w:tr>
      <w:tr w:rsidR="008134F8" w14:paraId="31CB2BD9" w14:textId="77777777" w:rsidTr="008134F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0" w:type="auto"/>
          </w:tcPr>
          <w:p w14:paraId="31CB2BD5" w14:textId="77777777" w:rsidR="008134F8" w:rsidRPr="00986C91" w:rsidRDefault="008134F8" w:rsidP="008134F8">
            <w:pPr>
              <w:ind w:firstLine="0"/>
              <w:rPr>
                <w:b w:val="0"/>
              </w:rPr>
            </w:pPr>
            <w:r w:rsidRPr="00986C91">
              <w:rPr>
                <w:b w:val="0"/>
              </w:rPr>
              <w:t>Kolestaz</w:t>
            </w:r>
          </w:p>
        </w:tc>
        <w:tc>
          <w:tcPr>
            <w:tcW w:w="0" w:type="auto"/>
          </w:tcPr>
          <w:p w14:paraId="31CB2BD6" w14:textId="77777777" w:rsidR="008134F8" w:rsidRDefault="008134F8" w:rsidP="008134F8">
            <w:pPr>
              <w:ind w:firstLine="0"/>
              <w:jc w:val="center"/>
              <w:cnfStyle w:val="000000100000" w:firstRow="0" w:lastRow="0" w:firstColumn="0" w:lastColumn="0" w:oddVBand="0" w:evenVBand="0" w:oddHBand="1" w:evenHBand="0" w:firstRowFirstColumn="0" w:firstRowLastColumn="0" w:lastRowFirstColumn="0" w:lastRowLastColumn="0"/>
            </w:pPr>
            <w:r>
              <w:t>7</w:t>
            </w:r>
          </w:p>
        </w:tc>
        <w:tc>
          <w:tcPr>
            <w:tcW w:w="0" w:type="auto"/>
          </w:tcPr>
          <w:p w14:paraId="31CB2BD7" w14:textId="77777777" w:rsidR="008134F8" w:rsidRDefault="008134F8" w:rsidP="008134F8">
            <w:pPr>
              <w:ind w:firstLine="0"/>
              <w:jc w:val="center"/>
              <w:cnfStyle w:val="000000100000" w:firstRow="0" w:lastRow="0" w:firstColumn="0" w:lastColumn="0" w:oddVBand="0" w:evenVBand="0" w:oddHBand="1" w:evenHBand="0" w:firstRowFirstColumn="0" w:firstRowLastColumn="0" w:lastRowFirstColumn="0" w:lastRowLastColumn="0"/>
            </w:pPr>
            <w:r>
              <w:t>10</w:t>
            </w:r>
          </w:p>
        </w:tc>
        <w:tc>
          <w:tcPr>
            <w:tcW w:w="0" w:type="auto"/>
          </w:tcPr>
          <w:p w14:paraId="31CB2BD8" w14:textId="6E27444A" w:rsidR="008134F8" w:rsidRDefault="008134F8" w:rsidP="008134F8">
            <w:pPr>
              <w:ind w:firstLine="0"/>
              <w:jc w:val="center"/>
              <w:cnfStyle w:val="000000100000" w:firstRow="0" w:lastRow="0" w:firstColumn="0" w:lastColumn="0" w:oddVBand="0" w:evenVBand="0" w:oddHBand="1" w:evenHBand="0" w:firstRowFirstColumn="0" w:firstRowLastColumn="0" w:lastRowFirstColumn="0" w:lastRowLastColumn="0"/>
            </w:pPr>
            <w:r>
              <w:t xml:space="preserve">17 </w:t>
            </w:r>
            <w:r w:rsidR="00A01358">
              <w:t xml:space="preserve"> </w:t>
            </w:r>
            <w:r>
              <w:t>(70</w:t>
            </w:r>
            <w:r w:rsidR="008E65F3">
              <w:t>.</w:t>
            </w:r>
            <w:r>
              <w:t>8)</w:t>
            </w:r>
          </w:p>
        </w:tc>
      </w:tr>
      <w:tr w:rsidR="00A01358" w14:paraId="31CB2BDE" w14:textId="77777777" w:rsidTr="008134F8">
        <w:trPr>
          <w:trHeight w:val="275"/>
        </w:trPr>
        <w:tc>
          <w:tcPr>
            <w:cnfStyle w:val="001000000000" w:firstRow="0" w:lastRow="0" w:firstColumn="1" w:lastColumn="0" w:oddVBand="0" w:evenVBand="0" w:oddHBand="0" w:evenHBand="0" w:firstRowFirstColumn="0" w:firstRowLastColumn="0" w:lastRowFirstColumn="0" w:lastRowLastColumn="0"/>
            <w:tcW w:w="0" w:type="auto"/>
          </w:tcPr>
          <w:p w14:paraId="31CB2BDA" w14:textId="04E68A1D" w:rsidR="00A01358" w:rsidRPr="00986C91" w:rsidRDefault="00A01358" w:rsidP="00A01358">
            <w:pPr>
              <w:ind w:firstLine="0"/>
              <w:rPr>
                <w:b w:val="0"/>
              </w:rPr>
            </w:pPr>
            <w:r w:rsidRPr="00986C91">
              <w:rPr>
                <w:b w:val="0"/>
              </w:rPr>
              <w:t>Duktuler proliferasyon</w:t>
            </w:r>
          </w:p>
        </w:tc>
        <w:tc>
          <w:tcPr>
            <w:tcW w:w="0" w:type="auto"/>
          </w:tcPr>
          <w:p w14:paraId="31CB2BDB" w14:textId="1B4D1AFB" w:rsidR="00A01358" w:rsidRDefault="00A01358" w:rsidP="00A01358">
            <w:pPr>
              <w:ind w:firstLine="0"/>
              <w:jc w:val="center"/>
              <w:cnfStyle w:val="000000000000" w:firstRow="0" w:lastRow="0" w:firstColumn="0" w:lastColumn="0" w:oddVBand="0" w:evenVBand="0" w:oddHBand="0" w:evenHBand="0" w:firstRowFirstColumn="0" w:firstRowLastColumn="0" w:lastRowFirstColumn="0" w:lastRowLastColumn="0"/>
            </w:pPr>
            <w:r>
              <w:t>6</w:t>
            </w:r>
          </w:p>
        </w:tc>
        <w:tc>
          <w:tcPr>
            <w:tcW w:w="0" w:type="auto"/>
          </w:tcPr>
          <w:p w14:paraId="31CB2BDC" w14:textId="7810DB9B" w:rsidR="00A01358" w:rsidRDefault="00A01358" w:rsidP="00A01358">
            <w:pPr>
              <w:ind w:firstLine="0"/>
              <w:jc w:val="center"/>
              <w:cnfStyle w:val="000000000000" w:firstRow="0" w:lastRow="0" w:firstColumn="0" w:lastColumn="0" w:oddVBand="0" w:evenVBand="0" w:oddHBand="0" w:evenHBand="0" w:firstRowFirstColumn="0" w:firstRowLastColumn="0" w:lastRowFirstColumn="0" w:lastRowLastColumn="0"/>
            </w:pPr>
            <w:r>
              <w:t>6</w:t>
            </w:r>
          </w:p>
        </w:tc>
        <w:tc>
          <w:tcPr>
            <w:tcW w:w="0" w:type="auto"/>
          </w:tcPr>
          <w:p w14:paraId="31CB2BDD" w14:textId="7373C995" w:rsidR="00A01358" w:rsidRDefault="00A01358" w:rsidP="00A01358">
            <w:pPr>
              <w:ind w:firstLine="0"/>
              <w:cnfStyle w:val="000000000000" w:firstRow="0" w:lastRow="0" w:firstColumn="0" w:lastColumn="0" w:oddVBand="0" w:evenVBand="0" w:oddHBand="0" w:evenHBand="0" w:firstRowFirstColumn="0" w:firstRowLastColumn="0" w:lastRowFirstColumn="0" w:lastRowLastColumn="0"/>
            </w:pPr>
            <w:r>
              <w:t xml:space="preserve">    12  (50)</w:t>
            </w:r>
          </w:p>
        </w:tc>
      </w:tr>
      <w:tr w:rsidR="00A01358" w14:paraId="31CB2BE3" w14:textId="77777777" w:rsidTr="008134F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0" w:type="auto"/>
          </w:tcPr>
          <w:p w14:paraId="31CB2BDF" w14:textId="3730FCAB" w:rsidR="00A01358" w:rsidRPr="00986C91" w:rsidRDefault="00A01358" w:rsidP="00A01358">
            <w:pPr>
              <w:ind w:firstLine="0"/>
              <w:rPr>
                <w:b w:val="0"/>
              </w:rPr>
            </w:pPr>
            <w:r w:rsidRPr="00986C91">
              <w:rPr>
                <w:b w:val="0"/>
              </w:rPr>
              <w:t>Steatoz</w:t>
            </w:r>
            <w:r>
              <w:rPr>
                <w:b w:val="0"/>
              </w:rPr>
              <w:t xml:space="preserve"> (makroveziküler)</w:t>
            </w:r>
          </w:p>
        </w:tc>
        <w:tc>
          <w:tcPr>
            <w:tcW w:w="0" w:type="auto"/>
          </w:tcPr>
          <w:p w14:paraId="31CB2BE0" w14:textId="6D5A0F8C" w:rsidR="00A01358" w:rsidRDefault="00A01358" w:rsidP="00A01358">
            <w:pPr>
              <w:ind w:firstLine="0"/>
              <w:jc w:val="center"/>
              <w:cnfStyle w:val="000000100000" w:firstRow="0" w:lastRow="0" w:firstColumn="0" w:lastColumn="0" w:oddVBand="0" w:evenVBand="0" w:oddHBand="1" w:evenHBand="0" w:firstRowFirstColumn="0" w:firstRowLastColumn="0" w:lastRowFirstColumn="0" w:lastRowLastColumn="0"/>
            </w:pPr>
            <w:r>
              <w:t>4</w:t>
            </w:r>
          </w:p>
        </w:tc>
        <w:tc>
          <w:tcPr>
            <w:tcW w:w="0" w:type="auto"/>
          </w:tcPr>
          <w:p w14:paraId="31CB2BE1" w14:textId="33136F7D" w:rsidR="00A01358" w:rsidRDefault="00A01358" w:rsidP="00A01358">
            <w:pPr>
              <w:ind w:firstLine="0"/>
              <w:jc w:val="center"/>
              <w:cnfStyle w:val="000000100000" w:firstRow="0" w:lastRow="0" w:firstColumn="0" w:lastColumn="0" w:oddVBand="0" w:evenVBand="0" w:oddHBand="1" w:evenHBand="0" w:firstRowFirstColumn="0" w:firstRowLastColumn="0" w:lastRowFirstColumn="0" w:lastRowLastColumn="0"/>
            </w:pPr>
            <w:r>
              <w:t>5</w:t>
            </w:r>
          </w:p>
        </w:tc>
        <w:tc>
          <w:tcPr>
            <w:tcW w:w="0" w:type="auto"/>
          </w:tcPr>
          <w:p w14:paraId="31CB2BE2" w14:textId="3C095F53" w:rsidR="00A01358" w:rsidRDefault="00A01358" w:rsidP="00A01358">
            <w:pPr>
              <w:ind w:firstLine="0"/>
              <w:jc w:val="center"/>
              <w:cnfStyle w:val="000000100000" w:firstRow="0" w:lastRow="0" w:firstColumn="0" w:lastColumn="0" w:oddVBand="0" w:evenVBand="0" w:oddHBand="1" w:evenHBand="0" w:firstRowFirstColumn="0" w:firstRowLastColumn="0" w:lastRowFirstColumn="0" w:lastRowLastColumn="0"/>
            </w:pPr>
            <w:r>
              <w:t>9  (37.5)</w:t>
            </w:r>
          </w:p>
        </w:tc>
      </w:tr>
      <w:tr w:rsidR="00A01358" w14:paraId="31CB2BE8" w14:textId="77777777" w:rsidTr="008134F8">
        <w:trPr>
          <w:trHeight w:val="275"/>
        </w:trPr>
        <w:tc>
          <w:tcPr>
            <w:cnfStyle w:val="001000000000" w:firstRow="0" w:lastRow="0" w:firstColumn="1" w:lastColumn="0" w:oddVBand="0" w:evenVBand="0" w:oddHBand="0" w:evenHBand="0" w:firstRowFirstColumn="0" w:firstRowLastColumn="0" w:lastRowFirstColumn="0" w:lastRowLastColumn="0"/>
            <w:tcW w:w="0" w:type="auto"/>
          </w:tcPr>
          <w:p w14:paraId="31CB2BE4" w14:textId="77777777" w:rsidR="00A01358" w:rsidRPr="00986C91" w:rsidRDefault="00A01358" w:rsidP="00A01358">
            <w:pPr>
              <w:ind w:firstLine="0"/>
              <w:rPr>
                <w:b w:val="0"/>
              </w:rPr>
            </w:pPr>
            <w:r w:rsidRPr="00986C91">
              <w:rPr>
                <w:b w:val="0"/>
              </w:rPr>
              <w:t>İskemik nekroz</w:t>
            </w:r>
          </w:p>
        </w:tc>
        <w:tc>
          <w:tcPr>
            <w:tcW w:w="0" w:type="auto"/>
          </w:tcPr>
          <w:p w14:paraId="31CB2BE5" w14:textId="77777777" w:rsidR="00A01358" w:rsidRDefault="00A01358" w:rsidP="00A01358">
            <w:pPr>
              <w:ind w:firstLine="0"/>
              <w:jc w:val="center"/>
              <w:cnfStyle w:val="000000000000" w:firstRow="0" w:lastRow="0" w:firstColumn="0" w:lastColumn="0" w:oddVBand="0" w:evenVBand="0" w:oddHBand="0" w:evenHBand="0" w:firstRowFirstColumn="0" w:firstRowLastColumn="0" w:lastRowFirstColumn="0" w:lastRowLastColumn="0"/>
            </w:pPr>
            <w:r>
              <w:t>3</w:t>
            </w:r>
          </w:p>
        </w:tc>
        <w:tc>
          <w:tcPr>
            <w:tcW w:w="0" w:type="auto"/>
          </w:tcPr>
          <w:p w14:paraId="31CB2BE6" w14:textId="77777777" w:rsidR="00A01358" w:rsidRDefault="00A01358" w:rsidP="00A01358">
            <w:pPr>
              <w:ind w:firstLine="0"/>
              <w:jc w:val="center"/>
              <w:cnfStyle w:val="000000000000" w:firstRow="0" w:lastRow="0" w:firstColumn="0" w:lastColumn="0" w:oddVBand="0" w:evenVBand="0" w:oddHBand="0" w:evenHBand="0" w:firstRowFirstColumn="0" w:firstRowLastColumn="0" w:lastRowFirstColumn="0" w:lastRowLastColumn="0"/>
            </w:pPr>
            <w:r>
              <w:t>6</w:t>
            </w:r>
          </w:p>
        </w:tc>
        <w:tc>
          <w:tcPr>
            <w:tcW w:w="0" w:type="auto"/>
          </w:tcPr>
          <w:p w14:paraId="31CB2BE7" w14:textId="4E9AD947" w:rsidR="00A01358" w:rsidRDefault="00A01358" w:rsidP="00A01358">
            <w:pPr>
              <w:ind w:firstLine="0"/>
              <w:jc w:val="center"/>
              <w:cnfStyle w:val="000000000000" w:firstRow="0" w:lastRow="0" w:firstColumn="0" w:lastColumn="0" w:oddVBand="0" w:evenVBand="0" w:oddHBand="0" w:evenHBand="0" w:firstRowFirstColumn="0" w:firstRowLastColumn="0" w:lastRowFirstColumn="0" w:lastRowLastColumn="0"/>
            </w:pPr>
            <w:r>
              <w:t>9  (37.5)</w:t>
            </w:r>
          </w:p>
        </w:tc>
      </w:tr>
      <w:tr w:rsidR="00A01358" w14:paraId="31CB2BED" w14:textId="77777777" w:rsidTr="008134F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0" w:type="auto"/>
          </w:tcPr>
          <w:p w14:paraId="31CB2BE9" w14:textId="0DA512B7" w:rsidR="00A01358" w:rsidRPr="00986C91" w:rsidRDefault="00A01358" w:rsidP="00A01358">
            <w:pPr>
              <w:ind w:firstLine="0"/>
              <w:rPr>
                <w:b w:val="0"/>
              </w:rPr>
            </w:pPr>
            <w:r w:rsidRPr="00986C91">
              <w:rPr>
                <w:b w:val="0"/>
              </w:rPr>
              <w:t>TCMR</w:t>
            </w:r>
            <w:r>
              <w:rPr>
                <w:b w:val="0"/>
              </w:rPr>
              <w:t>+</w:t>
            </w:r>
          </w:p>
        </w:tc>
        <w:tc>
          <w:tcPr>
            <w:tcW w:w="0" w:type="auto"/>
          </w:tcPr>
          <w:p w14:paraId="31CB2BEA" w14:textId="77777777" w:rsidR="00A01358" w:rsidRDefault="00A01358" w:rsidP="00A01358">
            <w:pPr>
              <w:ind w:firstLine="0"/>
              <w:jc w:val="center"/>
              <w:cnfStyle w:val="000000100000" w:firstRow="0" w:lastRow="0" w:firstColumn="0" w:lastColumn="0" w:oddVBand="0" w:evenVBand="0" w:oddHBand="1" w:evenHBand="0" w:firstRowFirstColumn="0" w:firstRowLastColumn="0" w:lastRowFirstColumn="0" w:lastRowLastColumn="0"/>
            </w:pPr>
            <w:r>
              <w:t>1</w:t>
            </w:r>
          </w:p>
        </w:tc>
        <w:tc>
          <w:tcPr>
            <w:tcW w:w="0" w:type="auto"/>
          </w:tcPr>
          <w:p w14:paraId="31CB2BEB" w14:textId="77777777" w:rsidR="00A01358" w:rsidRDefault="00A01358" w:rsidP="00A01358">
            <w:pPr>
              <w:ind w:firstLine="0"/>
              <w:jc w:val="center"/>
              <w:cnfStyle w:val="000000100000" w:firstRow="0" w:lastRow="0" w:firstColumn="0" w:lastColumn="0" w:oddVBand="0" w:evenVBand="0" w:oddHBand="1" w:evenHBand="0" w:firstRowFirstColumn="0" w:firstRowLastColumn="0" w:lastRowFirstColumn="0" w:lastRowLastColumn="0"/>
            </w:pPr>
            <w:r>
              <w:t>3</w:t>
            </w:r>
          </w:p>
        </w:tc>
        <w:tc>
          <w:tcPr>
            <w:tcW w:w="0" w:type="auto"/>
          </w:tcPr>
          <w:p w14:paraId="31CB2BEC" w14:textId="258E68BD" w:rsidR="00A01358" w:rsidRDefault="00A01358" w:rsidP="00A01358">
            <w:pPr>
              <w:ind w:firstLine="0"/>
              <w:jc w:val="center"/>
              <w:cnfStyle w:val="000000100000" w:firstRow="0" w:lastRow="0" w:firstColumn="0" w:lastColumn="0" w:oddVBand="0" w:evenVBand="0" w:oddHBand="1" w:evenHBand="0" w:firstRowFirstColumn="0" w:firstRowLastColumn="0" w:lastRowFirstColumn="0" w:lastRowLastColumn="0"/>
            </w:pPr>
            <w:r>
              <w:t>4  (16.6)</w:t>
            </w:r>
          </w:p>
        </w:tc>
      </w:tr>
      <w:tr w:rsidR="00A01358" w14:paraId="31CB2BF2" w14:textId="77777777" w:rsidTr="008134F8">
        <w:trPr>
          <w:trHeight w:val="275"/>
        </w:trPr>
        <w:tc>
          <w:tcPr>
            <w:cnfStyle w:val="001000000000" w:firstRow="0" w:lastRow="0" w:firstColumn="1" w:lastColumn="0" w:oddVBand="0" w:evenVBand="0" w:oddHBand="0" w:evenHBand="0" w:firstRowFirstColumn="0" w:firstRowLastColumn="0" w:lastRowFirstColumn="0" w:lastRowLastColumn="0"/>
            <w:tcW w:w="0" w:type="auto"/>
          </w:tcPr>
          <w:p w14:paraId="31CB2BEE" w14:textId="10CBA8FC" w:rsidR="00A01358" w:rsidRPr="00986C91" w:rsidRDefault="00A01358" w:rsidP="00A01358">
            <w:pPr>
              <w:ind w:firstLine="0"/>
              <w:rPr>
                <w:b w:val="0"/>
              </w:rPr>
            </w:pPr>
            <w:r w:rsidRPr="00986C91">
              <w:rPr>
                <w:b w:val="0"/>
              </w:rPr>
              <w:t>C4d</w:t>
            </w:r>
            <w:r>
              <w:rPr>
                <w:b w:val="0"/>
              </w:rPr>
              <w:t xml:space="preserve">+ </w:t>
            </w:r>
          </w:p>
        </w:tc>
        <w:tc>
          <w:tcPr>
            <w:tcW w:w="0" w:type="auto"/>
          </w:tcPr>
          <w:p w14:paraId="31CB2BEF" w14:textId="77777777" w:rsidR="00A01358" w:rsidRDefault="00A01358" w:rsidP="00A01358">
            <w:pPr>
              <w:ind w:firstLine="0"/>
              <w:jc w:val="center"/>
              <w:cnfStyle w:val="000000000000" w:firstRow="0" w:lastRow="0" w:firstColumn="0" w:lastColumn="0" w:oddVBand="0" w:evenVBand="0" w:oddHBand="0" w:evenHBand="0" w:firstRowFirstColumn="0" w:firstRowLastColumn="0" w:lastRowFirstColumn="0" w:lastRowLastColumn="0"/>
            </w:pPr>
            <w:r>
              <w:t>2</w:t>
            </w:r>
          </w:p>
        </w:tc>
        <w:tc>
          <w:tcPr>
            <w:tcW w:w="0" w:type="auto"/>
          </w:tcPr>
          <w:p w14:paraId="31CB2BF0" w14:textId="77777777" w:rsidR="00A01358" w:rsidRDefault="00A01358" w:rsidP="00A01358">
            <w:pPr>
              <w:ind w:firstLine="0"/>
              <w:jc w:val="center"/>
              <w:cnfStyle w:val="000000000000" w:firstRow="0" w:lastRow="0" w:firstColumn="0" w:lastColumn="0" w:oddVBand="0" w:evenVBand="0" w:oddHBand="0" w:evenHBand="0" w:firstRowFirstColumn="0" w:firstRowLastColumn="0" w:lastRowFirstColumn="0" w:lastRowLastColumn="0"/>
            </w:pPr>
            <w:r>
              <w:t>2</w:t>
            </w:r>
          </w:p>
        </w:tc>
        <w:tc>
          <w:tcPr>
            <w:tcW w:w="0" w:type="auto"/>
          </w:tcPr>
          <w:p w14:paraId="31CB2BF1" w14:textId="6354DC5F" w:rsidR="00A01358" w:rsidRDefault="00A01358" w:rsidP="00A01358">
            <w:pPr>
              <w:ind w:firstLine="0"/>
              <w:jc w:val="center"/>
              <w:cnfStyle w:val="000000000000" w:firstRow="0" w:lastRow="0" w:firstColumn="0" w:lastColumn="0" w:oddVBand="0" w:evenVBand="0" w:oddHBand="0" w:evenHBand="0" w:firstRowFirstColumn="0" w:firstRowLastColumn="0" w:lastRowFirstColumn="0" w:lastRowLastColumn="0"/>
            </w:pPr>
            <w:r>
              <w:t>4  (16.6)</w:t>
            </w:r>
          </w:p>
        </w:tc>
      </w:tr>
      <w:tr w:rsidR="00A01358" w14:paraId="31CB2BF7" w14:textId="77777777" w:rsidTr="008134F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0" w:type="auto"/>
          </w:tcPr>
          <w:p w14:paraId="31CB2BF3" w14:textId="77777777" w:rsidR="00A01358" w:rsidRPr="00986C91" w:rsidRDefault="00A01358" w:rsidP="00A01358">
            <w:pPr>
              <w:ind w:firstLine="0"/>
              <w:rPr>
                <w:b w:val="0"/>
              </w:rPr>
            </w:pPr>
            <w:r w:rsidRPr="00986C91">
              <w:rPr>
                <w:b w:val="0"/>
              </w:rPr>
              <w:t>Duktuler tıkaç</w:t>
            </w:r>
          </w:p>
        </w:tc>
        <w:tc>
          <w:tcPr>
            <w:tcW w:w="0" w:type="auto"/>
          </w:tcPr>
          <w:p w14:paraId="31CB2BF4" w14:textId="77777777" w:rsidR="00A01358" w:rsidRDefault="00A01358" w:rsidP="00A01358">
            <w:pPr>
              <w:ind w:firstLine="0"/>
              <w:jc w:val="center"/>
              <w:cnfStyle w:val="000000100000" w:firstRow="0" w:lastRow="0" w:firstColumn="0" w:lastColumn="0" w:oddVBand="0" w:evenVBand="0" w:oddHBand="1" w:evenHBand="0" w:firstRowFirstColumn="0" w:firstRowLastColumn="0" w:lastRowFirstColumn="0" w:lastRowLastColumn="0"/>
            </w:pPr>
            <w:r>
              <w:t>1</w:t>
            </w:r>
          </w:p>
        </w:tc>
        <w:tc>
          <w:tcPr>
            <w:tcW w:w="0" w:type="auto"/>
          </w:tcPr>
          <w:p w14:paraId="31CB2BF5" w14:textId="77777777" w:rsidR="00A01358" w:rsidRDefault="00A01358" w:rsidP="00A01358">
            <w:pPr>
              <w:ind w:firstLine="0"/>
              <w:jc w:val="center"/>
              <w:cnfStyle w:val="000000100000" w:firstRow="0" w:lastRow="0" w:firstColumn="0" w:lastColumn="0" w:oddVBand="0" w:evenVBand="0" w:oddHBand="1" w:evenHBand="0" w:firstRowFirstColumn="0" w:firstRowLastColumn="0" w:lastRowFirstColumn="0" w:lastRowLastColumn="0"/>
            </w:pPr>
            <w:r>
              <w:t>1</w:t>
            </w:r>
          </w:p>
        </w:tc>
        <w:tc>
          <w:tcPr>
            <w:tcW w:w="0" w:type="auto"/>
          </w:tcPr>
          <w:p w14:paraId="31CB2BF6" w14:textId="49970DD1" w:rsidR="00A01358" w:rsidRDefault="00A01358" w:rsidP="00A01358">
            <w:pPr>
              <w:ind w:firstLine="0"/>
              <w:cnfStyle w:val="000000100000" w:firstRow="0" w:lastRow="0" w:firstColumn="0" w:lastColumn="0" w:oddVBand="0" w:evenVBand="0" w:oddHBand="1" w:evenHBand="0" w:firstRowFirstColumn="0" w:firstRowLastColumn="0" w:lastRowFirstColumn="0" w:lastRowLastColumn="0"/>
            </w:pPr>
            <w:r>
              <w:t xml:space="preserve">     2  (8.3)</w:t>
            </w:r>
          </w:p>
        </w:tc>
      </w:tr>
    </w:tbl>
    <w:p w14:paraId="31CB2BF8" w14:textId="77777777" w:rsidR="0043566B" w:rsidRPr="0043566B" w:rsidRDefault="0043566B" w:rsidP="0043566B"/>
    <w:p w14:paraId="31CB2BF9" w14:textId="77777777" w:rsidR="008C5BAE" w:rsidRPr="008C5BAE" w:rsidRDefault="008C5BAE" w:rsidP="008C5BAE"/>
    <w:p w14:paraId="6FA65AF7" w14:textId="06C6FD55" w:rsidR="0000664D" w:rsidRDefault="002C6C28" w:rsidP="0000664D">
      <w:pPr>
        <w:spacing w:after="160"/>
        <w:ind w:left="680" w:firstLine="0"/>
      </w:pPr>
      <w:r>
        <w:rPr>
          <w:color w:val="000000" w:themeColor="text1"/>
          <w:szCs w:val="24"/>
        </w:rPr>
        <w:br w:type="textWrapping" w:clear="all"/>
      </w:r>
    </w:p>
    <w:p w14:paraId="5BFCA153" w14:textId="3ABB2A2D" w:rsidR="0000664D" w:rsidRPr="0053611A" w:rsidRDefault="0000664D" w:rsidP="0000664D">
      <w:r>
        <w:t xml:space="preserve">Işık mikroskopisinde elde edilen yukarıdaki patolojik bulgular her 3 grup için ayrı ayrı değerlendirildi ve tablolar halinde gösterildi. </w:t>
      </w:r>
    </w:p>
    <w:p w14:paraId="359AE564" w14:textId="3DA2D777" w:rsidR="007E64BB" w:rsidRDefault="007E64BB" w:rsidP="007E64BB">
      <w:r>
        <w:t>Kültürde üreme olan ve olmayan gruplar için patolojik bulgular kıyaslandığında istatistiksel olarak anlamlı bir bulgu saptanmamıştır. Veriler Tablo</w:t>
      </w:r>
      <w:r w:rsidR="00577288">
        <w:t xml:space="preserve"> 4.16</w:t>
      </w:r>
      <w:r>
        <w:t xml:space="preserve"> d</w:t>
      </w:r>
      <w:r w:rsidR="00577288">
        <w:t>a</w:t>
      </w:r>
      <w:r>
        <w:t xml:space="preserve"> gösterilmiştir.</w:t>
      </w:r>
    </w:p>
    <w:p w14:paraId="4FD98E0E" w14:textId="24192B6A" w:rsidR="007E64BB" w:rsidRDefault="007E64BB" w:rsidP="007E64BB">
      <w:r>
        <w:t xml:space="preserve">Survival grubu için patolojik bulgular kıyaslandığında, iskemik nekroz mortalite gelişen grupta anlamlı olarak yüksek bulunmuştur (%75 vs %18.8; p=0.007). Diğer patolojik bulgular için bu iki grup arasında anlamlı bir ilişki saptanmadı. Veriler </w:t>
      </w:r>
      <w:r w:rsidR="00577288">
        <w:t>Tablo 4.17 de gösterilmiştir.</w:t>
      </w:r>
    </w:p>
    <w:p w14:paraId="733E496B" w14:textId="7D12F429" w:rsidR="007E64BB" w:rsidRDefault="00577288" w:rsidP="002B4CBE">
      <w:r>
        <w:t>Cinsiyet grubu için patolojik bulgular kıyaslandığında</w:t>
      </w:r>
      <w:r w:rsidR="002B4CBE">
        <w:t xml:space="preserve"> istatistiksel olarak anlamlı bir bulgu saptanmamıştır. Veriler Tablo 4.18 de gösterilmiştir.</w:t>
      </w:r>
      <w:r w:rsidR="007E64BB">
        <w:br w:type="page"/>
      </w:r>
    </w:p>
    <w:p w14:paraId="7709DC13" w14:textId="04DA494E" w:rsidR="007E64BB" w:rsidRPr="002B4CBE" w:rsidRDefault="002B4CBE" w:rsidP="002B4CBE">
      <w:pPr>
        <w:pStyle w:val="ResimYazs"/>
        <w:rPr>
          <w:i w:val="0"/>
          <w:color w:val="auto"/>
          <w:sz w:val="24"/>
          <w:szCs w:val="24"/>
        </w:rPr>
      </w:pPr>
      <w:bookmarkStart w:id="571" w:name="_Toc49818031"/>
      <w:r w:rsidRPr="002B4CBE">
        <w:rPr>
          <w:i w:val="0"/>
          <w:color w:val="auto"/>
          <w:sz w:val="24"/>
          <w:szCs w:val="24"/>
        </w:rPr>
        <w:lastRenderedPageBreak/>
        <w:t xml:space="preserve">Tablo </w:t>
      </w:r>
      <w:r w:rsidRPr="002B4CBE">
        <w:rPr>
          <w:i w:val="0"/>
          <w:color w:val="auto"/>
          <w:sz w:val="24"/>
          <w:szCs w:val="24"/>
        </w:rPr>
        <w:fldChar w:fldCharType="begin"/>
      </w:r>
      <w:r w:rsidRPr="002B4CBE">
        <w:rPr>
          <w:i w:val="0"/>
          <w:color w:val="auto"/>
          <w:sz w:val="24"/>
          <w:szCs w:val="24"/>
        </w:rPr>
        <w:instrText xml:space="preserve"> STYLEREF 1 \s </w:instrText>
      </w:r>
      <w:r w:rsidRPr="002B4CBE">
        <w:rPr>
          <w:i w:val="0"/>
          <w:color w:val="auto"/>
          <w:sz w:val="24"/>
          <w:szCs w:val="24"/>
        </w:rPr>
        <w:fldChar w:fldCharType="separate"/>
      </w:r>
      <w:r w:rsidR="00063441">
        <w:rPr>
          <w:i w:val="0"/>
          <w:noProof/>
          <w:color w:val="auto"/>
          <w:sz w:val="24"/>
          <w:szCs w:val="24"/>
        </w:rPr>
        <w:t>4</w:t>
      </w:r>
      <w:r w:rsidRPr="002B4CBE">
        <w:rPr>
          <w:i w:val="0"/>
          <w:color w:val="auto"/>
          <w:sz w:val="24"/>
          <w:szCs w:val="24"/>
        </w:rPr>
        <w:fldChar w:fldCharType="end"/>
      </w:r>
      <w:r w:rsidRPr="002B4CBE">
        <w:rPr>
          <w:i w:val="0"/>
          <w:color w:val="auto"/>
          <w:sz w:val="24"/>
          <w:szCs w:val="24"/>
        </w:rPr>
        <w:t>.</w:t>
      </w:r>
      <w:r w:rsidRPr="002B4CBE">
        <w:rPr>
          <w:i w:val="0"/>
          <w:color w:val="auto"/>
          <w:sz w:val="24"/>
          <w:szCs w:val="24"/>
        </w:rPr>
        <w:fldChar w:fldCharType="begin"/>
      </w:r>
      <w:r w:rsidRPr="002B4CBE">
        <w:rPr>
          <w:i w:val="0"/>
          <w:color w:val="auto"/>
          <w:sz w:val="24"/>
          <w:szCs w:val="24"/>
        </w:rPr>
        <w:instrText xml:space="preserve"> SEQ Tablo \* ARABIC \s 1 </w:instrText>
      </w:r>
      <w:r w:rsidRPr="002B4CBE">
        <w:rPr>
          <w:i w:val="0"/>
          <w:color w:val="auto"/>
          <w:sz w:val="24"/>
          <w:szCs w:val="24"/>
        </w:rPr>
        <w:fldChar w:fldCharType="separate"/>
      </w:r>
      <w:r w:rsidR="00063441">
        <w:rPr>
          <w:i w:val="0"/>
          <w:noProof/>
          <w:color w:val="auto"/>
          <w:sz w:val="24"/>
          <w:szCs w:val="24"/>
        </w:rPr>
        <w:t>16</w:t>
      </w:r>
      <w:r w:rsidRPr="002B4CBE">
        <w:rPr>
          <w:i w:val="0"/>
          <w:color w:val="auto"/>
          <w:sz w:val="24"/>
          <w:szCs w:val="24"/>
        </w:rPr>
        <w:fldChar w:fldCharType="end"/>
      </w:r>
      <w:r w:rsidRPr="002B4CBE">
        <w:rPr>
          <w:i w:val="0"/>
          <w:color w:val="auto"/>
          <w:sz w:val="24"/>
          <w:szCs w:val="24"/>
        </w:rPr>
        <w:t xml:space="preserve"> Kültür </w:t>
      </w:r>
      <w:r w:rsidR="001110C5">
        <w:rPr>
          <w:i w:val="0"/>
          <w:color w:val="auto"/>
          <w:sz w:val="24"/>
          <w:szCs w:val="24"/>
        </w:rPr>
        <w:t>Grubu v</w:t>
      </w:r>
      <w:r w:rsidR="001110C5" w:rsidRPr="002B4CBE">
        <w:rPr>
          <w:i w:val="0"/>
          <w:color w:val="auto"/>
          <w:sz w:val="24"/>
          <w:szCs w:val="24"/>
        </w:rPr>
        <w:t>e Işık Mikroskopisi Bulgularının Karşılaştırılması</w:t>
      </w:r>
      <w:bookmarkEnd w:id="571"/>
      <w:r w:rsidR="001110C5" w:rsidRPr="002B4CBE">
        <w:rPr>
          <w:i w:val="0"/>
          <w:color w:val="auto"/>
          <w:sz w:val="24"/>
          <w:szCs w:val="24"/>
        </w:rPr>
        <w:t xml:space="preserve"> </w:t>
      </w:r>
    </w:p>
    <w:tbl>
      <w:tblPr>
        <w:tblStyle w:val="DzTablo5"/>
        <w:tblW w:w="7655" w:type="dxa"/>
        <w:tblLayout w:type="fixed"/>
        <w:tblLook w:val="04A0" w:firstRow="1" w:lastRow="0" w:firstColumn="1" w:lastColumn="0" w:noHBand="0" w:noVBand="1"/>
      </w:tblPr>
      <w:tblGrid>
        <w:gridCol w:w="3402"/>
        <w:gridCol w:w="1701"/>
        <w:gridCol w:w="1418"/>
        <w:gridCol w:w="1134"/>
      </w:tblGrid>
      <w:tr w:rsidR="007E64BB" w:rsidRPr="002B4CBE" w14:paraId="6A972274" w14:textId="77777777" w:rsidTr="002B4CBE">
        <w:trPr>
          <w:cnfStyle w:val="100000000000" w:firstRow="1" w:lastRow="0" w:firstColumn="0" w:lastColumn="0" w:oddVBand="0" w:evenVBand="0" w:oddHBand="0" w:evenHBand="0" w:firstRowFirstColumn="0" w:firstRowLastColumn="0" w:lastRowFirstColumn="0" w:lastRowLastColumn="0"/>
          <w:trHeight w:val="384"/>
        </w:trPr>
        <w:tc>
          <w:tcPr>
            <w:cnfStyle w:val="001000000100" w:firstRow="0" w:lastRow="0" w:firstColumn="1" w:lastColumn="0" w:oddVBand="0" w:evenVBand="0" w:oddHBand="0" w:evenHBand="0" w:firstRowFirstColumn="1" w:firstRowLastColumn="0" w:lastRowFirstColumn="0" w:lastRowLastColumn="0"/>
            <w:tcW w:w="3402" w:type="dxa"/>
            <w:hideMark/>
          </w:tcPr>
          <w:p w14:paraId="3793726D" w14:textId="77777777" w:rsidR="007E64BB" w:rsidRPr="002B4CBE" w:rsidRDefault="007E64BB" w:rsidP="00577288">
            <w:pPr>
              <w:spacing w:line="276" w:lineRule="auto"/>
              <w:rPr>
                <w:rFonts w:eastAsia="Times New Roman"/>
                <w:b/>
                <w:bCs/>
                <w:sz w:val="18"/>
                <w:szCs w:val="18"/>
              </w:rPr>
            </w:pPr>
          </w:p>
        </w:tc>
        <w:tc>
          <w:tcPr>
            <w:tcW w:w="1701" w:type="dxa"/>
            <w:hideMark/>
          </w:tcPr>
          <w:p w14:paraId="37917204" w14:textId="77777777" w:rsidR="00577288" w:rsidRPr="006E2FCB" w:rsidRDefault="007E64BB" w:rsidP="00577288">
            <w:pPr>
              <w:spacing w:line="360"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b/>
                <w:bCs/>
                <w:i w:val="0"/>
                <w:sz w:val="18"/>
                <w:szCs w:val="18"/>
              </w:rPr>
            </w:pPr>
            <w:r w:rsidRPr="006E2FCB">
              <w:rPr>
                <w:rFonts w:eastAsia="Times New Roman"/>
                <w:b/>
                <w:bCs/>
                <w:i w:val="0"/>
                <w:sz w:val="18"/>
                <w:szCs w:val="18"/>
              </w:rPr>
              <w:t xml:space="preserve">ÜREME </w:t>
            </w:r>
          </w:p>
          <w:p w14:paraId="2E999072" w14:textId="61CFE04A" w:rsidR="007E64BB" w:rsidRPr="006E2FCB" w:rsidRDefault="007E64BB" w:rsidP="00577288">
            <w:pPr>
              <w:spacing w:line="360"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b/>
                <w:bCs/>
                <w:i w:val="0"/>
                <w:sz w:val="18"/>
                <w:szCs w:val="18"/>
              </w:rPr>
            </w:pPr>
            <w:r w:rsidRPr="006E2FCB">
              <w:rPr>
                <w:rFonts w:eastAsia="Times New Roman"/>
                <w:b/>
                <w:bCs/>
                <w:i w:val="0"/>
                <w:sz w:val="18"/>
                <w:szCs w:val="18"/>
              </w:rPr>
              <w:t>YOK n (%)</w:t>
            </w:r>
          </w:p>
        </w:tc>
        <w:tc>
          <w:tcPr>
            <w:tcW w:w="1418" w:type="dxa"/>
            <w:hideMark/>
          </w:tcPr>
          <w:p w14:paraId="6F74C0AE" w14:textId="77777777" w:rsidR="00577288" w:rsidRPr="006E2FCB" w:rsidRDefault="007E64BB" w:rsidP="00577288">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b/>
                <w:bCs/>
                <w:i w:val="0"/>
                <w:sz w:val="18"/>
                <w:szCs w:val="18"/>
              </w:rPr>
            </w:pPr>
            <w:r w:rsidRPr="006E2FCB">
              <w:rPr>
                <w:rFonts w:eastAsia="Times New Roman"/>
                <w:b/>
                <w:bCs/>
                <w:i w:val="0"/>
                <w:sz w:val="18"/>
                <w:szCs w:val="18"/>
              </w:rPr>
              <w:t xml:space="preserve">ÜREME </w:t>
            </w:r>
          </w:p>
          <w:p w14:paraId="54473EE1" w14:textId="6D10C639" w:rsidR="007E64BB" w:rsidRPr="006E2FCB" w:rsidRDefault="007E64BB" w:rsidP="00577288">
            <w:pPr>
              <w:spacing w:line="360"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b/>
                <w:bCs/>
                <w:i w:val="0"/>
                <w:sz w:val="18"/>
                <w:szCs w:val="18"/>
              </w:rPr>
            </w:pPr>
            <w:r w:rsidRPr="006E2FCB">
              <w:rPr>
                <w:rFonts w:eastAsia="Times New Roman"/>
                <w:b/>
                <w:bCs/>
                <w:i w:val="0"/>
                <w:sz w:val="18"/>
                <w:szCs w:val="18"/>
              </w:rPr>
              <w:t>VAR n (%)</w:t>
            </w:r>
          </w:p>
        </w:tc>
        <w:tc>
          <w:tcPr>
            <w:tcW w:w="1134" w:type="dxa"/>
          </w:tcPr>
          <w:p w14:paraId="4C4412EE" w14:textId="77777777" w:rsidR="007E64BB" w:rsidRPr="006E2FCB" w:rsidRDefault="007E64BB" w:rsidP="00577288">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b/>
                <w:bCs/>
                <w:i w:val="0"/>
                <w:sz w:val="18"/>
                <w:szCs w:val="18"/>
              </w:rPr>
            </w:pPr>
            <w:r w:rsidRPr="006E2FCB">
              <w:rPr>
                <w:rFonts w:eastAsia="Times New Roman"/>
                <w:b/>
                <w:bCs/>
                <w:i w:val="0"/>
                <w:sz w:val="18"/>
                <w:szCs w:val="18"/>
              </w:rPr>
              <w:t>p&lt;0.05</w:t>
            </w:r>
          </w:p>
        </w:tc>
      </w:tr>
      <w:tr w:rsidR="007E64BB" w:rsidRPr="002B4CBE" w14:paraId="2646BE55" w14:textId="77777777" w:rsidTr="002B4CB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7F7F7F" w:themeColor="text1" w:themeTint="80"/>
              <w:bottom w:val="single" w:sz="4" w:space="0" w:color="auto"/>
            </w:tcBorders>
          </w:tcPr>
          <w:p w14:paraId="4311AEDB" w14:textId="77777777" w:rsidR="007E64BB" w:rsidRPr="006E2FCB" w:rsidRDefault="007E64BB" w:rsidP="00577288">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İSKEMİK NEKROZ</w:t>
            </w:r>
          </w:p>
          <w:p w14:paraId="186DE4EC"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4AF3F1A6"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0B8A44D3" w14:textId="77777777" w:rsidR="007E64BB" w:rsidRPr="002B4CBE" w:rsidRDefault="007E64BB" w:rsidP="0057728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p>
          <w:p w14:paraId="527F0C1F" w14:textId="77777777" w:rsidR="007E64BB" w:rsidRPr="002B4CBE" w:rsidRDefault="007E64BB" w:rsidP="0057728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4 (50)</w:t>
            </w:r>
          </w:p>
          <w:p w14:paraId="6F00E750" w14:textId="77777777" w:rsidR="007E64BB" w:rsidRPr="002B4CBE" w:rsidRDefault="007E64BB" w:rsidP="0057728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4 (50)</w:t>
            </w:r>
          </w:p>
        </w:tc>
        <w:tc>
          <w:tcPr>
            <w:tcW w:w="1418" w:type="dxa"/>
            <w:noWrap/>
          </w:tcPr>
          <w:p w14:paraId="10B6D10A" w14:textId="77777777" w:rsidR="007E64BB" w:rsidRPr="002B4CBE" w:rsidRDefault="007E64BB" w:rsidP="00577288">
            <w:pPr>
              <w:spacing w:line="276" w:lineRule="auto"/>
              <w:jc w:val="left"/>
              <w:cnfStyle w:val="000000100000" w:firstRow="0" w:lastRow="0" w:firstColumn="0" w:lastColumn="0" w:oddVBand="0" w:evenVBand="0" w:oddHBand="1" w:evenHBand="0" w:firstRowFirstColumn="0" w:firstRowLastColumn="0" w:lastRowFirstColumn="0" w:lastRowLastColumn="0"/>
              <w:rPr>
                <w:sz w:val="18"/>
                <w:szCs w:val="18"/>
              </w:rPr>
            </w:pPr>
          </w:p>
          <w:p w14:paraId="507E328A" w14:textId="77777777" w:rsidR="007E64BB" w:rsidRPr="002B4CBE" w:rsidRDefault="007E64BB" w:rsidP="0057728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11 (68.8)</w:t>
            </w:r>
          </w:p>
          <w:p w14:paraId="1465C408" w14:textId="77777777" w:rsidR="007E64BB" w:rsidRPr="002B4CBE" w:rsidRDefault="007E64BB" w:rsidP="0057728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5 (31.2)</w:t>
            </w:r>
          </w:p>
        </w:tc>
        <w:tc>
          <w:tcPr>
            <w:tcW w:w="1134" w:type="dxa"/>
          </w:tcPr>
          <w:p w14:paraId="1F1E2FF7" w14:textId="77777777" w:rsidR="007E64BB" w:rsidRPr="002B4CBE" w:rsidRDefault="007E64BB" w:rsidP="00577288">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18"/>
                <w:szCs w:val="18"/>
              </w:rPr>
            </w:pPr>
          </w:p>
          <w:p w14:paraId="6422CE07" w14:textId="77777777" w:rsidR="007E64BB" w:rsidRPr="002B4CBE" w:rsidRDefault="007E64BB" w:rsidP="00577288">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bCs/>
                <w:sz w:val="18"/>
                <w:szCs w:val="18"/>
              </w:rPr>
            </w:pPr>
            <w:r w:rsidRPr="002B4CBE">
              <w:rPr>
                <w:rFonts w:eastAsia="Times New Roman"/>
                <w:bCs/>
                <w:sz w:val="18"/>
                <w:szCs w:val="18"/>
              </w:rPr>
              <w:t>0.4</w:t>
            </w:r>
          </w:p>
        </w:tc>
      </w:tr>
      <w:tr w:rsidR="007E64BB" w:rsidRPr="002B4CBE" w14:paraId="5D967B65" w14:textId="77777777" w:rsidTr="002B4CBE">
        <w:trPr>
          <w:trHeight w:val="384"/>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auto"/>
              <w:bottom w:val="single" w:sz="4" w:space="0" w:color="auto"/>
            </w:tcBorders>
          </w:tcPr>
          <w:p w14:paraId="030089EA" w14:textId="77777777" w:rsidR="007E64BB" w:rsidRPr="006E2FCB" w:rsidRDefault="007E64BB" w:rsidP="00577288">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KOLESTAZ</w:t>
            </w:r>
          </w:p>
          <w:p w14:paraId="46B790FA"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0B419ECB"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6F757F4D" w14:textId="77777777" w:rsidR="007E64BB" w:rsidRPr="002B4CBE" w:rsidRDefault="007E64BB" w:rsidP="00577288">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14:paraId="09A19799" w14:textId="77777777" w:rsidR="007E64BB" w:rsidRPr="002B4CBE" w:rsidRDefault="007E64BB" w:rsidP="0057728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1 (17.5)</w:t>
            </w:r>
          </w:p>
          <w:p w14:paraId="17418E58" w14:textId="77777777" w:rsidR="007E64BB" w:rsidRPr="002B4CBE" w:rsidRDefault="007E64BB" w:rsidP="0057728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7 (87.5)</w:t>
            </w:r>
          </w:p>
        </w:tc>
        <w:tc>
          <w:tcPr>
            <w:tcW w:w="1418" w:type="dxa"/>
            <w:noWrap/>
          </w:tcPr>
          <w:p w14:paraId="48FE7D91" w14:textId="77777777" w:rsidR="007E64BB" w:rsidRPr="002B4CBE" w:rsidRDefault="007E64BB" w:rsidP="00577288">
            <w:pPr>
              <w:spacing w:line="276" w:lineRule="auto"/>
              <w:jc w:val="left"/>
              <w:cnfStyle w:val="000000000000" w:firstRow="0" w:lastRow="0" w:firstColumn="0" w:lastColumn="0" w:oddVBand="0" w:evenVBand="0" w:oddHBand="0" w:evenHBand="0" w:firstRowFirstColumn="0" w:firstRowLastColumn="0" w:lastRowFirstColumn="0" w:lastRowLastColumn="0"/>
              <w:rPr>
                <w:sz w:val="18"/>
                <w:szCs w:val="18"/>
              </w:rPr>
            </w:pPr>
          </w:p>
          <w:p w14:paraId="6623F4F9" w14:textId="77777777" w:rsidR="007E64BB" w:rsidRPr="002B4CBE" w:rsidRDefault="007E64BB" w:rsidP="0057728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6 (37.5)</w:t>
            </w:r>
          </w:p>
          <w:p w14:paraId="0C79D15F" w14:textId="77777777" w:rsidR="007E64BB" w:rsidRPr="002B4CBE" w:rsidRDefault="007E64BB" w:rsidP="0057728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10 (62.5)</w:t>
            </w:r>
          </w:p>
        </w:tc>
        <w:tc>
          <w:tcPr>
            <w:tcW w:w="1134" w:type="dxa"/>
          </w:tcPr>
          <w:p w14:paraId="3861E5FB" w14:textId="77777777" w:rsidR="007E64BB" w:rsidRPr="002B4CBE" w:rsidRDefault="007E64BB" w:rsidP="00577288">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p w14:paraId="1EC09811" w14:textId="77777777" w:rsidR="007E64BB" w:rsidRPr="002B4CBE" w:rsidRDefault="007E64BB" w:rsidP="00577288">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2B4CBE">
              <w:rPr>
                <w:rFonts w:eastAsia="Times New Roman"/>
                <w:sz w:val="18"/>
                <w:szCs w:val="18"/>
              </w:rPr>
              <w:t>0.2</w:t>
            </w:r>
          </w:p>
        </w:tc>
      </w:tr>
      <w:tr w:rsidR="007E64BB" w:rsidRPr="002B4CBE" w14:paraId="0DAC8278" w14:textId="77777777" w:rsidTr="002B4CB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auto"/>
              <w:bottom w:val="single" w:sz="4" w:space="0" w:color="auto"/>
            </w:tcBorders>
          </w:tcPr>
          <w:p w14:paraId="7108CCDF" w14:textId="77777777" w:rsidR="007E64BB" w:rsidRPr="006E2FCB" w:rsidRDefault="007E64BB" w:rsidP="00577288">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T HÜCRE ARACILI REJEKSİYON</w:t>
            </w:r>
          </w:p>
          <w:p w14:paraId="79A87886"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4F24B413"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4E1D1F6F" w14:textId="77777777" w:rsidR="007E64BB" w:rsidRPr="002B4CBE" w:rsidRDefault="007E64BB" w:rsidP="00577288">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4E4BB9B1" w14:textId="77777777" w:rsidR="007E64BB" w:rsidRPr="002B4CBE" w:rsidRDefault="007E64BB" w:rsidP="0057728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6 (75)</w:t>
            </w:r>
          </w:p>
          <w:p w14:paraId="4A1FA95F" w14:textId="77777777" w:rsidR="007E64BB" w:rsidRPr="002B4CBE" w:rsidRDefault="007E64BB" w:rsidP="0057728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2 (25)</w:t>
            </w:r>
          </w:p>
        </w:tc>
        <w:tc>
          <w:tcPr>
            <w:tcW w:w="1418" w:type="dxa"/>
            <w:noWrap/>
          </w:tcPr>
          <w:p w14:paraId="3BB174D5" w14:textId="77777777" w:rsidR="007E64BB" w:rsidRPr="002B4CBE" w:rsidRDefault="007E64BB" w:rsidP="00577288">
            <w:pPr>
              <w:spacing w:line="276" w:lineRule="auto"/>
              <w:jc w:val="left"/>
              <w:cnfStyle w:val="000000100000" w:firstRow="0" w:lastRow="0" w:firstColumn="0" w:lastColumn="0" w:oddVBand="0" w:evenVBand="0" w:oddHBand="1" w:evenHBand="0" w:firstRowFirstColumn="0" w:firstRowLastColumn="0" w:lastRowFirstColumn="0" w:lastRowLastColumn="0"/>
              <w:rPr>
                <w:sz w:val="18"/>
                <w:szCs w:val="18"/>
              </w:rPr>
            </w:pPr>
          </w:p>
          <w:p w14:paraId="21DBE89F" w14:textId="77777777" w:rsidR="007E64BB" w:rsidRPr="002B4CBE" w:rsidRDefault="007E64BB" w:rsidP="0057728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14 (87.5)</w:t>
            </w:r>
          </w:p>
          <w:p w14:paraId="0C77DC0E" w14:textId="77777777" w:rsidR="007E64BB" w:rsidRPr="002B4CBE" w:rsidRDefault="007E64BB" w:rsidP="0057728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2 (12.5)</w:t>
            </w:r>
          </w:p>
        </w:tc>
        <w:tc>
          <w:tcPr>
            <w:tcW w:w="1134" w:type="dxa"/>
          </w:tcPr>
          <w:p w14:paraId="6D41B2B7" w14:textId="77777777" w:rsidR="007E64BB" w:rsidRPr="002B4CBE" w:rsidRDefault="007E64BB" w:rsidP="00577288">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p w14:paraId="0C720813" w14:textId="77777777" w:rsidR="007E64BB" w:rsidRPr="002B4CBE" w:rsidRDefault="007E64BB" w:rsidP="00577288">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2B4CBE">
              <w:rPr>
                <w:rFonts w:eastAsia="Times New Roman"/>
                <w:sz w:val="18"/>
                <w:szCs w:val="18"/>
              </w:rPr>
              <w:t>0.4</w:t>
            </w:r>
          </w:p>
        </w:tc>
      </w:tr>
      <w:tr w:rsidR="007E64BB" w:rsidRPr="002B4CBE" w14:paraId="2C57DD5B" w14:textId="77777777" w:rsidTr="002B4CBE">
        <w:trPr>
          <w:trHeight w:val="384"/>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auto"/>
              <w:bottom w:val="single" w:sz="4" w:space="0" w:color="auto"/>
            </w:tcBorders>
          </w:tcPr>
          <w:p w14:paraId="2E15E699" w14:textId="77777777" w:rsidR="007E64BB" w:rsidRPr="006E2FCB" w:rsidRDefault="007E64BB" w:rsidP="00577288">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DUKTÜLER PROLİFERASYON</w:t>
            </w:r>
          </w:p>
          <w:p w14:paraId="193C4D7B"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39752F9E"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5FB08242" w14:textId="77777777" w:rsidR="007E64BB" w:rsidRPr="002B4CBE" w:rsidRDefault="007E64BB" w:rsidP="00577288">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14:paraId="11821138" w14:textId="77777777" w:rsidR="007E64BB" w:rsidRPr="002B4CBE" w:rsidRDefault="007E64BB" w:rsidP="0057728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6 (75)</w:t>
            </w:r>
          </w:p>
          <w:p w14:paraId="45DB52C2" w14:textId="77777777" w:rsidR="007E64BB" w:rsidRPr="002B4CBE" w:rsidRDefault="007E64BB" w:rsidP="0057728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2 (25)</w:t>
            </w:r>
          </w:p>
        </w:tc>
        <w:tc>
          <w:tcPr>
            <w:tcW w:w="1418" w:type="dxa"/>
            <w:noWrap/>
          </w:tcPr>
          <w:p w14:paraId="0A02A5E9" w14:textId="77777777" w:rsidR="007E64BB" w:rsidRPr="002B4CBE" w:rsidRDefault="007E64BB" w:rsidP="00577288">
            <w:pPr>
              <w:spacing w:line="276" w:lineRule="auto"/>
              <w:jc w:val="left"/>
              <w:cnfStyle w:val="000000000000" w:firstRow="0" w:lastRow="0" w:firstColumn="0" w:lastColumn="0" w:oddVBand="0" w:evenVBand="0" w:oddHBand="0" w:evenHBand="0" w:firstRowFirstColumn="0" w:firstRowLastColumn="0" w:lastRowFirstColumn="0" w:lastRowLastColumn="0"/>
              <w:rPr>
                <w:sz w:val="18"/>
                <w:szCs w:val="18"/>
              </w:rPr>
            </w:pPr>
          </w:p>
          <w:p w14:paraId="22A38F6C" w14:textId="77777777" w:rsidR="007E64BB" w:rsidRPr="002B4CBE" w:rsidRDefault="007E64BB" w:rsidP="0057728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6 (37.5)</w:t>
            </w:r>
          </w:p>
          <w:p w14:paraId="77C1E96A" w14:textId="77777777" w:rsidR="007E64BB" w:rsidRPr="002B4CBE" w:rsidRDefault="007E64BB" w:rsidP="0057728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10 (62.5)</w:t>
            </w:r>
          </w:p>
        </w:tc>
        <w:tc>
          <w:tcPr>
            <w:tcW w:w="1134" w:type="dxa"/>
          </w:tcPr>
          <w:p w14:paraId="652476C6" w14:textId="77777777" w:rsidR="007E64BB" w:rsidRPr="002B4CBE" w:rsidRDefault="007E64BB" w:rsidP="00577288">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p w14:paraId="42ED8017" w14:textId="77777777" w:rsidR="007E64BB" w:rsidRPr="002B4CBE" w:rsidRDefault="007E64BB" w:rsidP="00577288">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2B4CBE">
              <w:rPr>
                <w:rFonts w:eastAsia="Times New Roman"/>
                <w:sz w:val="18"/>
                <w:szCs w:val="18"/>
              </w:rPr>
              <w:t>0.08</w:t>
            </w:r>
          </w:p>
        </w:tc>
      </w:tr>
      <w:tr w:rsidR="007E64BB" w:rsidRPr="002B4CBE" w14:paraId="3331A549" w14:textId="77777777" w:rsidTr="002B4CB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auto"/>
              <w:bottom w:val="single" w:sz="4" w:space="0" w:color="auto"/>
            </w:tcBorders>
          </w:tcPr>
          <w:p w14:paraId="41D3AE38" w14:textId="77777777" w:rsidR="007E64BB" w:rsidRPr="006E2FCB" w:rsidRDefault="007E64BB" w:rsidP="00577288">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DUKTÜLER TIKAÇ</w:t>
            </w:r>
          </w:p>
          <w:p w14:paraId="70CF8317"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63E50702"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644AC917" w14:textId="77777777" w:rsidR="007E64BB" w:rsidRPr="002B4CBE" w:rsidRDefault="007E64BB" w:rsidP="00577288">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241170BE" w14:textId="77777777" w:rsidR="007E64BB" w:rsidRPr="002B4CBE" w:rsidRDefault="007E64BB" w:rsidP="0057728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7 (87.5)</w:t>
            </w:r>
          </w:p>
          <w:p w14:paraId="4C1EE664" w14:textId="77777777" w:rsidR="007E64BB" w:rsidRPr="002B4CBE" w:rsidRDefault="007E64BB" w:rsidP="0057728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1 (12.5)</w:t>
            </w:r>
          </w:p>
        </w:tc>
        <w:tc>
          <w:tcPr>
            <w:tcW w:w="1418" w:type="dxa"/>
            <w:noWrap/>
          </w:tcPr>
          <w:p w14:paraId="58795B1A" w14:textId="77777777" w:rsidR="007E64BB" w:rsidRPr="002B4CBE" w:rsidRDefault="007E64BB" w:rsidP="00577288">
            <w:pPr>
              <w:spacing w:line="276" w:lineRule="auto"/>
              <w:jc w:val="left"/>
              <w:cnfStyle w:val="000000100000" w:firstRow="0" w:lastRow="0" w:firstColumn="0" w:lastColumn="0" w:oddVBand="0" w:evenVBand="0" w:oddHBand="1" w:evenHBand="0" w:firstRowFirstColumn="0" w:firstRowLastColumn="0" w:lastRowFirstColumn="0" w:lastRowLastColumn="0"/>
              <w:rPr>
                <w:sz w:val="18"/>
                <w:szCs w:val="18"/>
              </w:rPr>
            </w:pPr>
          </w:p>
          <w:p w14:paraId="42A8C6F1" w14:textId="77777777" w:rsidR="007E64BB" w:rsidRPr="002B4CBE" w:rsidRDefault="007E64BB" w:rsidP="0057728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15 (93.8)</w:t>
            </w:r>
          </w:p>
          <w:p w14:paraId="5FE4E4DD" w14:textId="77777777" w:rsidR="007E64BB" w:rsidRPr="002B4CBE" w:rsidRDefault="007E64BB" w:rsidP="0057728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1 (6.3)</w:t>
            </w:r>
          </w:p>
        </w:tc>
        <w:tc>
          <w:tcPr>
            <w:tcW w:w="1134" w:type="dxa"/>
          </w:tcPr>
          <w:p w14:paraId="6B2CDFE7" w14:textId="77777777" w:rsidR="007E64BB" w:rsidRPr="002B4CBE" w:rsidRDefault="007E64BB" w:rsidP="00577288">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p w14:paraId="33969728" w14:textId="77777777" w:rsidR="007E64BB" w:rsidRPr="002B4CBE" w:rsidRDefault="007E64BB" w:rsidP="00577288">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2B4CBE">
              <w:rPr>
                <w:rFonts w:eastAsia="Times New Roman"/>
                <w:sz w:val="18"/>
                <w:szCs w:val="18"/>
              </w:rPr>
              <w:t>0.6</w:t>
            </w:r>
          </w:p>
        </w:tc>
      </w:tr>
      <w:tr w:rsidR="007E64BB" w:rsidRPr="002B4CBE" w14:paraId="5E77F7F4" w14:textId="77777777" w:rsidTr="002B4CBE">
        <w:trPr>
          <w:trHeight w:val="384"/>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auto"/>
              <w:bottom w:val="single" w:sz="4" w:space="0" w:color="auto"/>
            </w:tcBorders>
          </w:tcPr>
          <w:p w14:paraId="129EAD80" w14:textId="77777777" w:rsidR="007E64BB" w:rsidRPr="006E2FCB" w:rsidRDefault="007E64BB" w:rsidP="00577288">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C4D+</w:t>
            </w:r>
          </w:p>
          <w:p w14:paraId="6C72C204"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098A0E57"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1054CEE3" w14:textId="77777777" w:rsidR="007E64BB" w:rsidRPr="002B4CBE" w:rsidRDefault="007E64BB" w:rsidP="00577288">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14:paraId="2091A58C" w14:textId="77777777" w:rsidR="007E64BB" w:rsidRPr="002B4CBE" w:rsidRDefault="007E64BB" w:rsidP="0057728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5 (62.5)</w:t>
            </w:r>
          </w:p>
          <w:p w14:paraId="0E889F7D" w14:textId="77777777" w:rsidR="007E64BB" w:rsidRPr="002B4CBE" w:rsidRDefault="007E64BB" w:rsidP="0057728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3 (37.5)</w:t>
            </w:r>
          </w:p>
        </w:tc>
        <w:tc>
          <w:tcPr>
            <w:tcW w:w="1418" w:type="dxa"/>
            <w:noWrap/>
          </w:tcPr>
          <w:p w14:paraId="2A5B37A8" w14:textId="77777777" w:rsidR="007E64BB" w:rsidRPr="002B4CBE" w:rsidRDefault="007E64BB" w:rsidP="00577288">
            <w:pPr>
              <w:spacing w:line="276" w:lineRule="auto"/>
              <w:jc w:val="left"/>
              <w:cnfStyle w:val="000000000000" w:firstRow="0" w:lastRow="0" w:firstColumn="0" w:lastColumn="0" w:oddVBand="0" w:evenVBand="0" w:oddHBand="0" w:evenHBand="0" w:firstRowFirstColumn="0" w:firstRowLastColumn="0" w:lastRowFirstColumn="0" w:lastRowLastColumn="0"/>
              <w:rPr>
                <w:sz w:val="18"/>
                <w:szCs w:val="18"/>
              </w:rPr>
            </w:pPr>
          </w:p>
          <w:p w14:paraId="0872F92F" w14:textId="77777777" w:rsidR="007E64BB" w:rsidRPr="002B4CBE" w:rsidRDefault="007E64BB" w:rsidP="0057728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15 (93.8)</w:t>
            </w:r>
          </w:p>
          <w:p w14:paraId="3DCE28B0" w14:textId="77777777" w:rsidR="007E64BB" w:rsidRPr="002B4CBE" w:rsidRDefault="007E64BB" w:rsidP="0057728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2B4CBE">
              <w:rPr>
                <w:sz w:val="18"/>
                <w:szCs w:val="18"/>
              </w:rPr>
              <w:t>1 (6.3)</w:t>
            </w:r>
          </w:p>
        </w:tc>
        <w:tc>
          <w:tcPr>
            <w:tcW w:w="1134" w:type="dxa"/>
          </w:tcPr>
          <w:p w14:paraId="28FBACA6" w14:textId="77777777" w:rsidR="007E64BB" w:rsidRPr="002B4CBE" w:rsidRDefault="007E64BB" w:rsidP="00577288">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b/>
                <w:sz w:val="18"/>
                <w:szCs w:val="18"/>
              </w:rPr>
            </w:pPr>
          </w:p>
          <w:p w14:paraId="5A1B256F" w14:textId="77777777" w:rsidR="007E64BB" w:rsidRPr="002B4CBE" w:rsidRDefault="007E64BB" w:rsidP="00577288">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2B4CBE">
              <w:rPr>
                <w:rFonts w:eastAsia="Times New Roman"/>
                <w:sz w:val="18"/>
                <w:szCs w:val="18"/>
              </w:rPr>
              <w:t>0.053</w:t>
            </w:r>
          </w:p>
        </w:tc>
      </w:tr>
      <w:tr w:rsidR="007E64BB" w:rsidRPr="002B4CBE" w14:paraId="3BF37BD6" w14:textId="77777777" w:rsidTr="002B4CB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auto"/>
            </w:tcBorders>
          </w:tcPr>
          <w:p w14:paraId="3B70234F" w14:textId="77777777" w:rsidR="007E64BB" w:rsidRPr="006E2FCB" w:rsidRDefault="007E64BB" w:rsidP="00577288">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STEATOZ</w:t>
            </w:r>
          </w:p>
          <w:p w14:paraId="5807551B"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2C58CA9F" w14:textId="77777777" w:rsidR="007E64BB" w:rsidRPr="006E2FCB" w:rsidRDefault="007E64BB" w:rsidP="00577288">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6561F91F" w14:textId="77777777" w:rsidR="007E64BB" w:rsidRPr="002B4CBE" w:rsidRDefault="007E64BB" w:rsidP="00577288">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7A9EFF69" w14:textId="77777777" w:rsidR="007E64BB" w:rsidRPr="002B4CBE" w:rsidRDefault="007E64BB" w:rsidP="0057728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4 (50)</w:t>
            </w:r>
          </w:p>
          <w:p w14:paraId="40B96797" w14:textId="77777777" w:rsidR="007E64BB" w:rsidRPr="002B4CBE" w:rsidRDefault="007E64BB" w:rsidP="0057728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4 (50)</w:t>
            </w:r>
          </w:p>
        </w:tc>
        <w:tc>
          <w:tcPr>
            <w:tcW w:w="1418" w:type="dxa"/>
            <w:noWrap/>
          </w:tcPr>
          <w:p w14:paraId="23C7DCDB" w14:textId="77777777" w:rsidR="007E64BB" w:rsidRPr="002B4CBE" w:rsidRDefault="007E64BB" w:rsidP="00577288">
            <w:pPr>
              <w:spacing w:line="276" w:lineRule="auto"/>
              <w:jc w:val="left"/>
              <w:cnfStyle w:val="000000100000" w:firstRow="0" w:lastRow="0" w:firstColumn="0" w:lastColumn="0" w:oddVBand="0" w:evenVBand="0" w:oddHBand="1" w:evenHBand="0" w:firstRowFirstColumn="0" w:firstRowLastColumn="0" w:lastRowFirstColumn="0" w:lastRowLastColumn="0"/>
              <w:rPr>
                <w:sz w:val="18"/>
                <w:szCs w:val="18"/>
              </w:rPr>
            </w:pPr>
          </w:p>
          <w:p w14:paraId="45707E99" w14:textId="77777777" w:rsidR="007E64BB" w:rsidRPr="002B4CBE" w:rsidRDefault="007E64BB" w:rsidP="0057728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11 (68.8)</w:t>
            </w:r>
          </w:p>
          <w:p w14:paraId="07B5808A" w14:textId="77777777" w:rsidR="007E64BB" w:rsidRPr="002B4CBE" w:rsidRDefault="007E64BB" w:rsidP="00577288">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2B4CBE">
              <w:rPr>
                <w:sz w:val="18"/>
                <w:szCs w:val="18"/>
              </w:rPr>
              <w:t>5 (31.2)</w:t>
            </w:r>
          </w:p>
        </w:tc>
        <w:tc>
          <w:tcPr>
            <w:tcW w:w="1134" w:type="dxa"/>
          </w:tcPr>
          <w:p w14:paraId="5910D026" w14:textId="77777777" w:rsidR="007E64BB" w:rsidRPr="002B4CBE" w:rsidRDefault="007E64BB" w:rsidP="00577288">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p w14:paraId="750E2D79" w14:textId="77777777" w:rsidR="007E64BB" w:rsidRPr="002B4CBE" w:rsidRDefault="007E64BB" w:rsidP="00577288">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2B4CBE">
              <w:rPr>
                <w:rFonts w:eastAsia="Times New Roman"/>
                <w:sz w:val="18"/>
                <w:szCs w:val="18"/>
              </w:rPr>
              <w:t>0.4</w:t>
            </w:r>
          </w:p>
        </w:tc>
      </w:tr>
    </w:tbl>
    <w:p w14:paraId="06E28468" w14:textId="77777777" w:rsidR="007E64BB" w:rsidRDefault="007E64BB" w:rsidP="007E64BB"/>
    <w:p w14:paraId="3AFE3E15" w14:textId="77777777" w:rsidR="007E64BB" w:rsidRDefault="007E64BB" w:rsidP="007E64BB"/>
    <w:p w14:paraId="4BF18988" w14:textId="615D799A" w:rsidR="00BC5AD2" w:rsidRPr="00BC5AD2" w:rsidRDefault="00BC5AD2" w:rsidP="00BC5AD2">
      <w:pPr>
        <w:pStyle w:val="ResimYazs"/>
        <w:rPr>
          <w:i w:val="0"/>
          <w:color w:val="auto"/>
          <w:sz w:val="24"/>
          <w:szCs w:val="24"/>
        </w:rPr>
      </w:pPr>
      <w:bookmarkStart w:id="572" w:name="_Toc49818032"/>
      <w:r w:rsidRPr="00BC5AD2">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17</w:t>
      </w:r>
      <w:r w:rsidR="002B4CBE">
        <w:rPr>
          <w:i w:val="0"/>
          <w:color w:val="auto"/>
          <w:sz w:val="24"/>
          <w:szCs w:val="24"/>
        </w:rPr>
        <w:fldChar w:fldCharType="end"/>
      </w:r>
      <w:r w:rsidRPr="00BC5AD2">
        <w:rPr>
          <w:i w:val="0"/>
          <w:color w:val="auto"/>
          <w:sz w:val="24"/>
          <w:szCs w:val="24"/>
        </w:rPr>
        <w:t xml:space="preserve"> </w:t>
      </w:r>
      <w:r w:rsidR="00577288">
        <w:rPr>
          <w:i w:val="0"/>
          <w:color w:val="auto"/>
          <w:sz w:val="24"/>
          <w:szCs w:val="24"/>
        </w:rPr>
        <w:t xml:space="preserve">Survival </w:t>
      </w:r>
      <w:r w:rsidR="001110C5">
        <w:rPr>
          <w:i w:val="0"/>
          <w:color w:val="auto"/>
          <w:sz w:val="24"/>
          <w:szCs w:val="24"/>
        </w:rPr>
        <w:t xml:space="preserve">Grubu ve Işık Mikroskopisi </w:t>
      </w:r>
      <w:r w:rsidR="001110C5" w:rsidRPr="00BC5AD2">
        <w:rPr>
          <w:i w:val="0"/>
          <w:color w:val="auto"/>
          <w:sz w:val="24"/>
          <w:szCs w:val="24"/>
        </w:rPr>
        <w:t>Bulgular</w:t>
      </w:r>
      <w:r w:rsidR="001110C5">
        <w:rPr>
          <w:i w:val="0"/>
          <w:color w:val="auto"/>
          <w:sz w:val="24"/>
          <w:szCs w:val="24"/>
        </w:rPr>
        <w:t>ının</w:t>
      </w:r>
      <w:r w:rsidR="001110C5" w:rsidRPr="00BC5AD2">
        <w:rPr>
          <w:i w:val="0"/>
          <w:color w:val="auto"/>
          <w:sz w:val="24"/>
          <w:szCs w:val="24"/>
        </w:rPr>
        <w:t xml:space="preserve"> Karşılaştırılması</w:t>
      </w:r>
      <w:bookmarkEnd w:id="572"/>
    </w:p>
    <w:tbl>
      <w:tblPr>
        <w:tblStyle w:val="DzTablo5"/>
        <w:tblW w:w="7655" w:type="dxa"/>
        <w:tblLayout w:type="fixed"/>
        <w:tblLook w:val="04A0" w:firstRow="1" w:lastRow="0" w:firstColumn="1" w:lastColumn="0" w:noHBand="0" w:noVBand="1"/>
      </w:tblPr>
      <w:tblGrid>
        <w:gridCol w:w="3261"/>
        <w:gridCol w:w="1559"/>
        <w:gridCol w:w="1701"/>
        <w:gridCol w:w="1134"/>
      </w:tblGrid>
      <w:tr w:rsidR="00BC5AD2" w:rsidRPr="002B4CBE" w14:paraId="4647EE9A" w14:textId="77777777" w:rsidTr="001A049E">
        <w:trPr>
          <w:cnfStyle w:val="100000000000" w:firstRow="1" w:lastRow="0" w:firstColumn="0" w:lastColumn="0" w:oddVBand="0" w:evenVBand="0" w:oddHBand="0" w:evenHBand="0" w:firstRowFirstColumn="0" w:firstRowLastColumn="0" w:lastRowFirstColumn="0" w:lastRowLastColumn="0"/>
          <w:trHeight w:val="407"/>
        </w:trPr>
        <w:tc>
          <w:tcPr>
            <w:cnfStyle w:val="001000000100" w:firstRow="0" w:lastRow="0" w:firstColumn="1" w:lastColumn="0" w:oddVBand="0" w:evenVBand="0" w:oddHBand="0" w:evenHBand="0" w:firstRowFirstColumn="1" w:firstRowLastColumn="0" w:lastRowFirstColumn="0" w:lastRowLastColumn="0"/>
            <w:tcW w:w="3261" w:type="dxa"/>
            <w:hideMark/>
          </w:tcPr>
          <w:p w14:paraId="60A5568D" w14:textId="77777777" w:rsidR="00BC5AD2" w:rsidRPr="006E2FCB" w:rsidRDefault="00BC5AD2" w:rsidP="00BC5AD2">
            <w:pPr>
              <w:spacing w:line="276" w:lineRule="auto"/>
              <w:rPr>
                <w:rFonts w:eastAsia="Times New Roman"/>
                <w:b/>
                <w:bCs/>
                <w:i w:val="0"/>
                <w:sz w:val="18"/>
                <w:szCs w:val="18"/>
              </w:rPr>
            </w:pPr>
          </w:p>
        </w:tc>
        <w:tc>
          <w:tcPr>
            <w:tcW w:w="1559" w:type="dxa"/>
            <w:hideMark/>
          </w:tcPr>
          <w:p w14:paraId="1E1D4ACE" w14:textId="3AA65865" w:rsidR="00BC5AD2" w:rsidRPr="006E2FCB" w:rsidRDefault="0031392F" w:rsidP="001A049E">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b/>
                <w:bCs/>
                <w:i w:val="0"/>
                <w:sz w:val="18"/>
                <w:szCs w:val="18"/>
              </w:rPr>
            </w:pPr>
            <w:r w:rsidRPr="006E2FCB">
              <w:rPr>
                <w:rFonts w:eastAsia="Times New Roman"/>
                <w:b/>
                <w:bCs/>
                <w:i w:val="0"/>
                <w:sz w:val="18"/>
                <w:szCs w:val="18"/>
              </w:rPr>
              <w:t>EXITUS n</w:t>
            </w:r>
            <w:r w:rsidR="00BC5AD2" w:rsidRPr="006E2FCB">
              <w:rPr>
                <w:rFonts w:eastAsia="Times New Roman"/>
                <w:b/>
                <w:bCs/>
                <w:i w:val="0"/>
                <w:sz w:val="18"/>
                <w:szCs w:val="18"/>
              </w:rPr>
              <w:t xml:space="preserve"> (%)</w:t>
            </w:r>
          </w:p>
        </w:tc>
        <w:tc>
          <w:tcPr>
            <w:tcW w:w="1701" w:type="dxa"/>
            <w:hideMark/>
          </w:tcPr>
          <w:p w14:paraId="6FA0EB8C" w14:textId="00A6ED4A" w:rsidR="00BC5AD2" w:rsidRPr="006E2FCB" w:rsidRDefault="00BC5AD2" w:rsidP="002B4CB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b/>
                <w:bCs/>
                <w:i w:val="0"/>
                <w:sz w:val="18"/>
                <w:szCs w:val="18"/>
              </w:rPr>
            </w:pPr>
            <w:r w:rsidRPr="006E2FCB">
              <w:rPr>
                <w:rFonts w:eastAsia="Times New Roman"/>
                <w:b/>
                <w:bCs/>
                <w:i w:val="0"/>
                <w:sz w:val="18"/>
                <w:szCs w:val="18"/>
              </w:rPr>
              <w:t>YAŞAYAN n (%)</w:t>
            </w:r>
          </w:p>
        </w:tc>
        <w:tc>
          <w:tcPr>
            <w:tcW w:w="1134" w:type="dxa"/>
          </w:tcPr>
          <w:p w14:paraId="0B794490" w14:textId="1DD517FA" w:rsidR="00BC5AD2" w:rsidRPr="006E2FCB" w:rsidRDefault="001A049E" w:rsidP="001A049E">
            <w:pPr>
              <w:spacing w:line="276" w:lineRule="auto"/>
              <w:ind w:firstLine="0"/>
              <w:jc w:val="left"/>
              <w:cnfStyle w:val="100000000000" w:firstRow="1" w:lastRow="0" w:firstColumn="0" w:lastColumn="0" w:oddVBand="0" w:evenVBand="0" w:oddHBand="0" w:evenHBand="0" w:firstRowFirstColumn="0" w:firstRowLastColumn="0" w:lastRowFirstColumn="0" w:lastRowLastColumn="0"/>
              <w:rPr>
                <w:rFonts w:eastAsia="Times New Roman"/>
                <w:b/>
                <w:bCs/>
                <w:i w:val="0"/>
                <w:sz w:val="18"/>
                <w:szCs w:val="18"/>
              </w:rPr>
            </w:pPr>
            <w:r w:rsidRPr="006E2FCB">
              <w:rPr>
                <w:rFonts w:eastAsia="Times New Roman"/>
                <w:b/>
                <w:bCs/>
                <w:i w:val="0"/>
                <w:sz w:val="18"/>
                <w:szCs w:val="18"/>
              </w:rPr>
              <w:t>p</w:t>
            </w:r>
            <w:r w:rsidR="00BC5AD2" w:rsidRPr="006E2FCB">
              <w:rPr>
                <w:rFonts w:eastAsia="Times New Roman"/>
                <w:b/>
                <w:bCs/>
                <w:i w:val="0"/>
                <w:sz w:val="18"/>
                <w:szCs w:val="18"/>
              </w:rPr>
              <w:t>&lt;0.05</w:t>
            </w:r>
          </w:p>
        </w:tc>
      </w:tr>
      <w:tr w:rsidR="001A049E" w:rsidRPr="002B4CBE" w14:paraId="3C968514" w14:textId="77777777" w:rsidTr="001A049E">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7F7F7F" w:themeColor="text1" w:themeTint="80"/>
              <w:bottom w:val="single" w:sz="4" w:space="0" w:color="auto"/>
            </w:tcBorders>
          </w:tcPr>
          <w:p w14:paraId="5131DC2A"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İSKEMİK NEKROZ</w:t>
            </w:r>
          </w:p>
          <w:p w14:paraId="0C295F40"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2D51D2DC" w14:textId="2A37D2AC"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559" w:type="dxa"/>
            <w:noWrap/>
          </w:tcPr>
          <w:p w14:paraId="371313AB" w14:textId="77777777" w:rsidR="001A049E" w:rsidRPr="006E2FCB" w:rsidRDefault="001A049E" w:rsidP="001A049E">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71E6677A" w14:textId="77777777"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2 (25)</w:t>
            </w:r>
          </w:p>
          <w:p w14:paraId="2F1CA3CA" w14:textId="77777777"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6 (75)</w:t>
            </w:r>
          </w:p>
        </w:tc>
        <w:tc>
          <w:tcPr>
            <w:tcW w:w="1701" w:type="dxa"/>
            <w:noWrap/>
          </w:tcPr>
          <w:p w14:paraId="78C44895" w14:textId="77777777" w:rsidR="001A049E" w:rsidRPr="006E2FCB" w:rsidRDefault="001A049E" w:rsidP="001A049E">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1D2171EB" w14:textId="1335E13D"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13  (81.3)</w:t>
            </w:r>
          </w:p>
          <w:p w14:paraId="271C0C87" w14:textId="6CC4D33C"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3 (18.8)</w:t>
            </w:r>
          </w:p>
        </w:tc>
        <w:tc>
          <w:tcPr>
            <w:tcW w:w="1134" w:type="dxa"/>
          </w:tcPr>
          <w:p w14:paraId="45D32839" w14:textId="77777777" w:rsidR="001A049E" w:rsidRPr="006E2FCB" w:rsidRDefault="001A049E" w:rsidP="001A049E">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b/>
                <w:bCs/>
                <w:sz w:val="18"/>
                <w:szCs w:val="18"/>
              </w:rPr>
            </w:pPr>
          </w:p>
          <w:p w14:paraId="7A196DCF" w14:textId="43342A84" w:rsidR="001A049E" w:rsidRPr="006E2FCB" w:rsidRDefault="001A049E" w:rsidP="001A049E">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b/>
                <w:bCs/>
                <w:sz w:val="18"/>
                <w:szCs w:val="18"/>
              </w:rPr>
            </w:pPr>
            <w:r w:rsidRPr="006E2FCB">
              <w:rPr>
                <w:rFonts w:eastAsia="Times New Roman"/>
                <w:b/>
                <w:bCs/>
                <w:sz w:val="18"/>
                <w:szCs w:val="18"/>
              </w:rPr>
              <w:t>0.007</w:t>
            </w:r>
          </w:p>
        </w:tc>
      </w:tr>
      <w:tr w:rsidR="001A049E" w:rsidRPr="002B4CBE" w14:paraId="036341E7" w14:textId="77777777" w:rsidTr="001A049E">
        <w:trPr>
          <w:trHeight w:val="407"/>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bottom w:val="single" w:sz="4" w:space="0" w:color="auto"/>
            </w:tcBorders>
          </w:tcPr>
          <w:p w14:paraId="3F8568D5"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KOLESTAZ</w:t>
            </w:r>
          </w:p>
          <w:p w14:paraId="3C74B2B2"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1C570746" w14:textId="63F83D9D"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559" w:type="dxa"/>
            <w:noWrap/>
          </w:tcPr>
          <w:p w14:paraId="51BEBF5A" w14:textId="77777777" w:rsidR="001A049E" w:rsidRPr="006E2FCB" w:rsidRDefault="001A049E" w:rsidP="001A049E">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14:paraId="1DBFBF02" w14:textId="77777777"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2 (25)</w:t>
            </w:r>
          </w:p>
          <w:p w14:paraId="600F6500" w14:textId="77777777"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6 (75)</w:t>
            </w:r>
          </w:p>
        </w:tc>
        <w:tc>
          <w:tcPr>
            <w:tcW w:w="1701" w:type="dxa"/>
            <w:noWrap/>
          </w:tcPr>
          <w:p w14:paraId="49A29075" w14:textId="77777777" w:rsidR="001A049E" w:rsidRPr="006E2FCB" w:rsidRDefault="001A049E" w:rsidP="001A049E">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14:paraId="7C8CC213" w14:textId="59006378"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5 (31.3)</w:t>
            </w:r>
          </w:p>
          <w:p w14:paraId="3EFE507C" w14:textId="0FAFB75F"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11 (68.7)</w:t>
            </w:r>
          </w:p>
        </w:tc>
        <w:tc>
          <w:tcPr>
            <w:tcW w:w="1134" w:type="dxa"/>
          </w:tcPr>
          <w:p w14:paraId="50BAE68D" w14:textId="77777777" w:rsidR="001A049E" w:rsidRPr="006E2FCB" w:rsidRDefault="001A049E" w:rsidP="001A049E">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p w14:paraId="3D626902" w14:textId="6C4164A3" w:rsidR="001A049E" w:rsidRPr="006E2FCB" w:rsidRDefault="001A049E" w:rsidP="001A049E">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6E2FCB">
              <w:rPr>
                <w:rFonts w:eastAsia="Times New Roman"/>
                <w:sz w:val="18"/>
                <w:szCs w:val="18"/>
              </w:rPr>
              <w:t>0.8</w:t>
            </w:r>
          </w:p>
        </w:tc>
      </w:tr>
      <w:tr w:rsidR="001A049E" w:rsidRPr="002B4CBE" w14:paraId="653C2F10" w14:textId="77777777" w:rsidTr="001A049E">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bottom w:val="single" w:sz="4" w:space="0" w:color="auto"/>
            </w:tcBorders>
          </w:tcPr>
          <w:p w14:paraId="31B7B7C2"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T HÜCRE ARACILI REJEKSİYON</w:t>
            </w:r>
          </w:p>
          <w:p w14:paraId="76DCB808"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65359346" w14:textId="0C8CFD0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559" w:type="dxa"/>
            <w:noWrap/>
          </w:tcPr>
          <w:p w14:paraId="535FD08D" w14:textId="77777777" w:rsidR="001A049E" w:rsidRPr="006E2FCB" w:rsidRDefault="001A049E" w:rsidP="001A049E">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1DD08F2F" w14:textId="082DF616"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7 (87.5)</w:t>
            </w:r>
          </w:p>
          <w:p w14:paraId="6511CF5F" w14:textId="3318264E"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1 (12.5)</w:t>
            </w:r>
          </w:p>
        </w:tc>
        <w:tc>
          <w:tcPr>
            <w:tcW w:w="1701" w:type="dxa"/>
            <w:noWrap/>
          </w:tcPr>
          <w:p w14:paraId="774D4C6B" w14:textId="77777777" w:rsidR="001A049E" w:rsidRPr="006E2FCB" w:rsidRDefault="001A049E" w:rsidP="001A049E">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2A4D9195" w14:textId="5F83F5CD"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13 (81.3</w:t>
            </w:r>
          </w:p>
          <w:p w14:paraId="36178C22" w14:textId="272C34B4"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3 (18.8)</w:t>
            </w:r>
          </w:p>
        </w:tc>
        <w:tc>
          <w:tcPr>
            <w:tcW w:w="1134" w:type="dxa"/>
          </w:tcPr>
          <w:p w14:paraId="2D2B92E1" w14:textId="77777777" w:rsidR="001A049E" w:rsidRPr="006E2FCB" w:rsidRDefault="001A049E" w:rsidP="001A049E">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p w14:paraId="4067B29E" w14:textId="67627F60" w:rsidR="001A049E" w:rsidRPr="006E2FCB" w:rsidRDefault="001A049E" w:rsidP="001A049E">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6E2FCB">
              <w:rPr>
                <w:rFonts w:eastAsia="Times New Roman"/>
                <w:sz w:val="18"/>
                <w:szCs w:val="18"/>
              </w:rPr>
              <w:t>0.7</w:t>
            </w:r>
          </w:p>
        </w:tc>
      </w:tr>
      <w:tr w:rsidR="001A049E" w:rsidRPr="002B4CBE" w14:paraId="5B1231F7" w14:textId="77777777" w:rsidTr="001A049E">
        <w:trPr>
          <w:trHeight w:val="407"/>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bottom w:val="single" w:sz="4" w:space="0" w:color="auto"/>
            </w:tcBorders>
          </w:tcPr>
          <w:p w14:paraId="7F34A6F6"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DUKTÜLER PROLİFERASYON</w:t>
            </w:r>
          </w:p>
          <w:p w14:paraId="2BF70E49"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6873C3E9" w14:textId="3FEBD6EB"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559" w:type="dxa"/>
            <w:noWrap/>
          </w:tcPr>
          <w:p w14:paraId="3C2FA6CC" w14:textId="77777777" w:rsidR="001A049E" w:rsidRPr="006E2FCB" w:rsidRDefault="001A049E" w:rsidP="001A049E">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14:paraId="0B1EC232" w14:textId="77777777"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4 (50)</w:t>
            </w:r>
          </w:p>
          <w:p w14:paraId="360CA2B9" w14:textId="77777777"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4 (50)</w:t>
            </w:r>
          </w:p>
        </w:tc>
        <w:tc>
          <w:tcPr>
            <w:tcW w:w="1701" w:type="dxa"/>
            <w:noWrap/>
          </w:tcPr>
          <w:p w14:paraId="1DCB73A4" w14:textId="77777777" w:rsidR="001A049E" w:rsidRPr="006E2FCB" w:rsidRDefault="001A049E" w:rsidP="001A049E">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14:paraId="21202BA7" w14:textId="77777777"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8 (50)</w:t>
            </w:r>
          </w:p>
          <w:p w14:paraId="6A376DAC" w14:textId="77777777"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8 (50)</w:t>
            </w:r>
          </w:p>
        </w:tc>
        <w:tc>
          <w:tcPr>
            <w:tcW w:w="1134" w:type="dxa"/>
          </w:tcPr>
          <w:p w14:paraId="7BAE8B8A" w14:textId="77777777" w:rsidR="001A049E" w:rsidRPr="006E2FCB" w:rsidRDefault="001A049E" w:rsidP="001A049E">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p w14:paraId="6B774EAD" w14:textId="77777777" w:rsidR="001A049E" w:rsidRPr="006E2FCB" w:rsidRDefault="001A049E" w:rsidP="001A049E">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6E2FCB">
              <w:rPr>
                <w:rFonts w:eastAsia="Times New Roman"/>
                <w:sz w:val="18"/>
                <w:szCs w:val="18"/>
              </w:rPr>
              <w:t>1</w:t>
            </w:r>
          </w:p>
        </w:tc>
      </w:tr>
      <w:tr w:rsidR="001A049E" w:rsidRPr="002B4CBE" w14:paraId="1353C627" w14:textId="77777777" w:rsidTr="001A049E">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bottom w:val="single" w:sz="4" w:space="0" w:color="auto"/>
            </w:tcBorders>
          </w:tcPr>
          <w:p w14:paraId="37A80267"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DUKTÜLER TIKAÇ</w:t>
            </w:r>
          </w:p>
          <w:p w14:paraId="7BB14C09"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3FF0AE84" w14:textId="5BBEFDA3"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559" w:type="dxa"/>
            <w:noWrap/>
          </w:tcPr>
          <w:p w14:paraId="0F63C763" w14:textId="77777777" w:rsidR="001A049E" w:rsidRPr="006E2FCB" w:rsidRDefault="001A049E" w:rsidP="001A049E">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01E4D4BF" w14:textId="77777777"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8 (100)</w:t>
            </w:r>
          </w:p>
          <w:p w14:paraId="42C24435" w14:textId="77777777"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0</w:t>
            </w:r>
          </w:p>
        </w:tc>
        <w:tc>
          <w:tcPr>
            <w:tcW w:w="1701" w:type="dxa"/>
            <w:noWrap/>
          </w:tcPr>
          <w:p w14:paraId="31BF6E2A" w14:textId="77777777" w:rsidR="001A049E" w:rsidRPr="006E2FCB" w:rsidRDefault="001A049E" w:rsidP="001A049E">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17F201A0" w14:textId="0CF61DCA"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14 (87.5)</w:t>
            </w:r>
          </w:p>
          <w:p w14:paraId="3A350BBA" w14:textId="5DAA2D51"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2 (12.5)</w:t>
            </w:r>
          </w:p>
        </w:tc>
        <w:tc>
          <w:tcPr>
            <w:tcW w:w="1134" w:type="dxa"/>
          </w:tcPr>
          <w:p w14:paraId="722C2A1C" w14:textId="77777777" w:rsidR="001A049E" w:rsidRPr="006E2FCB" w:rsidRDefault="001A049E" w:rsidP="001A049E">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p w14:paraId="200FA5AE" w14:textId="2797386B" w:rsidR="001A049E" w:rsidRPr="006E2FCB" w:rsidRDefault="001A049E" w:rsidP="001A049E">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6E2FCB">
              <w:rPr>
                <w:rFonts w:eastAsia="Times New Roman"/>
                <w:sz w:val="18"/>
                <w:szCs w:val="18"/>
              </w:rPr>
              <w:t>0.3</w:t>
            </w:r>
          </w:p>
        </w:tc>
      </w:tr>
      <w:tr w:rsidR="001A049E" w:rsidRPr="002B4CBE" w14:paraId="72CE4B6C" w14:textId="77777777" w:rsidTr="001A049E">
        <w:trPr>
          <w:trHeight w:val="407"/>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bottom w:val="single" w:sz="4" w:space="0" w:color="auto"/>
            </w:tcBorders>
          </w:tcPr>
          <w:p w14:paraId="506A0D4F"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C4D+</w:t>
            </w:r>
          </w:p>
          <w:p w14:paraId="503FB3F6"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40E9C92C" w14:textId="36E7B511"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559" w:type="dxa"/>
            <w:noWrap/>
          </w:tcPr>
          <w:p w14:paraId="63D773AD" w14:textId="77777777" w:rsidR="001A049E" w:rsidRPr="006E2FCB" w:rsidRDefault="001A049E" w:rsidP="001A049E">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14:paraId="5B7D93C1" w14:textId="6CDC5A5A"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7 (87.5)</w:t>
            </w:r>
          </w:p>
          <w:p w14:paraId="7B9A4021" w14:textId="2C41269E"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1 (12.5)</w:t>
            </w:r>
          </w:p>
        </w:tc>
        <w:tc>
          <w:tcPr>
            <w:tcW w:w="1701" w:type="dxa"/>
            <w:noWrap/>
          </w:tcPr>
          <w:p w14:paraId="679B3D34" w14:textId="77777777" w:rsidR="001A049E" w:rsidRPr="006E2FCB" w:rsidRDefault="001A049E" w:rsidP="001A049E">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14:paraId="4987E09C" w14:textId="149A0258"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13 (81.3)</w:t>
            </w:r>
          </w:p>
          <w:p w14:paraId="7CC0B003" w14:textId="2CC4ABBF" w:rsidR="001A049E" w:rsidRPr="006E2FCB" w:rsidRDefault="001A049E" w:rsidP="001A049E">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3 (18.7)</w:t>
            </w:r>
          </w:p>
        </w:tc>
        <w:tc>
          <w:tcPr>
            <w:tcW w:w="1134" w:type="dxa"/>
          </w:tcPr>
          <w:p w14:paraId="2358737A" w14:textId="77777777" w:rsidR="001A049E" w:rsidRPr="006E2FCB" w:rsidRDefault="001A049E" w:rsidP="001A049E">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p w14:paraId="072D6026" w14:textId="3B62C20C" w:rsidR="001A049E" w:rsidRPr="006E2FCB" w:rsidRDefault="001A049E" w:rsidP="001A049E">
            <w:pPr>
              <w:spacing w:line="276" w:lineRule="auto"/>
              <w:ind w:right="360" w:firstLine="0"/>
              <w:jc w:val="left"/>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6E2FCB">
              <w:rPr>
                <w:rFonts w:eastAsia="Times New Roman"/>
                <w:sz w:val="18"/>
                <w:szCs w:val="18"/>
              </w:rPr>
              <w:t>0.7</w:t>
            </w:r>
          </w:p>
        </w:tc>
      </w:tr>
      <w:tr w:rsidR="001A049E" w:rsidRPr="002B4CBE" w14:paraId="0F6E5F4D" w14:textId="77777777" w:rsidTr="001A049E">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tcBorders>
          </w:tcPr>
          <w:p w14:paraId="05F0DA7D"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STEATOZ</w:t>
            </w:r>
          </w:p>
          <w:p w14:paraId="6E328ED3"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0522B29C" w14:textId="249E21FA"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559" w:type="dxa"/>
            <w:noWrap/>
          </w:tcPr>
          <w:p w14:paraId="1F2AD0E2" w14:textId="77777777" w:rsidR="001A049E" w:rsidRPr="006E2FCB" w:rsidRDefault="001A049E" w:rsidP="001A049E">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489C2925" w14:textId="77777777"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6 (75)</w:t>
            </w:r>
          </w:p>
          <w:p w14:paraId="29E34F61" w14:textId="77777777"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2 (25)</w:t>
            </w:r>
          </w:p>
        </w:tc>
        <w:tc>
          <w:tcPr>
            <w:tcW w:w="1701" w:type="dxa"/>
            <w:noWrap/>
          </w:tcPr>
          <w:p w14:paraId="1068F50A" w14:textId="77777777" w:rsidR="001A049E" w:rsidRPr="006E2FCB" w:rsidRDefault="001A049E" w:rsidP="001A049E">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258D27F9" w14:textId="0DA647AE"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9 (56.3)</w:t>
            </w:r>
          </w:p>
          <w:p w14:paraId="33433CCC" w14:textId="2B0D3075" w:rsidR="001A049E" w:rsidRPr="006E2FCB" w:rsidRDefault="001A049E" w:rsidP="001A049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7 (43.7)</w:t>
            </w:r>
          </w:p>
        </w:tc>
        <w:tc>
          <w:tcPr>
            <w:tcW w:w="1134" w:type="dxa"/>
          </w:tcPr>
          <w:p w14:paraId="1352DA2D" w14:textId="77777777" w:rsidR="001A049E" w:rsidRPr="006E2FCB" w:rsidRDefault="001A049E" w:rsidP="001A049E">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p w14:paraId="35802092" w14:textId="623128D2" w:rsidR="001A049E" w:rsidRPr="006E2FCB" w:rsidRDefault="001A049E" w:rsidP="001A049E">
            <w:pPr>
              <w:spacing w:line="276" w:lineRule="auto"/>
              <w:ind w:right="360" w:firstLine="0"/>
              <w:jc w:val="left"/>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6E2FCB">
              <w:rPr>
                <w:rFonts w:eastAsia="Times New Roman"/>
                <w:sz w:val="18"/>
                <w:szCs w:val="18"/>
              </w:rPr>
              <w:t>0.4</w:t>
            </w:r>
          </w:p>
        </w:tc>
      </w:tr>
    </w:tbl>
    <w:p w14:paraId="7318C329" w14:textId="77777777" w:rsidR="00BC5AD2" w:rsidRDefault="00BC5AD2" w:rsidP="00BC5AD2"/>
    <w:p w14:paraId="3BF1A8BD" w14:textId="65FCFA3A" w:rsidR="00B86979" w:rsidRDefault="00B86979" w:rsidP="00B86979"/>
    <w:p w14:paraId="439A4542" w14:textId="417DBA57" w:rsidR="00A2588E" w:rsidRDefault="009C74FB" w:rsidP="009C74FB">
      <w:pPr>
        <w:pStyle w:val="ResimYazs"/>
        <w:rPr>
          <w:i w:val="0"/>
          <w:color w:val="auto"/>
          <w:sz w:val="24"/>
          <w:szCs w:val="24"/>
        </w:rPr>
      </w:pPr>
      <w:bookmarkStart w:id="573" w:name="_Toc49818033"/>
      <w:r w:rsidRPr="009C74FB">
        <w:rPr>
          <w:i w:val="0"/>
          <w:color w:val="auto"/>
          <w:sz w:val="24"/>
          <w:szCs w:val="24"/>
        </w:rPr>
        <w:lastRenderedPageBreak/>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18</w:t>
      </w:r>
      <w:r w:rsidR="002B4CBE">
        <w:rPr>
          <w:i w:val="0"/>
          <w:color w:val="auto"/>
          <w:sz w:val="24"/>
          <w:szCs w:val="24"/>
        </w:rPr>
        <w:fldChar w:fldCharType="end"/>
      </w:r>
      <w:r w:rsidR="00577288">
        <w:rPr>
          <w:i w:val="0"/>
          <w:color w:val="auto"/>
          <w:sz w:val="24"/>
          <w:szCs w:val="24"/>
        </w:rPr>
        <w:t xml:space="preserve"> Cinsiyet </w:t>
      </w:r>
      <w:r w:rsidR="007235C8">
        <w:rPr>
          <w:i w:val="0"/>
          <w:color w:val="auto"/>
          <w:sz w:val="24"/>
          <w:szCs w:val="24"/>
        </w:rPr>
        <w:t>Grubu ve</w:t>
      </w:r>
      <w:r w:rsidR="007235C8" w:rsidRPr="009C74FB">
        <w:rPr>
          <w:i w:val="0"/>
          <w:color w:val="auto"/>
          <w:sz w:val="24"/>
          <w:szCs w:val="24"/>
        </w:rPr>
        <w:t xml:space="preserve"> </w:t>
      </w:r>
      <w:r w:rsidR="007235C8">
        <w:rPr>
          <w:i w:val="0"/>
          <w:color w:val="auto"/>
          <w:sz w:val="24"/>
          <w:szCs w:val="24"/>
        </w:rPr>
        <w:t>Işık Mikroskopisi</w:t>
      </w:r>
      <w:r w:rsidR="007235C8" w:rsidRPr="009C74FB">
        <w:rPr>
          <w:i w:val="0"/>
          <w:color w:val="auto"/>
          <w:sz w:val="24"/>
          <w:szCs w:val="24"/>
        </w:rPr>
        <w:t xml:space="preserve"> Bulguların</w:t>
      </w:r>
      <w:r w:rsidR="007235C8">
        <w:rPr>
          <w:i w:val="0"/>
          <w:color w:val="auto"/>
          <w:sz w:val="24"/>
          <w:szCs w:val="24"/>
        </w:rPr>
        <w:t>ın</w:t>
      </w:r>
      <w:r w:rsidR="007235C8" w:rsidRPr="009C74FB">
        <w:rPr>
          <w:i w:val="0"/>
          <w:color w:val="auto"/>
          <w:sz w:val="24"/>
          <w:szCs w:val="24"/>
        </w:rPr>
        <w:t xml:space="preserve"> Karşılaştırılması</w:t>
      </w:r>
      <w:bookmarkEnd w:id="573"/>
    </w:p>
    <w:tbl>
      <w:tblPr>
        <w:tblStyle w:val="DzTablo5"/>
        <w:tblW w:w="7655" w:type="dxa"/>
        <w:tblLayout w:type="fixed"/>
        <w:tblLook w:val="04A0" w:firstRow="1" w:lastRow="0" w:firstColumn="1" w:lastColumn="0" w:noHBand="0" w:noVBand="1"/>
      </w:tblPr>
      <w:tblGrid>
        <w:gridCol w:w="3261"/>
        <w:gridCol w:w="1701"/>
        <w:gridCol w:w="1559"/>
        <w:gridCol w:w="1134"/>
      </w:tblGrid>
      <w:tr w:rsidR="009C74FB" w:rsidRPr="006E2FCB" w14:paraId="3DAE5207" w14:textId="77777777" w:rsidTr="002B4CBE">
        <w:trPr>
          <w:cnfStyle w:val="100000000000" w:firstRow="1" w:lastRow="0" w:firstColumn="0" w:lastColumn="0" w:oddVBand="0" w:evenVBand="0" w:oddHBand="0" w:evenHBand="0" w:firstRowFirstColumn="0" w:firstRowLastColumn="0" w:lastRowFirstColumn="0" w:lastRowLastColumn="0"/>
          <w:trHeight w:val="359"/>
        </w:trPr>
        <w:tc>
          <w:tcPr>
            <w:cnfStyle w:val="001000000100" w:firstRow="0" w:lastRow="0" w:firstColumn="1" w:lastColumn="0" w:oddVBand="0" w:evenVBand="0" w:oddHBand="0" w:evenHBand="0" w:firstRowFirstColumn="1" w:firstRowLastColumn="0" w:lastRowFirstColumn="0" w:lastRowLastColumn="0"/>
            <w:tcW w:w="3261" w:type="dxa"/>
            <w:hideMark/>
          </w:tcPr>
          <w:p w14:paraId="2B65C82A" w14:textId="77777777" w:rsidR="009C74FB" w:rsidRPr="006E2FCB" w:rsidRDefault="009C74FB" w:rsidP="009C74FB">
            <w:pPr>
              <w:rPr>
                <w:rFonts w:eastAsia="Times New Roman"/>
                <w:b/>
                <w:bCs/>
                <w:i w:val="0"/>
                <w:sz w:val="18"/>
                <w:szCs w:val="18"/>
              </w:rPr>
            </w:pPr>
          </w:p>
        </w:tc>
        <w:tc>
          <w:tcPr>
            <w:tcW w:w="1701" w:type="dxa"/>
            <w:hideMark/>
          </w:tcPr>
          <w:p w14:paraId="7ABCC60D" w14:textId="77777777" w:rsidR="009C74FB" w:rsidRPr="006E2FCB" w:rsidRDefault="009C74FB" w:rsidP="009C74FB">
            <w:pPr>
              <w:ind w:firstLine="0"/>
              <w:cnfStyle w:val="100000000000" w:firstRow="1" w:lastRow="0" w:firstColumn="0" w:lastColumn="0" w:oddVBand="0" w:evenVBand="0" w:oddHBand="0" w:evenHBand="0" w:firstRowFirstColumn="0" w:firstRowLastColumn="0" w:lastRowFirstColumn="0" w:lastRowLastColumn="0"/>
              <w:rPr>
                <w:rFonts w:eastAsia="Times New Roman"/>
                <w:b/>
                <w:bCs/>
                <w:i w:val="0"/>
                <w:sz w:val="18"/>
                <w:szCs w:val="18"/>
              </w:rPr>
            </w:pPr>
            <w:r w:rsidRPr="006E2FCB">
              <w:rPr>
                <w:rFonts w:eastAsia="Times New Roman"/>
                <w:b/>
                <w:bCs/>
                <w:i w:val="0"/>
                <w:sz w:val="18"/>
                <w:szCs w:val="18"/>
              </w:rPr>
              <w:t xml:space="preserve">KADIN n=11 </w:t>
            </w:r>
          </w:p>
        </w:tc>
        <w:tc>
          <w:tcPr>
            <w:tcW w:w="1559" w:type="dxa"/>
            <w:hideMark/>
          </w:tcPr>
          <w:p w14:paraId="3706D5E9" w14:textId="77777777" w:rsidR="009C74FB" w:rsidRPr="006E2FCB" w:rsidRDefault="009C74FB" w:rsidP="003B3A1A">
            <w:pPr>
              <w:ind w:firstLine="0"/>
              <w:cnfStyle w:val="100000000000" w:firstRow="1" w:lastRow="0" w:firstColumn="0" w:lastColumn="0" w:oddVBand="0" w:evenVBand="0" w:oddHBand="0" w:evenHBand="0" w:firstRowFirstColumn="0" w:firstRowLastColumn="0" w:lastRowFirstColumn="0" w:lastRowLastColumn="0"/>
              <w:rPr>
                <w:rFonts w:eastAsia="Times New Roman"/>
                <w:b/>
                <w:bCs/>
                <w:i w:val="0"/>
                <w:sz w:val="18"/>
                <w:szCs w:val="18"/>
              </w:rPr>
            </w:pPr>
            <w:r w:rsidRPr="006E2FCB">
              <w:rPr>
                <w:rFonts w:eastAsia="Times New Roman"/>
                <w:b/>
                <w:bCs/>
                <w:i w:val="0"/>
                <w:sz w:val="18"/>
                <w:szCs w:val="18"/>
              </w:rPr>
              <w:t>ERKEK n=13</w:t>
            </w:r>
          </w:p>
        </w:tc>
        <w:tc>
          <w:tcPr>
            <w:tcW w:w="1134" w:type="dxa"/>
          </w:tcPr>
          <w:p w14:paraId="1C4928C8" w14:textId="77777777" w:rsidR="009C74FB" w:rsidRPr="006E2FCB" w:rsidRDefault="009C74FB" w:rsidP="009C74FB">
            <w:pPr>
              <w:ind w:firstLine="0"/>
              <w:cnfStyle w:val="100000000000" w:firstRow="1" w:lastRow="0" w:firstColumn="0" w:lastColumn="0" w:oddVBand="0" w:evenVBand="0" w:oddHBand="0" w:evenHBand="0" w:firstRowFirstColumn="0" w:firstRowLastColumn="0" w:lastRowFirstColumn="0" w:lastRowLastColumn="0"/>
              <w:rPr>
                <w:rFonts w:eastAsia="Times New Roman"/>
                <w:b/>
                <w:bCs/>
                <w:i w:val="0"/>
                <w:sz w:val="18"/>
                <w:szCs w:val="18"/>
              </w:rPr>
            </w:pPr>
            <w:r w:rsidRPr="006E2FCB">
              <w:rPr>
                <w:rFonts w:eastAsia="Times New Roman"/>
                <w:b/>
                <w:bCs/>
                <w:i w:val="0"/>
                <w:sz w:val="18"/>
                <w:szCs w:val="18"/>
              </w:rPr>
              <w:t>p&lt;0.05</w:t>
            </w:r>
          </w:p>
        </w:tc>
      </w:tr>
      <w:tr w:rsidR="001A049E" w:rsidRPr="006E2FCB" w14:paraId="7D411FB9" w14:textId="77777777" w:rsidTr="002B4CBE">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7F7F7F" w:themeColor="text1" w:themeTint="80"/>
              <w:bottom w:val="single" w:sz="4" w:space="0" w:color="auto"/>
            </w:tcBorders>
          </w:tcPr>
          <w:p w14:paraId="6C980658"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İSKEMİK NEKROZ</w:t>
            </w:r>
          </w:p>
          <w:p w14:paraId="1F384286"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5745D12B" w14:textId="4C5CDF87" w:rsidR="001A049E" w:rsidRPr="006E2FCB" w:rsidRDefault="001A049E" w:rsidP="001A049E">
            <w:pPr>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2C7638B0" w14:textId="77777777" w:rsidR="001A049E" w:rsidRPr="006E2FCB" w:rsidRDefault="001A049E" w:rsidP="001A049E">
            <w:pPr>
              <w:jc w:val="center"/>
              <w:cnfStyle w:val="000000100000" w:firstRow="0" w:lastRow="0" w:firstColumn="0" w:lastColumn="0" w:oddVBand="0" w:evenVBand="0" w:oddHBand="1" w:evenHBand="0" w:firstRowFirstColumn="0" w:firstRowLastColumn="0" w:lastRowFirstColumn="0" w:lastRowLastColumn="0"/>
              <w:rPr>
                <w:sz w:val="18"/>
                <w:szCs w:val="18"/>
              </w:rPr>
            </w:pPr>
          </w:p>
          <w:p w14:paraId="4E697827" w14:textId="77777777" w:rsidR="001A049E" w:rsidRPr="006E2FCB" w:rsidRDefault="001A049E" w:rsidP="001A049E">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8 (72.7%)</w:t>
            </w:r>
          </w:p>
          <w:p w14:paraId="3F333D32" w14:textId="77777777" w:rsidR="001A049E" w:rsidRPr="006E2FCB" w:rsidRDefault="001A049E" w:rsidP="001A049E">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3 (27.3%)</w:t>
            </w:r>
          </w:p>
        </w:tc>
        <w:tc>
          <w:tcPr>
            <w:tcW w:w="1559" w:type="dxa"/>
            <w:noWrap/>
          </w:tcPr>
          <w:p w14:paraId="2BBF7684" w14:textId="77777777" w:rsidR="001A049E" w:rsidRPr="006E2FCB" w:rsidRDefault="001A049E" w:rsidP="001A049E">
            <w:pPr>
              <w:jc w:val="left"/>
              <w:cnfStyle w:val="000000100000" w:firstRow="0" w:lastRow="0" w:firstColumn="0" w:lastColumn="0" w:oddVBand="0" w:evenVBand="0" w:oddHBand="1" w:evenHBand="0" w:firstRowFirstColumn="0" w:firstRowLastColumn="0" w:lastRowFirstColumn="0" w:lastRowLastColumn="0"/>
              <w:rPr>
                <w:sz w:val="18"/>
                <w:szCs w:val="18"/>
              </w:rPr>
            </w:pPr>
          </w:p>
          <w:p w14:paraId="6B326723" w14:textId="77777777" w:rsidR="001A049E" w:rsidRPr="006E2FCB" w:rsidRDefault="001A049E" w:rsidP="001A049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7 (53.8%)</w:t>
            </w:r>
          </w:p>
          <w:p w14:paraId="07ABAAF8" w14:textId="77777777" w:rsidR="001A049E" w:rsidRPr="006E2FCB" w:rsidRDefault="001A049E" w:rsidP="001A049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6 (46.2%)</w:t>
            </w:r>
          </w:p>
        </w:tc>
        <w:tc>
          <w:tcPr>
            <w:tcW w:w="1134" w:type="dxa"/>
          </w:tcPr>
          <w:p w14:paraId="25075990" w14:textId="77777777" w:rsidR="006D0855" w:rsidRPr="006E2FCB" w:rsidRDefault="006D0855" w:rsidP="001A049E">
            <w:pPr>
              <w:ind w:right="360" w:firstLine="0"/>
              <w:cnfStyle w:val="000000100000" w:firstRow="0" w:lastRow="0" w:firstColumn="0" w:lastColumn="0" w:oddVBand="0" w:evenVBand="0" w:oddHBand="1" w:evenHBand="0" w:firstRowFirstColumn="0" w:firstRowLastColumn="0" w:lastRowFirstColumn="0" w:lastRowLastColumn="0"/>
              <w:rPr>
                <w:rFonts w:eastAsia="Times New Roman"/>
                <w:bCs/>
                <w:sz w:val="18"/>
                <w:szCs w:val="18"/>
              </w:rPr>
            </w:pPr>
          </w:p>
          <w:p w14:paraId="5FCAAC4E" w14:textId="77777777" w:rsidR="001A049E" w:rsidRPr="006E2FCB" w:rsidRDefault="001A049E" w:rsidP="001A049E">
            <w:pPr>
              <w:ind w:right="360" w:firstLine="0"/>
              <w:cnfStyle w:val="000000100000" w:firstRow="0" w:lastRow="0" w:firstColumn="0" w:lastColumn="0" w:oddVBand="0" w:evenVBand="0" w:oddHBand="1" w:evenHBand="0" w:firstRowFirstColumn="0" w:firstRowLastColumn="0" w:lastRowFirstColumn="0" w:lastRowLastColumn="0"/>
              <w:rPr>
                <w:rFonts w:eastAsia="Times New Roman"/>
                <w:bCs/>
                <w:sz w:val="18"/>
                <w:szCs w:val="18"/>
              </w:rPr>
            </w:pPr>
            <w:r w:rsidRPr="006E2FCB">
              <w:rPr>
                <w:rFonts w:eastAsia="Times New Roman"/>
                <w:bCs/>
                <w:sz w:val="18"/>
                <w:szCs w:val="18"/>
              </w:rPr>
              <w:t>0.34</w:t>
            </w:r>
          </w:p>
        </w:tc>
      </w:tr>
      <w:tr w:rsidR="001A049E" w:rsidRPr="006E2FCB" w14:paraId="7D7765CB" w14:textId="77777777" w:rsidTr="002B4CBE">
        <w:trPr>
          <w:trHeight w:val="359"/>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bottom w:val="single" w:sz="4" w:space="0" w:color="auto"/>
            </w:tcBorders>
          </w:tcPr>
          <w:p w14:paraId="45AAAB6C"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KOLESTAZ</w:t>
            </w:r>
          </w:p>
          <w:p w14:paraId="3F7F15DE"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4710A41B" w14:textId="0976B201"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5C982FBE" w14:textId="77777777" w:rsidR="001A049E" w:rsidRPr="006E2FCB" w:rsidRDefault="001A049E" w:rsidP="001A049E">
            <w:pPr>
              <w:jc w:val="center"/>
              <w:cnfStyle w:val="000000000000" w:firstRow="0" w:lastRow="0" w:firstColumn="0" w:lastColumn="0" w:oddVBand="0" w:evenVBand="0" w:oddHBand="0" w:evenHBand="0" w:firstRowFirstColumn="0" w:firstRowLastColumn="0" w:lastRowFirstColumn="0" w:lastRowLastColumn="0"/>
              <w:rPr>
                <w:sz w:val="18"/>
                <w:szCs w:val="18"/>
              </w:rPr>
            </w:pPr>
          </w:p>
          <w:p w14:paraId="556C7B40" w14:textId="77777777" w:rsidR="001A049E" w:rsidRPr="006E2FCB" w:rsidRDefault="001A049E" w:rsidP="001A049E">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4 (36.4%)</w:t>
            </w:r>
          </w:p>
          <w:p w14:paraId="6474833D" w14:textId="3DC13512" w:rsidR="001A049E" w:rsidRPr="006E2FCB" w:rsidRDefault="001A049E" w:rsidP="001A049E">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7 (63.6%)</w:t>
            </w:r>
          </w:p>
        </w:tc>
        <w:tc>
          <w:tcPr>
            <w:tcW w:w="1559" w:type="dxa"/>
            <w:noWrap/>
          </w:tcPr>
          <w:p w14:paraId="381DBFD1" w14:textId="77777777" w:rsidR="001A049E" w:rsidRPr="006E2FCB" w:rsidRDefault="001A049E" w:rsidP="001A049E">
            <w:pPr>
              <w:jc w:val="left"/>
              <w:cnfStyle w:val="000000000000" w:firstRow="0" w:lastRow="0" w:firstColumn="0" w:lastColumn="0" w:oddVBand="0" w:evenVBand="0" w:oddHBand="0" w:evenHBand="0" w:firstRowFirstColumn="0" w:firstRowLastColumn="0" w:lastRowFirstColumn="0" w:lastRowLastColumn="0"/>
              <w:rPr>
                <w:sz w:val="18"/>
                <w:szCs w:val="18"/>
              </w:rPr>
            </w:pPr>
          </w:p>
          <w:p w14:paraId="68548B51" w14:textId="77777777" w:rsidR="001A049E" w:rsidRPr="006E2FCB" w:rsidRDefault="001A049E" w:rsidP="001A049E">
            <w:pPr>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3 (23.1%)</w:t>
            </w:r>
          </w:p>
          <w:p w14:paraId="64DB966C" w14:textId="0E718CD4" w:rsidR="001A049E" w:rsidRPr="006E2FCB" w:rsidRDefault="001A049E" w:rsidP="001A049E">
            <w:pPr>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10 (76.9%)</w:t>
            </w:r>
          </w:p>
        </w:tc>
        <w:tc>
          <w:tcPr>
            <w:tcW w:w="1134" w:type="dxa"/>
          </w:tcPr>
          <w:p w14:paraId="2603BF55" w14:textId="77777777" w:rsidR="006D0855" w:rsidRPr="006E2FCB" w:rsidRDefault="006D0855" w:rsidP="001A049E">
            <w:pPr>
              <w:ind w:right="360" w:firstLine="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p w14:paraId="57269037" w14:textId="353451CC" w:rsidR="001A049E" w:rsidRPr="006E2FCB" w:rsidRDefault="001A049E" w:rsidP="001A049E">
            <w:pPr>
              <w:ind w:right="360" w:firstLine="0"/>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sidRPr="006E2FCB">
              <w:rPr>
                <w:rFonts w:eastAsia="Times New Roman"/>
                <w:sz w:val="18"/>
                <w:szCs w:val="18"/>
              </w:rPr>
              <w:t>0.47</w:t>
            </w:r>
          </w:p>
        </w:tc>
      </w:tr>
      <w:tr w:rsidR="001A049E" w:rsidRPr="006E2FCB" w14:paraId="1EF97AC4" w14:textId="77777777" w:rsidTr="002B4CBE">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bottom w:val="single" w:sz="4" w:space="0" w:color="auto"/>
            </w:tcBorders>
          </w:tcPr>
          <w:p w14:paraId="3530BAB3"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T HÜCRE ARACILI REJEKSİYON</w:t>
            </w:r>
          </w:p>
          <w:p w14:paraId="29773C8C"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06AFEAE1" w14:textId="5E5A8054" w:rsidR="001A049E" w:rsidRPr="006E2FCB" w:rsidRDefault="001A049E" w:rsidP="001A049E">
            <w:pPr>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25D2705D" w14:textId="77777777" w:rsidR="001A049E" w:rsidRPr="006E2FCB" w:rsidRDefault="001A049E" w:rsidP="001A049E">
            <w:pPr>
              <w:jc w:val="center"/>
              <w:cnfStyle w:val="000000100000" w:firstRow="0" w:lastRow="0" w:firstColumn="0" w:lastColumn="0" w:oddVBand="0" w:evenVBand="0" w:oddHBand="1" w:evenHBand="0" w:firstRowFirstColumn="0" w:firstRowLastColumn="0" w:lastRowFirstColumn="0" w:lastRowLastColumn="0"/>
              <w:rPr>
                <w:sz w:val="18"/>
                <w:szCs w:val="18"/>
              </w:rPr>
            </w:pPr>
          </w:p>
          <w:p w14:paraId="152D6339" w14:textId="77777777" w:rsidR="001A049E" w:rsidRPr="006E2FCB" w:rsidRDefault="001A049E" w:rsidP="001A049E">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10 (90.9%)</w:t>
            </w:r>
          </w:p>
          <w:p w14:paraId="09444778" w14:textId="77777777" w:rsidR="001A049E" w:rsidRPr="006E2FCB" w:rsidRDefault="001A049E" w:rsidP="001A049E">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1 (9.1%)</w:t>
            </w:r>
          </w:p>
        </w:tc>
        <w:tc>
          <w:tcPr>
            <w:tcW w:w="1559" w:type="dxa"/>
            <w:noWrap/>
          </w:tcPr>
          <w:p w14:paraId="1B767E31" w14:textId="77777777" w:rsidR="001A049E" w:rsidRPr="006E2FCB" w:rsidRDefault="001A049E" w:rsidP="001A049E">
            <w:pPr>
              <w:jc w:val="left"/>
              <w:cnfStyle w:val="000000100000" w:firstRow="0" w:lastRow="0" w:firstColumn="0" w:lastColumn="0" w:oddVBand="0" w:evenVBand="0" w:oddHBand="1" w:evenHBand="0" w:firstRowFirstColumn="0" w:firstRowLastColumn="0" w:lastRowFirstColumn="0" w:lastRowLastColumn="0"/>
              <w:rPr>
                <w:sz w:val="18"/>
                <w:szCs w:val="18"/>
              </w:rPr>
            </w:pPr>
          </w:p>
          <w:p w14:paraId="2BD3EF19" w14:textId="77777777" w:rsidR="001A049E" w:rsidRPr="006E2FCB" w:rsidRDefault="001A049E" w:rsidP="001A049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10 (76.9%)</w:t>
            </w:r>
          </w:p>
          <w:p w14:paraId="7C886EFD" w14:textId="77777777" w:rsidR="001A049E" w:rsidRPr="006E2FCB" w:rsidRDefault="001A049E" w:rsidP="001A049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3 (23.1%)</w:t>
            </w:r>
          </w:p>
        </w:tc>
        <w:tc>
          <w:tcPr>
            <w:tcW w:w="1134" w:type="dxa"/>
          </w:tcPr>
          <w:p w14:paraId="78CFF2EF" w14:textId="77777777" w:rsidR="006D0855" w:rsidRPr="006E2FCB" w:rsidRDefault="006D0855" w:rsidP="001A049E">
            <w:pPr>
              <w:ind w:right="360" w:firstLine="0"/>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p w14:paraId="1916E91B" w14:textId="77777777" w:rsidR="001A049E" w:rsidRPr="006E2FCB" w:rsidRDefault="001A049E" w:rsidP="001A049E">
            <w:pPr>
              <w:ind w:right="360" w:firstLine="0"/>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6E2FCB">
              <w:rPr>
                <w:rFonts w:eastAsia="Times New Roman"/>
                <w:sz w:val="18"/>
                <w:szCs w:val="18"/>
              </w:rPr>
              <w:t>0.36</w:t>
            </w:r>
          </w:p>
        </w:tc>
      </w:tr>
      <w:tr w:rsidR="001A049E" w:rsidRPr="006E2FCB" w14:paraId="0A1B7816" w14:textId="77777777" w:rsidTr="002B4CBE">
        <w:trPr>
          <w:trHeight w:val="359"/>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bottom w:val="single" w:sz="4" w:space="0" w:color="auto"/>
            </w:tcBorders>
          </w:tcPr>
          <w:p w14:paraId="215B2FA7"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DUKTÜLER PROLİFERASYON</w:t>
            </w:r>
          </w:p>
          <w:p w14:paraId="423FDF80"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38FE35DB" w14:textId="276E166E" w:rsidR="001A049E" w:rsidRPr="006E2FCB" w:rsidRDefault="001A049E" w:rsidP="001A049E">
            <w:pPr>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0B64EFFF" w14:textId="77777777" w:rsidR="001A049E" w:rsidRPr="006E2FCB" w:rsidRDefault="001A049E" w:rsidP="001A049E">
            <w:pPr>
              <w:jc w:val="center"/>
              <w:cnfStyle w:val="000000000000" w:firstRow="0" w:lastRow="0" w:firstColumn="0" w:lastColumn="0" w:oddVBand="0" w:evenVBand="0" w:oddHBand="0" w:evenHBand="0" w:firstRowFirstColumn="0" w:firstRowLastColumn="0" w:lastRowFirstColumn="0" w:lastRowLastColumn="0"/>
              <w:rPr>
                <w:sz w:val="18"/>
                <w:szCs w:val="18"/>
              </w:rPr>
            </w:pPr>
          </w:p>
          <w:p w14:paraId="3A57D085" w14:textId="77777777" w:rsidR="001A049E" w:rsidRPr="006E2FCB" w:rsidRDefault="001A049E" w:rsidP="001A049E">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5 (45.5%)</w:t>
            </w:r>
          </w:p>
          <w:p w14:paraId="55E751B6" w14:textId="77777777" w:rsidR="001A049E" w:rsidRPr="006E2FCB" w:rsidRDefault="001A049E" w:rsidP="001A049E">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6 (54.5%)</w:t>
            </w:r>
          </w:p>
        </w:tc>
        <w:tc>
          <w:tcPr>
            <w:tcW w:w="1559" w:type="dxa"/>
            <w:noWrap/>
          </w:tcPr>
          <w:p w14:paraId="26369354" w14:textId="77777777" w:rsidR="001A049E" w:rsidRPr="006E2FCB" w:rsidRDefault="001A049E" w:rsidP="001A049E">
            <w:pPr>
              <w:jc w:val="left"/>
              <w:cnfStyle w:val="000000000000" w:firstRow="0" w:lastRow="0" w:firstColumn="0" w:lastColumn="0" w:oddVBand="0" w:evenVBand="0" w:oddHBand="0" w:evenHBand="0" w:firstRowFirstColumn="0" w:firstRowLastColumn="0" w:lastRowFirstColumn="0" w:lastRowLastColumn="0"/>
              <w:rPr>
                <w:sz w:val="18"/>
                <w:szCs w:val="18"/>
              </w:rPr>
            </w:pPr>
          </w:p>
          <w:p w14:paraId="16BEB9B0" w14:textId="77777777" w:rsidR="001A049E" w:rsidRPr="006E2FCB" w:rsidRDefault="001A049E" w:rsidP="001A049E">
            <w:pPr>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7 (53.8%)</w:t>
            </w:r>
          </w:p>
          <w:p w14:paraId="2DE642F2" w14:textId="77777777" w:rsidR="001A049E" w:rsidRPr="006E2FCB" w:rsidRDefault="001A049E" w:rsidP="001A049E">
            <w:pPr>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6 (46.2%)</w:t>
            </w:r>
          </w:p>
        </w:tc>
        <w:tc>
          <w:tcPr>
            <w:tcW w:w="1134" w:type="dxa"/>
          </w:tcPr>
          <w:p w14:paraId="5CA7B538" w14:textId="77777777" w:rsidR="006D0855" w:rsidRPr="006E2FCB" w:rsidRDefault="006D0855" w:rsidP="001A049E">
            <w:pPr>
              <w:ind w:right="360" w:firstLine="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p w14:paraId="75A3059E" w14:textId="77777777" w:rsidR="001A049E" w:rsidRPr="006E2FCB" w:rsidRDefault="001A049E" w:rsidP="001A049E">
            <w:pPr>
              <w:ind w:right="360" w:firstLine="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6E2FCB">
              <w:rPr>
                <w:rFonts w:eastAsia="Times New Roman"/>
                <w:sz w:val="18"/>
                <w:szCs w:val="18"/>
              </w:rPr>
              <w:t>0.68</w:t>
            </w:r>
          </w:p>
        </w:tc>
      </w:tr>
      <w:tr w:rsidR="001A049E" w:rsidRPr="006E2FCB" w14:paraId="28F939BF" w14:textId="77777777" w:rsidTr="002B4CBE">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bottom w:val="single" w:sz="4" w:space="0" w:color="auto"/>
            </w:tcBorders>
          </w:tcPr>
          <w:p w14:paraId="7338E6FF"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DUKTÜLER TIKAÇ</w:t>
            </w:r>
          </w:p>
          <w:p w14:paraId="6902CA4E"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759DC2F7" w14:textId="2B181457" w:rsidR="001A049E" w:rsidRPr="006E2FCB" w:rsidRDefault="001A049E" w:rsidP="001A049E">
            <w:pPr>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404D6F52" w14:textId="77777777" w:rsidR="001A049E" w:rsidRPr="006E2FCB" w:rsidRDefault="001A049E" w:rsidP="001A049E">
            <w:pPr>
              <w:jc w:val="center"/>
              <w:cnfStyle w:val="000000100000" w:firstRow="0" w:lastRow="0" w:firstColumn="0" w:lastColumn="0" w:oddVBand="0" w:evenVBand="0" w:oddHBand="1" w:evenHBand="0" w:firstRowFirstColumn="0" w:firstRowLastColumn="0" w:lastRowFirstColumn="0" w:lastRowLastColumn="0"/>
              <w:rPr>
                <w:sz w:val="18"/>
                <w:szCs w:val="18"/>
              </w:rPr>
            </w:pPr>
          </w:p>
          <w:p w14:paraId="75B484B6" w14:textId="77777777" w:rsidR="001A049E" w:rsidRPr="006E2FCB" w:rsidRDefault="001A049E" w:rsidP="001A049E">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10 (90.9%)</w:t>
            </w:r>
          </w:p>
          <w:p w14:paraId="295437D9" w14:textId="77777777" w:rsidR="001A049E" w:rsidRPr="006E2FCB" w:rsidRDefault="001A049E" w:rsidP="001A049E">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1 (9.1%)</w:t>
            </w:r>
          </w:p>
        </w:tc>
        <w:tc>
          <w:tcPr>
            <w:tcW w:w="1559" w:type="dxa"/>
            <w:noWrap/>
          </w:tcPr>
          <w:p w14:paraId="1EEF51E1" w14:textId="77777777" w:rsidR="001A049E" w:rsidRPr="006E2FCB" w:rsidRDefault="001A049E" w:rsidP="001A049E">
            <w:pPr>
              <w:jc w:val="left"/>
              <w:cnfStyle w:val="000000100000" w:firstRow="0" w:lastRow="0" w:firstColumn="0" w:lastColumn="0" w:oddVBand="0" w:evenVBand="0" w:oddHBand="1" w:evenHBand="0" w:firstRowFirstColumn="0" w:firstRowLastColumn="0" w:lastRowFirstColumn="0" w:lastRowLastColumn="0"/>
              <w:rPr>
                <w:sz w:val="18"/>
                <w:szCs w:val="18"/>
              </w:rPr>
            </w:pPr>
          </w:p>
          <w:p w14:paraId="5E24FA9B" w14:textId="77777777" w:rsidR="001A049E" w:rsidRPr="006E2FCB" w:rsidRDefault="001A049E" w:rsidP="001A049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12 (92.3%)</w:t>
            </w:r>
          </w:p>
          <w:p w14:paraId="4BAEEC4B" w14:textId="77777777" w:rsidR="001A049E" w:rsidRPr="006E2FCB" w:rsidRDefault="001A049E" w:rsidP="001A049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1 (7.7%)</w:t>
            </w:r>
          </w:p>
        </w:tc>
        <w:tc>
          <w:tcPr>
            <w:tcW w:w="1134" w:type="dxa"/>
          </w:tcPr>
          <w:p w14:paraId="28E00747" w14:textId="77777777" w:rsidR="006D0855" w:rsidRPr="006E2FCB" w:rsidRDefault="006D0855" w:rsidP="001A049E">
            <w:pPr>
              <w:ind w:right="360" w:firstLine="0"/>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p w14:paraId="10ABC6E0" w14:textId="77777777" w:rsidR="001A049E" w:rsidRPr="006E2FCB" w:rsidRDefault="001A049E" w:rsidP="001A049E">
            <w:pPr>
              <w:ind w:right="360" w:firstLine="0"/>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6E2FCB">
              <w:rPr>
                <w:rFonts w:eastAsia="Times New Roman"/>
                <w:sz w:val="18"/>
                <w:szCs w:val="18"/>
              </w:rPr>
              <w:t>0.9</w:t>
            </w:r>
          </w:p>
        </w:tc>
      </w:tr>
      <w:tr w:rsidR="001A049E" w:rsidRPr="006E2FCB" w14:paraId="3D55921B" w14:textId="77777777" w:rsidTr="002B4CBE">
        <w:trPr>
          <w:trHeight w:val="359"/>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bottom w:val="single" w:sz="4" w:space="0" w:color="auto"/>
            </w:tcBorders>
          </w:tcPr>
          <w:p w14:paraId="4EFAEA9A"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C4D+</w:t>
            </w:r>
          </w:p>
          <w:p w14:paraId="0B06ED2A"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23E05C97" w14:textId="23C52838" w:rsidR="001A049E" w:rsidRPr="006E2FCB" w:rsidRDefault="001A049E" w:rsidP="001A049E">
            <w:pPr>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714CCE7D" w14:textId="77777777" w:rsidR="001A049E" w:rsidRPr="006E2FCB" w:rsidRDefault="001A049E" w:rsidP="001A049E">
            <w:pPr>
              <w:jc w:val="center"/>
              <w:cnfStyle w:val="000000000000" w:firstRow="0" w:lastRow="0" w:firstColumn="0" w:lastColumn="0" w:oddVBand="0" w:evenVBand="0" w:oddHBand="0" w:evenHBand="0" w:firstRowFirstColumn="0" w:firstRowLastColumn="0" w:lastRowFirstColumn="0" w:lastRowLastColumn="0"/>
              <w:rPr>
                <w:sz w:val="18"/>
                <w:szCs w:val="18"/>
              </w:rPr>
            </w:pPr>
          </w:p>
          <w:p w14:paraId="2A9A961C" w14:textId="77777777" w:rsidR="001A049E" w:rsidRPr="006E2FCB" w:rsidRDefault="001A049E" w:rsidP="001A049E">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9 (81.8%)</w:t>
            </w:r>
          </w:p>
          <w:p w14:paraId="077D7E07" w14:textId="77777777" w:rsidR="001A049E" w:rsidRPr="006E2FCB" w:rsidRDefault="001A049E" w:rsidP="001A049E">
            <w:pPr>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2 (18.2%)</w:t>
            </w:r>
          </w:p>
        </w:tc>
        <w:tc>
          <w:tcPr>
            <w:tcW w:w="1559" w:type="dxa"/>
            <w:noWrap/>
          </w:tcPr>
          <w:p w14:paraId="74587B73" w14:textId="77777777" w:rsidR="001A049E" w:rsidRPr="006E2FCB" w:rsidRDefault="001A049E" w:rsidP="001A049E">
            <w:pPr>
              <w:jc w:val="left"/>
              <w:cnfStyle w:val="000000000000" w:firstRow="0" w:lastRow="0" w:firstColumn="0" w:lastColumn="0" w:oddVBand="0" w:evenVBand="0" w:oddHBand="0" w:evenHBand="0" w:firstRowFirstColumn="0" w:firstRowLastColumn="0" w:lastRowFirstColumn="0" w:lastRowLastColumn="0"/>
              <w:rPr>
                <w:sz w:val="18"/>
                <w:szCs w:val="18"/>
              </w:rPr>
            </w:pPr>
          </w:p>
          <w:p w14:paraId="0184F1BA" w14:textId="77777777" w:rsidR="001A049E" w:rsidRPr="006E2FCB" w:rsidRDefault="001A049E" w:rsidP="001A049E">
            <w:pPr>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11 (84.6%)</w:t>
            </w:r>
          </w:p>
          <w:p w14:paraId="643A254A" w14:textId="77777777" w:rsidR="001A049E" w:rsidRPr="006E2FCB" w:rsidRDefault="001A049E" w:rsidP="001A049E">
            <w:pPr>
              <w:ind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E2FCB">
              <w:rPr>
                <w:sz w:val="18"/>
                <w:szCs w:val="18"/>
              </w:rPr>
              <w:t>2 (15.4%)</w:t>
            </w:r>
          </w:p>
        </w:tc>
        <w:tc>
          <w:tcPr>
            <w:tcW w:w="1134" w:type="dxa"/>
          </w:tcPr>
          <w:p w14:paraId="3583F1C8" w14:textId="77777777" w:rsidR="006D0855" w:rsidRPr="006E2FCB" w:rsidRDefault="006D0855" w:rsidP="001A049E">
            <w:pPr>
              <w:ind w:right="360" w:firstLine="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p w14:paraId="25B574FB" w14:textId="77777777" w:rsidR="001A049E" w:rsidRPr="006E2FCB" w:rsidRDefault="001A049E" w:rsidP="001A049E">
            <w:pPr>
              <w:ind w:right="360" w:firstLine="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6E2FCB">
              <w:rPr>
                <w:rFonts w:eastAsia="Times New Roman"/>
                <w:sz w:val="18"/>
                <w:szCs w:val="18"/>
              </w:rPr>
              <w:t>0.85</w:t>
            </w:r>
          </w:p>
        </w:tc>
      </w:tr>
      <w:tr w:rsidR="001A049E" w:rsidRPr="006E2FCB" w14:paraId="60D8C076" w14:textId="77777777" w:rsidTr="002B4CBE">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auto"/>
            </w:tcBorders>
          </w:tcPr>
          <w:p w14:paraId="13E0FB6F" w14:textId="77777777" w:rsidR="001A049E" w:rsidRPr="006E2FCB" w:rsidRDefault="001A049E" w:rsidP="001A049E">
            <w:pPr>
              <w:spacing w:line="276" w:lineRule="auto"/>
              <w:ind w:firstLine="0"/>
              <w:rPr>
                <w:rFonts w:eastAsia="Times New Roman"/>
                <w:b/>
                <w:i w:val="0"/>
                <w:sz w:val="18"/>
                <w:szCs w:val="18"/>
                <w:lang w:eastAsia="tr-TR"/>
              </w:rPr>
            </w:pPr>
            <w:r w:rsidRPr="006E2FCB">
              <w:rPr>
                <w:rFonts w:eastAsia="Times New Roman"/>
                <w:b/>
                <w:i w:val="0"/>
                <w:sz w:val="18"/>
                <w:szCs w:val="18"/>
                <w:lang w:eastAsia="tr-TR"/>
              </w:rPr>
              <w:t>STEATOZ</w:t>
            </w:r>
          </w:p>
          <w:p w14:paraId="391A7EE2" w14:textId="77777777" w:rsidR="001A049E" w:rsidRPr="006E2FCB" w:rsidRDefault="001A049E" w:rsidP="001A049E">
            <w:pPr>
              <w:spacing w:line="276" w:lineRule="auto"/>
              <w:rPr>
                <w:rFonts w:eastAsia="Times New Roman"/>
                <w:i w:val="0"/>
                <w:sz w:val="18"/>
                <w:szCs w:val="18"/>
                <w:lang w:eastAsia="tr-TR"/>
              </w:rPr>
            </w:pPr>
            <w:r w:rsidRPr="006E2FCB">
              <w:rPr>
                <w:rFonts w:eastAsia="Times New Roman"/>
                <w:i w:val="0"/>
                <w:sz w:val="18"/>
                <w:szCs w:val="18"/>
                <w:lang w:eastAsia="tr-TR"/>
              </w:rPr>
              <w:t>Yok</w:t>
            </w:r>
          </w:p>
          <w:p w14:paraId="6F6EAA96" w14:textId="4882685C" w:rsidR="001A049E" w:rsidRPr="006E2FCB" w:rsidRDefault="001A049E" w:rsidP="001A049E">
            <w:pPr>
              <w:rPr>
                <w:rFonts w:eastAsia="Times New Roman"/>
                <w:i w:val="0"/>
                <w:sz w:val="18"/>
                <w:szCs w:val="18"/>
                <w:lang w:eastAsia="tr-TR"/>
              </w:rPr>
            </w:pPr>
            <w:r w:rsidRPr="006E2FCB">
              <w:rPr>
                <w:rFonts w:eastAsia="Times New Roman"/>
                <w:i w:val="0"/>
                <w:sz w:val="18"/>
                <w:szCs w:val="18"/>
                <w:lang w:eastAsia="tr-TR"/>
              </w:rPr>
              <w:t>Var</w:t>
            </w:r>
          </w:p>
        </w:tc>
        <w:tc>
          <w:tcPr>
            <w:tcW w:w="1701" w:type="dxa"/>
            <w:noWrap/>
          </w:tcPr>
          <w:p w14:paraId="03932BB1" w14:textId="77777777" w:rsidR="001A049E" w:rsidRPr="006E2FCB" w:rsidRDefault="001A049E" w:rsidP="001A049E">
            <w:pPr>
              <w:jc w:val="center"/>
              <w:cnfStyle w:val="000000100000" w:firstRow="0" w:lastRow="0" w:firstColumn="0" w:lastColumn="0" w:oddVBand="0" w:evenVBand="0" w:oddHBand="1" w:evenHBand="0" w:firstRowFirstColumn="0" w:firstRowLastColumn="0" w:lastRowFirstColumn="0" w:lastRowLastColumn="0"/>
              <w:rPr>
                <w:sz w:val="18"/>
                <w:szCs w:val="18"/>
              </w:rPr>
            </w:pPr>
          </w:p>
          <w:p w14:paraId="3FFFC7B1" w14:textId="77777777" w:rsidR="001A049E" w:rsidRPr="006E2FCB" w:rsidRDefault="001A049E" w:rsidP="001A049E">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7 (63.6%)</w:t>
            </w:r>
          </w:p>
          <w:p w14:paraId="529CB973" w14:textId="77777777" w:rsidR="001A049E" w:rsidRPr="006E2FCB" w:rsidRDefault="001A049E" w:rsidP="001A049E">
            <w:pPr>
              <w:ind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4 (36.4%)</w:t>
            </w:r>
          </w:p>
        </w:tc>
        <w:tc>
          <w:tcPr>
            <w:tcW w:w="1559" w:type="dxa"/>
            <w:noWrap/>
          </w:tcPr>
          <w:p w14:paraId="61835D0C" w14:textId="77777777" w:rsidR="001A049E" w:rsidRPr="006E2FCB" w:rsidRDefault="001A049E" w:rsidP="001A049E">
            <w:pPr>
              <w:jc w:val="left"/>
              <w:cnfStyle w:val="000000100000" w:firstRow="0" w:lastRow="0" w:firstColumn="0" w:lastColumn="0" w:oddVBand="0" w:evenVBand="0" w:oddHBand="1" w:evenHBand="0" w:firstRowFirstColumn="0" w:firstRowLastColumn="0" w:lastRowFirstColumn="0" w:lastRowLastColumn="0"/>
              <w:rPr>
                <w:sz w:val="18"/>
                <w:szCs w:val="18"/>
              </w:rPr>
            </w:pPr>
          </w:p>
          <w:p w14:paraId="07958143" w14:textId="77777777" w:rsidR="001A049E" w:rsidRPr="006E2FCB" w:rsidRDefault="001A049E" w:rsidP="001A049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8 (61.5%)</w:t>
            </w:r>
          </w:p>
          <w:p w14:paraId="0D8C8A09" w14:textId="77777777" w:rsidR="001A049E" w:rsidRPr="006E2FCB" w:rsidRDefault="001A049E" w:rsidP="001A049E">
            <w:pPr>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E2FCB">
              <w:rPr>
                <w:sz w:val="18"/>
                <w:szCs w:val="18"/>
              </w:rPr>
              <w:t>5 (38.5%)</w:t>
            </w:r>
          </w:p>
        </w:tc>
        <w:tc>
          <w:tcPr>
            <w:tcW w:w="1134" w:type="dxa"/>
          </w:tcPr>
          <w:p w14:paraId="21DF47F8" w14:textId="77777777" w:rsidR="006D0855" w:rsidRPr="006E2FCB" w:rsidRDefault="006D0855" w:rsidP="001A049E">
            <w:pPr>
              <w:ind w:right="360" w:firstLine="0"/>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p w14:paraId="63983291" w14:textId="77777777" w:rsidR="001A049E" w:rsidRPr="006E2FCB" w:rsidRDefault="001A049E" w:rsidP="001A049E">
            <w:pPr>
              <w:ind w:right="360" w:firstLine="0"/>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6E2FCB">
              <w:rPr>
                <w:rFonts w:eastAsia="Times New Roman"/>
                <w:sz w:val="18"/>
                <w:szCs w:val="18"/>
              </w:rPr>
              <w:t>0.91</w:t>
            </w:r>
          </w:p>
        </w:tc>
      </w:tr>
    </w:tbl>
    <w:p w14:paraId="3DDD8139" w14:textId="77777777" w:rsidR="009C74FB" w:rsidRDefault="009C74FB" w:rsidP="009C74FB"/>
    <w:p w14:paraId="156E9ACF" w14:textId="77777777" w:rsidR="002B4CBE" w:rsidRDefault="002B4CBE" w:rsidP="0000664D"/>
    <w:p w14:paraId="100109DB" w14:textId="43EECD95" w:rsidR="006E2FCB" w:rsidRDefault="0000664D" w:rsidP="0000664D">
      <w:r>
        <w:t xml:space="preserve">Hastalarda patolojik bulgular ve </w:t>
      </w:r>
      <w:r w:rsidR="00F41A53">
        <w:t>inflamatuar</w:t>
      </w:r>
      <w:r>
        <w:t xml:space="preserve"> parametre</w:t>
      </w:r>
      <w:r w:rsidRPr="0009715E">
        <w:t>ler</w:t>
      </w:r>
      <w:r>
        <w:t xml:space="preserve">in </w:t>
      </w:r>
      <w:r w:rsidRPr="0009715E">
        <w:t>korelasyon</w:t>
      </w:r>
      <w:r>
        <w:t xml:space="preserve">una bakıldığında (Tablo 4.19 da gösterilmektedir), iskemik nekroz varlığı ve IL-6 değeri arasında pozitif ve istatistiksel olarak anlamlı bir korelasyon görüldü (p=0.036). </w:t>
      </w:r>
    </w:p>
    <w:p w14:paraId="484EC6FE" w14:textId="77777777" w:rsidR="006E2FCB" w:rsidRDefault="0000664D" w:rsidP="0000664D">
      <w:r>
        <w:t xml:space="preserve">Kolestaz görülen hastalarda, IL-6 ve IL-17 değeri arasında da pozitif ve istatistiksel olarak anlamlı bir korelasyon görüldü (p=0.014 ve p=0.005). </w:t>
      </w:r>
    </w:p>
    <w:p w14:paraId="33989F1B" w14:textId="77777777" w:rsidR="006E2FCB" w:rsidRDefault="0000664D" w:rsidP="0000664D">
      <w:r>
        <w:t xml:space="preserve">WBC ile TCMR arasında pozitif bir korelasyon görüldü (p=0.05). </w:t>
      </w:r>
    </w:p>
    <w:p w14:paraId="401AA109" w14:textId="77777777" w:rsidR="006E2FCB" w:rsidRDefault="0000664D" w:rsidP="0000664D">
      <w:r>
        <w:t xml:space="preserve">Duktuler proliferasyon varlığında; IL-4, IL-10 ve lenfosit sayısı arasında anlamlı korelasyon mecvuttu (p=0.04, p=0.043 ve p=0.009). </w:t>
      </w:r>
    </w:p>
    <w:p w14:paraId="2449A513" w14:textId="77777777" w:rsidR="006E2FCB" w:rsidRDefault="0000664D" w:rsidP="0000664D">
      <w:r>
        <w:t xml:space="preserve">C4d pozitifliği ile TREM-1 arasında istatistiksel olarak anlamlı korelasyon görüldü (p=0.016). </w:t>
      </w:r>
    </w:p>
    <w:p w14:paraId="289DCF60" w14:textId="384E8300" w:rsidR="0000664D" w:rsidRDefault="0000664D" w:rsidP="0000664D">
      <w:r>
        <w:t xml:space="preserve">Steatoz ile sHLA-G arasında istatistiksel olarak anlamlı korelasyon görüldü (p=0.05). </w:t>
      </w:r>
    </w:p>
    <w:p w14:paraId="6BA47CEE" w14:textId="77777777" w:rsidR="00B46233" w:rsidRDefault="0000664D" w:rsidP="0000664D">
      <w:r w:rsidRPr="00FA28BF">
        <w:t>Ancak korelasyon kat sayılarına</w:t>
      </w:r>
      <w:r>
        <w:t xml:space="preserve"> </w:t>
      </w:r>
      <w:r w:rsidRPr="00FA28BF">
        <w:t>bakıldığında elde edilen korelasyonların hepsi zayıftı.</w:t>
      </w:r>
      <w:r>
        <w:t xml:space="preserve"> </w:t>
      </w:r>
    </w:p>
    <w:p w14:paraId="49295F4E" w14:textId="5138D6D3" w:rsidR="0000664D" w:rsidRPr="00B46233" w:rsidRDefault="00B46233" w:rsidP="00B46233">
      <w:pPr>
        <w:rPr>
          <w:rFonts w:eastAsia="+mn-ea"/>
          <w:kern w:val="24"/>
          <w:szCs w:val="24"/>
          <w:lang w:eastAsia="tr-TR"/>
        </w:rPr>
      </w:pPr>
      <w:r>
        <w:rPr>
          <w:rFonts w:eastAsia="+mn-ea"/>
          <w:kern w:val="24"/>
          <w:szCs w:val="24"/>
          <w:lang w:eastAsia="tr-TR"/>
        </w:rPr>
        <w:t xml:space="preserve">Işık mikroskopisinde elde edilen bulgular ve resimler </w:t>
      </w:r>
      <w:r w:rsidRPr="00246740">
        <w:rPr>
          <w:rFonts w:eastAsia="+mn-ea"/>
          <w:b/>
          <w:kern w:val="24"/>
          <w:szCs w:val="24"/>
          <w:lang w:eastAsia="tr-TR"/>
        </w:rPr>
        <w:t>EK</w:t>
      </w:r>
      <w:r>
        <w:rPr>
          <w:rFonts w:eastAsia="+mn-ea"/>
          <w:b/>
          <w:kern w:val="24"/>
          <w:szCs w:val="24"/>
          <w:lang w:eastAsia="tr-TR"/>
        </w:rPr>
        <w:t>-2</w:t>
      </w:r>
      <w:r>
        <w:rPr>
          <w:rFonts w:eastAsia="+mn-ea"/>
          <w:kern w:val="24"/>
          <w:szCs w:val="24"/>
          <w:lang w:eastAsia="tr-TR"/>
        </w:rPr>
        <w:t xml:space="preserve"> bölümünde gösterilmiştir.</w:t>
      </w:r>
      <w:r w:rsidR="0000664D">
        <w:br w:type="page"/>
      </w:r>
    </w:p>
    <w:p w14:paraId="7523C880" w14:textId="773B3446" w:rsidR="0000664D" w:rsidRPr="0000664D" w:rsidRDefault="0000664D" w:rsidP="0000664D">
      <w:pPr>
        <w:pStyle w:val="ResimYazs"/>
        <w:ind w:firstLine="0"/>
        <w:rPr>
          <w:i w:val="0"/>
          <w:sz w:val="24"/>
          <w:szCs w:val="24"/>
        </w:rPr>
      </w:pPr>
      <w:bookmarkStart w:id="574" w:name="_Toc49818034"/>
      <w:r w:rsidRPr="0000664D">
        <w:rPr>
          <w:i w:val="0"/>
          <w:color w:val="auto"/>
          <w:sz w:val="24"/>
          <w:szCs w:val="24"/>
        </w:rPr>
        <w:lastRenderedPageBreak/>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19</w:t>
      </w:r>
      <w:r w:rsidR="002B4CBE">
        <w:rPr>
          <w:i w:val="0"/>
          <w:color w:val="auto"/>
          <w:sz w:val="24"/>
          <w:szCs w:val="24"/>
        </w:rPr>
        <w:fldChar w:fldCharType="end"/>
      </w:r>
      <w:r w:rsidRPr="0000664D">
        <w:rPr>
          <w:i w:val="0"/>
          <w:color w:val="auto"/>
          <w:sz w:val="24"/>
          <w:szCs w:val="24"/>
        </w:rPr>
        <w:t xml:space="preserve"> Işık </w:t>
      </w:r>
      <w:r w:rsidR="007235C8" w:rsidRPr="0000664D">
        <w:rPr>
          <w:i w:val="0"/>
          <w:color w:val="auto"/>
          <w:sz w:val="24"/>
          <w:szCs w:val="24"/>
        </w:rPr>
        <w:t xml:space="preserve">Mikroskobik Bulgular </w:t>
      </w:r>
      <w:r w:rsidR="007235C8">
        <w:rPr>
          <w:i w:val="0"/>
          <w:color w:val="auto"/>
          <w:sz w:val="24"/>
          <w:szCs w:val="24"/>
        </w:rPr>
        <w:t>v</w:t>
      </w:r>
      <w:r w:rsidR="007235C8" w:rsidRPr="0000664D">
        <w:rPr>
          <w:i w:val="0"/>
          <w:color w:val="auto"/>
          <w:sz w:val="24"/>
          <w:szCs w:val="24"/>
        </w:rPr>
        <w:t>e İnflamatuar Parametreler Arasındaki Korelasyon</w:t>
      </w:r>
      <w:bookmarkEnd w:id="574"/>
    </w:p>
    <w:p w14:paraId="78CFC5C4" w14:textId="77777777" w:rsidR="0000664D" w:rsidRDefault="0000664D" w:rsidP="0000664D"/>
    <w:p w14:paraId="55E2E65D" w14:textId="77777777" w:rsidR="0000664D" w:rsidRDefault="0000664D" w:rsidP="0000664D"/>
    <w:p w14:paraId="7CAC68DB" w14:textId="77777777" w:rsidR="0000664D" w:rsidRDefault="0000664D" w:rsidP="0000664D"/>
    <w:p w14:paraId="7D3F890C" w14:textId="77777777" w:rsidR="0000664D" w:rsidRDefault="0000664D" w:rsidP="0000664D"/>
    <w:p w14:paraId="09799C5B" w14:textId="77777777" w:rsidR="0000664D" w:rsidRDefault="0000664D" w:rsidP="0000664D"/>
    <w:p w14:paraId="19700070" w14:textId="77777777" w:rsidR="0000664D" w:rsidRDefault="0000664D" w:rsidP="0000664D">
      <w:r>
        <w:rPr>
          <w:noProof/>
          <w:lang w:eastAsia="tr-TR"/>
        </w:rPr>
        <mc:AlternateContent>
          <mc:Choice Requires="wps">
            <w:drawing>
              <wp:anchor distT="45720" distB="45720" distL="114300" distR="114300" simplePos="0" relativeHeight="251717632" behindDoc="1" locked="0" layoutInCell="1" allowOverlap="1" wp14:anchorId="24E64E4F" wp14:editId="3256FB00">
                <wp:simplePos x="0" y="0"/>
                <wp:positionH relativeFrom="column">
                  <wp:posOffset>-2011509</wp:posOffset>
                </wp:positionH>
                <wp:positionV relativeFrom="paragraph">
                  <wp:posOffset>422313</wp:posOffset>
                </wp:positionV>
                <wp:extent cx="8345386" cy="4963160"/>
                <wp:effectExtent l="0" t="4445" r="13335" b="13335"/>
                <wp:wrapNone/>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345386" cy="4963160"/>
                        </a:xfrm>
                        <a:prstGeom prst="rect">
                          <a:avLst/>
                        </a:prstGeom>
                        <a:solidFill>
                          <a:srgbClr val="FFFFFF"/>
                        </a:solidFill>
                        <a:ln w="9525">
                          <a:solidFill>
                            <a:srgbClr val="000000"/>
                          </a:solidFill>
                          <a:miter lim="800000"/>
                          <a:headEnd/>
                          <a:tailEnd/>
                        </a:ln>
                      </wps:spPr>
                      <wps:txbx>
                        <w:txbxContent>
                          <w:p w14:paraId="4BCE9D18" w14:textId="77777777" w:rsidR="009F02C6" w:rsidRDefault="009F02C6" w:rsidP="0000664D">
                            <w:pPr>
                              <w:ind w:firstLine="0"/>
                            </w:pPr>
                          </w:p>
                          <w:tbl>
                            <w:tblPr>
                              <w:tblW w:w="0" w:type="auto"/>
                              <w:tblInd w:w="1696" w:type="dxa"/>
                              <w:tblCellMar>
                                <w:left w:w="70" w:type="dxa"/>
                                <w:right w:w="70" w:type="dxa"/>
                              </w:tblCellMar>
                              <w:tblLook w:val="04A0" w:firstRow="1" w:lastRow="0" w:firstColumn="1" w:lastColumn="0" w:noHBand="0" w:noVBand="1"/>
                            </w:tblPr>
                            <w:tblGrid>
                              <w:gridCol w:w="2815"/>
                              <w:gridCol w:w="865"/>
                              <w:gridCol w:w="554"/>
                              <w:gridCol w:w="560"/>
                              <w:gridCol w:w="560"/>
                              <w:gridCol w:w="554"/>
                              <w:gridCol w:w="574"/>
                              <w:gridCol w:w="554"/>
                              <w:gridCol w:w="554"/>
                              <w:gridCol w:w="554"/>
                              <w:gridCol w:w="554"/>
                              <w:gridCol w:w="574"/>
                              <w:gridCol w:w="554"/>
                              <w:gridCol w:w="554"/>
                              <w:gridCol w:w="560"/>
                            </w:tblGrid>
                            <w:tr w:rsidR="009F02C6" w:rsidRPr="0086425F" w14:paraId="49305C14" w14:textId="77777777" w:rsidTr="0086425F">
                              <w:trPr>
                                <w:cantSplit/>
                                <w:trHeight w:val="1134"/>
                              </w:trPr>
                              <w:tc>
                                <w:tcPr>
                                  <w:tcW w:w="0" w:type="auto"/>
                                  <w:tcBorders>
                                    <w:top w:val="single" w:sz="4" w:space="0" w:color="FFFFFF"/>
                                    <w:left w:val="single" w:sz="4" w:space="0" w:color="FFFFFF"/>
                                    <w:bottom w:val="single" w:sz="4" w:space="0" w:color="152935"/>
                                    <w:right w:val="single" w:sz="4" w:space="0" w:color="FFFFFF"/>
                                  </w:tcBorders>
                                  <w:shd w:val="clear" w:color="auto" w:fill="auto"/>
                                  <w:vAlign w:val="bottom"/>
                                  <w:hideMark/>
                                </w:tcPr>
                                <w:p w14:paraId="506D8393" w14:textId="77777777" w:rsidR="009F02C6" w:rsidRPr="0086425F" w:rsidRDefault="009F02C6" w:rsidP="00D36AD3">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FFFFFF"/>
                                    <w:left w:val="single" w:sz="4" w:space="0" w:color="FFFFFF"/>
                                    <w:bottom w:val="single" w:sz="4" w:space="0" w:color="152935"/>
                                    <w:right w:val="single" w:sz="4" w:space="0" w:color="FFFFFF"/>
                                  </w:tcBorders>
                                  <w:shd w:val="clear" w:color="auto" w:fill="auto"/>
                                  <w:vAlign w:val="bottom"/>
                                  <w:hideMark/>
                                </w:tcPr>
                                <w:p w14:paraId="145D80C9" w14:textId="77777777" w:rsidR="009F02C6" w:rsidRPr="0086425F" w:rsidRDefault="009F02C6" w:rsidP="00D36AD3">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FFFFFF"/>
                                    <w:left w:val="single" w:sz="4" w:space="0" w:color="FFFFFF"/>
                                    <w:bottom w:val="single" w:sz="4" w:space="0" w:color="152935"/>
                                    <w:right w:val="single" w:sz="4" w:space="0" w:color="E0E0E0"/>
                                  </w:tcBorders>
                                  <w:shd w:val="clear" w:color="auto" w:fill="auto"/>
                                  <w:textDirection w:val="btLr"/>
                                  <w:vAlign w:val="bottom"/>
                                  <w:hideMark/>
                                </w:tcPr>
                                <w:p w14:paraId="62226573"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TNFALPHA</w:t>
                                  </w:r>
                                </w:p>
                                <w:p w14:paraId="5C9AE316"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3D06BBED"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TGFBETA</w:t>
                                  </w:r>
                                </w:p>
                                <w:p w14:paraId="46645361"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p w14:paraId="11DF99BE"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4A19B7E8"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IL4</w:t>
                                  </w:r>
                                </w:p>
                                <w:p w14:paraId="57B12DB9"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p w14:paraId="4334085E"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3E31E925"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IL10</w:t>
                                  </w:r>
                                </w:p>
                                <w:p w14:paraId="1BCA18F8"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332CA47B"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IL17</w:t>
                                  </w:r>
                                </w:p>
                                <w:p w14:paraId="52AED9F9"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18ED16C0"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IL6</w:t>
                                  </w:r>
                                </w:p>
                                <w:p w14:paraId="5A8E8FCD"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2A2F9353"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SHLAG</w:t>
                                  </w:r>
                                </w:p>
                                <w:p w14:paraId="7E33A78C"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1EAFA23E"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TREM1</w:t>
                                  </w:r>
                                </w:p>
                                <w:p w14:paraId="52EFEC14"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5940A703"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WBC</w:t>
                                  </w:r>
                                </w:p>
                                <w:p w14:paraId="2053FF93"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518069F1"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LENFOSİT</w:t>
                                  </w:r>
                                </w:p>
                                <w:p w14:paraId="466D1D97"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6314F7EE"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NÖTROFİL</w:t>
                                  </w:r>
                                </w:p>
                                <w:p w14:paraId="367849A4"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3FADECCC"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CRP</w:t>
                                  </w:r>
                                </w:p>
                                <w:p w14:paraId="0E622E3F"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6794DC15"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PCT</w:t>
                                  </w:r>
                                </w:p>
                                <w:p w14:paraId="54CC107B"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p w14:paraId="33A12C61"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r>
                            <w:tr w:rsidR="009F02C6" w:rsidRPr="0086425F" w14:paraId="2C156F59"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5F49591C"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xml:space="preserve">İSKEMİK NEKROZ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1BEC6BF4"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7F62EE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0,202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A71534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0,181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894364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0,261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8F28B0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0,350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BCC211F"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0,202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1F881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.429</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1B4AE6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0,006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B945DF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-0,006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E4D84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74A84E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-0,162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0D9224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-0,224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503E20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-0,317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1029B8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-0,168</w:t>
                                  </w:r>
                                </w:p>
                              </w:tc>
                            </w:tr>
                            <w:tr w:rsidR="009F02C6" w:rsidRPr="0086425F" w14:paraId="16F9AFDA"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4D5D72FC"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15111C98"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4C82AE0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0,345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C5B7FA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0,398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D3D61E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6E240F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0E2765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0,345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AE25C5D"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0,036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8FE528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0,977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FB19AE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0,977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B8F714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0,307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8FA35F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0,450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F632C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D05FC0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0,131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9A2007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0,433</w:t>
                                  </w:r>
                                </w:p>
                              </w:tc>
                            </w:tr>
                            <w:tr w:rsidR="009F02C6" w:rsidRPr="0086425F" w14:paraId="42B248E4"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03DBFC04"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KOLESTAZ</w:t>
                                  </w:r>
                                </w:p>
                                <w:p w14:paraId="295FD350" w14:textId="77777777" w:rsidR="009F02C6" w:rsidRPr="0086425F" w:rsidRDefault="009F02C6" w:rsidP="0086425F">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5C3A5DD5"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462E8FF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-0,364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354E90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-0,319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B7D125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-0,225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834F75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-0,326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30262E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-.551</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D9939F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-.497</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A52ABB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091D78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-0,351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607412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0,126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F5B0B1F"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2C6869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0,199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5254E8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3417F0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0,179</w:t>
                                  </w:r>
                                </w:p>
                              </w:tc>
                            </w:tr>
                            <w:tr w:rsidR="009F02C6" w:rsidRPr="0086425F" w14:paraId="58C23EFD"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4CA33283"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2BD5A3B5"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3DF6219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67422C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0,129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066321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0,290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B9C460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0,120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36E0FE"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5624C83"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0,014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71E081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0,336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628632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6705CB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0,558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FA2470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F8CA4C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0,352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1992A4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0,336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BF8899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0,403</w:t>
                                  </w:r>
                                </w:p>
                              </w:tc>
                            </w:tr>
                            <w:tr w:rsidR="009F02C6" w:rsidRPr="0086425F" w14:paraId="04D4467C"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2EF75C68"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T HÜCRE ARACILI REJEKSİYON</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62A0DC38"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02D336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19AED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1553F5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0,339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E6B4F7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D4227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63AB77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0,129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9D760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4C6831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-0,258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E9F4C2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0,404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038CBA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0,372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DE8D58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0,355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8536C9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3789AB7"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0,016</w:t>
                                  </w:r>
                                </w:p>
                              </w:tc>
                            </w:tr>
                            <w:tr w:rsidR="009F02C6" w:rsidRPr="0086425F" w14:paraId="2CE2A5E1" w14:textId="77777777" w:rsidTr="0086425F">
                              <w:trPr>
                                <w:trHeight w:val="357"/>
                              </w:trPr>
                              <w:tc>
                                <w:tcPr>
                                  <w:tcW w:w="0" w:type="auto"/>
                                  <w:vMerge/>
                                  <w:tcBorders>
                                    <w:left w:val="single" w:sz="4" w:space="0" w:color="FFFFFF"/>
                                    <w:bottom w:val="single" w:sz="4" w:space="0" w:color="AEAEAE"/>
                                    <w:right w:val="single" w:sz="4" w:space="0" w:color="FFFFFF"/>
                                  </w:tcBorders>
                                  <w:shd w:val="clear" w:color="000000" w:fill="E0E0E0"/>
                                  <w:hideMark/>
                                </w:tcPr>
                                <w:p w14:paraId="5EA0BB04"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57337C97"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6D3F9B8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C3E486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0,625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C6BB63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B3B057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0,651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24CC49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61F07C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0,547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F7A7A9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0,708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8BCF0A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3683652"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0,050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FF8957F"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0,074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E8BFB5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B35CFA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0,940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A6D445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0,940</w:t>
                                  </w:r>
                                </w:p>
                              </w:tc>
                            </w:tr>
                            <w:tr w:rsidR="009F02C6" w:rsidRPr="0086425F" w14:paraId="4152CED8"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0E026309"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Pr>
                                      <w:rFonts w:eastAsia="Times New Roman"/>
                                      <w:color w:val="000000" w:themeColor="text1"/>
                                      <w:sz w:val="18"/>
                                      <w:szCs w:val="18"/>
                                      <w:lang w:eastAsia="tr-TR"/>
                                    </w:rPr>
                                    <w:t>DUKTÜLER PROLİFERASYON</w:t>
                                  </w:r>
                                  <w:r w:rsidRPr="0086425F">
                                    <w:rPr>
                                      <w:rFonts w:eastAsia="Times New Roman"/>
                                      <w:color w:val="000000" w:themeColor="text1"/>
                                      <w:sz w:val="18"/>
                                      <w:szCs w:val="18"/>
                                      <w:lang w:eastAsia="tr-TR"/>
                                    </w:rPr>
                                    <w:t>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0C9E0FE3"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26D4331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-0,289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B9832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-0,308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8E8472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-.421</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FF806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-.417</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EE07A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-0,289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3A92EE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-0,241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C79DAB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0,144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9C792A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0,060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8525FD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-0,132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B33C46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-.524</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C0167B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-0,042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CF4FDA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0,048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DB484A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0,132</w:t>
                                  </w:r>
                                </w:p>
                              </w:tc>
                            </w:tr>
                            <w:tr w:rsidR="009F02C6" w:rsidRPr="0086425F" w14:paraId="126966A4"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20D600D3"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4CEA55A6"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4E4A79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0,171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2FDD6A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0,144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F2057C6"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0,040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6D42CFB"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0,043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4CE822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0,171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16424B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0,257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9E1D88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0,501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83B73A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0,780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BD1912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0,537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1B9A4A9"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0,009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9EEC30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0,845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7BCE95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0,823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517E5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0,537</w:t>
                                  </w:r>
                                </w:p>
                              </w:tc>
                            </w:tr>
                            <w:tr w:rsidR="009F02C6" w:rsidRPr="0086425F" w14:paraId="3FA92FDB"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70936589"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DUKTÜLER TIKAÇ</w:t>
                                  </w:r>
                                </w:p>
                                <w:p w14:paraId="61AB2F4E" w14:textId="77777777" w:rsidR="009F02C6" w:rsidRPr="0086425F" w:rsidRDefault="009F02C6" w:rsidP="0086425F">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7F42AAF5"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3BA5813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-0,154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75B4A3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43BDA87"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0,000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73B5B1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-0,252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B233AD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-0,154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195BCC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-0,109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878C4D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C2420B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0,000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10786D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0,348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8CD8E3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0D5F48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0,327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B13A8E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C4289B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0,261</w:t>
                                  </w:r>
                                </w:p>
                              </w:tc>
                            </w:tr>
                            <w:tr w:rsidR="009F02C6" w:rsidRPr="0086425F" w14:paraId="2C2DE665"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589DB541"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353F7081"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DCBE24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0,474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B56AD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0,058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7D126F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1,000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DD03EE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0,236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90ACD3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0,474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E70470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0,613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4625F7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0,686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CF4420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1,000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194CC9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478DD5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0,686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BCF7C4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0,119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1DFFE9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0,307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936F3A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0,217</w:t>
                                  </w:r>
                                </w:p>
                              </w:tc>
                            </w:tr>
                            <w:tr w:rsidR="009F02C6" w:rsidRPr="0086425F" w14:paraId="26993440"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77EC8848"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Pr>
                                      <w:rFonts w:eastAsia="Times New Roman"/>
                                      <w:color w:val="000000" w:themeColor="text1"/>
                                      <w:sz w:val="18"/>
                                      <w:szCs w:val="18"/>
                                      <w:lang w:eastAsia="tr-TR"/>
                                    </w:rPr>
                                    <w:t>C</w:t>
                                  </w:r>
                                  <w:r w:rsidRPr="0086425F">
                                    <w:rPr>
                                      <w:rFonts w:eastAsia="Times New Roman"/>
                                      <w:color w:val="000000" w:themeColor="text1"/>
                                      <w:sz w:val="18"/>
                                      <w:szCs w:val="18"/>
                                      <w:lang w:eastAsia="tr-TR"/>
                                    </w:rPr>
                                    <w:t>4</w:t>
                                  </w:r>
                                  <w:r>
                                    <w:rPr>
                                      <w:rFonts w:eastAsia="Times New Roman"/>
                                      <w:color w:val="000000" w:themeColor="text1"/>
                                      <w:sz w:val="18"/>
                                      <w:szCs w:val="18"/>
                                      <w:lang w:eastAsia="tr-TR"/>
                                    </w:rPr>
                                    <w:t>d</w:t>
                                  </w:r>
                                  <w:r w:rsidRPr="0086425F">
                                    <w:rPr>
                                      <w:rFonts w:eastAsia="Times New Roman"/>
                                      <w:color w:val="000000" w:themeColor="text1"/>
                                      <w:sz w:val="18"/>
                                      <w:szCs w:val="18"/>
                                      <w:lang w:eastAsia="tr-TR"/>
                                    </w:rPr>
                                    <w:t xml:space="preserve"> +</w:t>
                                  </w:r>
                                </w:p>
                                <w:p w14:paraId="483518F5" w14:textId="77777777" w:rsidR="009F02C6" w:rsidRPr="0086425F" w:rsidRDefault="009F02C6" w:rsidP="0086425F">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380B50F0"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252CCA2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254E2A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0,154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D883DB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0,242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EB48AE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0,032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F413ED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15B62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CFA82A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-0,032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1727A1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-.485</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FC273C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0,226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1E0BF0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60D8E0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0,226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10E0FD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38168A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0,129</w:t>
                                  </w:r>
                                </w:p>
                              </w:tc>
                            </w:tr>
                            <w:tr w:rsidR="009F02C6" w:rsidRPr="0086425F" w14:paraId="75D1D0C7"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5E7643B4"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7A104307"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CE8604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9C32E1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0,473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FCBB9B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0,254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A166E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0,880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BF533D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8D3628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0,708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076B1B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0,881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48BFAC4"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92009C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0,288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D2398D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0,325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9AC4F5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0,288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26DB75F"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0,652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620726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0,547</w:t>
                                  </w:r>
                                </w:p>
                              </w:tc>
                            </w:tr>
                            <w:tr w:rsidR="009F02C6" w:rsidRPr="0086425F" w14:paraId="2802A6ED"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0D4349B3"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STEATOZ</w:t>
                                  </w:r>
                                </w:p>
                                <w:p w14:paraId="696EFE9D" w14:textId="77777777" w:rsidR="009F02C6" w:rsidRPr="0086425F" w:rsidRDefault="009F02C6" w:rsidP="0086425F">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622ABBC7"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1C72ACF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6625A3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-0,069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62CE68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395639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0,044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51ABD2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-0,395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DD7294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-0,019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256834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0,404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BF6D40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7318C0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2D4CC5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-0,075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8AF23F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20424E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-0,118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407BDA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0,081</w:t>
                                  </w:r>
                                </w:p>
                              </w:tc>
                            </w:tr>
                            <w:tr w:rsidR="009F02C6" w:rsidRPr="0086425F" w14:paraId="528B10F0"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08CA98FC" w14:textId="77777777" w:rsidR="009F02C6" w:rsidRPr="0086425F" w:rsidRDefault="009F02C6" w:rsidP="0086425F">
                                  <w:pPr>
                                    <w:spacing w:line="240" w:lineRule="auto"/>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5F5BA894"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A5F15F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0,303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CDAD3F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0,750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203654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0,665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75142D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0,839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37EEB9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0,056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721728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0,931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9344B83"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0,050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641B49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0,707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1B9A9B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0,665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AB0DFC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0,729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E855FEF"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0,665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DBE25B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0,583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2B9F22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0,707</w:t>
                                  </w:r>
                                </w:p>
                              </w:tc>
                            </w:tr>
                          </w:tbl>
                          <w:p w14:paraId="3C15BA6E" w14:textId="77777777" w:rsidR="009F02C6" w:rsidRDefault="009F02C6" w:rsidP="0000664D">
                            <w:pPr>
                              <w:ind w:firstLine="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E64E4F" id="_x0000_t202" coordsize="21600,21600" o:spt="202" path="m,l,21600r21600,l21600,xe">
                <v:stroke joinstyle="miter"/>
                <v:path gradientshapeok="t" o:connecttype="rect"/>
              </v:shapetype>
              <v:shape id="Metin Kutusu 2" o:spid="_x0000_s1026" type="#_x0000_t202" style="position:absolute;left:0;text-align:left;margin-left:-158.4pt;margin-top:33.25pt;width:657.1pt;height:390.8pt;rotation:-90;z-index:-25159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">
                <v:textbox>
                  <w:txbxContent>
                    <w:p w14:paraId="4BCE9D18" w14:textId="77777777" w:rsidR="009F02C6" w:rsidRDefault="009F02C6" w:rsidP="0000664D">
                      <w:pPr>
                        <w:ind w:firstLine="0"/>
                      </w:pPr>
                    </w:p>
                    <w:tbl>
                      <w:tblPr>
                        <w:tblW w:w="0" w:type="auto"/>
                        <w:tblInd w:w="1696" w:type="dxa"/>
                        <w:tblCellMar>
                          <w:left w:w="70" w:type="dxa"/>
                          <w:right w:w="70" w:type="dxa"/>
                        </w:tblCellMar>
                        <w:tblLook w:val="04A0" w:firstRow="1" w:lastRow="0" w:firstColumn="1" w:lastColumn="0" w:noHBand="0" w:noVBand="1"/>
                      </w:tblPr>
                      <w:tblGrid>
                        <w:gridCol w:w="2815"/>
                        <w:gridCol w:w="865"/>
                        <w:gridCol w:w="554"/>
                        <w:gridCol w:w="560"/>
                        <w:gridCol w:w="560"/>
                        <w:gridCol w:w="554"/>
                        <w:gridCol w:w="574"/>
                        <w:gridCol w:w="554"/>
                        <w:gridCol w:w="554"/>
                        <w:gridCol w:w="554"/>
                        <w:gridCol w:w="554"/>
                        <w:gridCol w:w="574"/>
                        <w:gridCol w:w="554"/>
                        <w:gridCol w:w="554"/>
                        <w:gridCol w:w="560"/>
                      </w:tblGrid>
                      <w:tr w:rsidR="009F02C6" w:rsidRPr="0086425F" w14:paraId="49305C14" w14:textId="77777777" w:rsidTr="0086425F">
                        <w:trPr>
                          <w:cantSplit/>
                          <w:trHeight w:val="1134"/>
                        </w:trPr>
                        <w:tc>
                          <w:tcPr>
                            <w:tcW w:w="0" w:type="auto"/>
                            <w:tcBorders>
                              <w:top w:val="single" w:sz="4" w:space="0" w:color="FFFFFF"/>
                              <w:left w:val="single" w:sz="4" w:space="0" w:color="FFFFFF"/>
                              <w:bottom w:val="single" w:sz="4" w:space="0" w:color="152935"/>
                              <w:right w:val="single" w:sz="4" w:space="0" w:color="FFFFFF"/>
                            </w:tcBorders>
                            <w:shd w:val="clear" w:color="auto" w:fill="auto"/>
                            <w:vAlign w:val="bottom"/>
                            <w:hideMark/>
                          </w:tcPr>
                          <w:p w14:paraId="506D8393" w14:textId="77777777" w:rsidR="009F02C6" w:rsidRPr="0086425F" w:rsidRDefault="009F02C6" w:rsidP="00D36AD3">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FFFFFF"/>
                              <w:left w:val="single" w:sz="4" w:space="0" w:color="FFFFFF"/>
                              <w:bottom w:val="single" w:sz="4" w:space="0" w:color="152935"/>
                              <w:right w:val="single" w:sz="4" w:space="0" w:color="FFFFFF"/>
                            </w:tcBorders>
                            <w:shd w:val="clear" w:color="auto" w:fill="auto"/>
                            <w:vAlign w:val="bottom"/>
                            <w:hideMark/>
                          </w:tcPr>
                          <w:p w14:paraId="145D80C9" w14:textId="77777777" w:rsidR="009F02C6" w:rsidRPr="0086425F" w:rsidRDefault="009F02C6" w:rsidP="00D36AD3">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FFFFFF"/>
                              <w:left w:val="single" w:sz="4" w:space="0" w:color="FFFFFF"/>
                              <w:bottom w:val="single" w:sz="4" w:space="0" w:color="152935"/>
                              <w:right w:val="single" w:sz="4" w:space="0" w:color="E0E0E0"/>
                            </w:tcBorders>
                            <w:shd w:val="clear" w:color="auto" w:fill="auto"/>
                            <w:textDirection w:val="btLr"/>
                            <w:vAlign w:val="bottom"/>
                            <w:hideMark/>
                          </w:tcPr>
                          <w:p w14:paraId="62226573"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TNFALPHA</w:t>
                            </w:r>
                          </w:p>
                          <w:p w14:paraId="5C9AE316"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3D06BBED"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TGFBETA</w:t>
                            </w:r>
                          </w:p>
                          <w:p w14:paraId="46645361"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p w14:paraId="11DF99BE"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4A19B7E8"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IL4</w:t>
                            </w:r>
                          </w:p>
                          <w:p w14:paraId="57B12DB9"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p w14:paraId="4334085E"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3E31E925"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IL10</w:t>
                            </w:r>
                          </w:p>
                          <w:p w14:paraId="1BCA18F8"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332CA47B"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IL17</w:t>
                            </w:r>
                          </w:p>
                          <w:p w14:paraId="52AED9F9"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18ED16C0"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IL6</w:t>
                            </w:r>
                          </w:p>
                          <w:p w14:paraId="5A8E8FCD"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2A2F9353"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SHLAG</w:t>
                            </w:r>
                          </w:p>
                          <w:p w14:paraId="7E33A78C"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1EAFA23E"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TREM1</w:t>
                            </w:r>
                          </w:p>
                          <w:p w14:paraId="52EFEC14"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5940A703"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WBC</w:t>
                            </w:r>
                          </w:p>
                          <w:p w14:paraId="2053FF93"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518069F1"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LENFOSİT</w:t>
                            </w:r>
                          </w:p>
                          <w:p w14:paraId="466D1D97"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6314F7EE"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NÖTROFİL</w:t>
                            </w:r>
                          </w:p>
                          <w:p w14:paraId="367849A4"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3FADECCC"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CRP</w:t>
                            </w:r>
                          </w:p>
                          <w:p w14:paraId="0E622E3F"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c>
                          <w:tcPr>
                            <w:tcW w:w="0" w:type="auto"/>
                            <w:tcBorders>
                              <w:top w:val="single" w:sz="4" w:space="0" w:color="FFFFFF"/>
                              <w:left w:val="single" w:sz="4" w:space="0" w:color="E0E0E0"/>
                              <w:bottom w:val="single" w:sz="4" w:space="0" w:color="152935"/>
                              <w:right w:val="single" w:sz="4" w:space="0" w:color="E0E0E0"/>
                            </w:tcBorders>
                            <w:shd w:val="clear" w:color="auto" w:fill="auto"/>
                            <w:textDirection w:val="btLr"/>
                            <w:vAlign w:val="bottom"/>
                            <w:hideMark/>
                          </w:tcPr>
                          <w:p w14:paraId="6794DC15"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r w:rsidRPr="0086425F">
                              <w:rPr>
                                <w:rFonts w:eastAsia="Times New Roman"/>
                                <w:color w:val="000000" w:themeColor="text1"/>
                                <w:sz w:val="18"/>
                                <w:szCs w:val="18"/>
                                <w:lang w:eastAsia="tr-TR"/>
                              </w:rPr>
                              <w:t>PCT</w:t>
                            </w:r>
                          </w:p>
                          <w:p w14:paraId="54CC107B"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p w14:paraId="33A12C61" w14:textId="77777777" w:rsidR="009F02C6" w:rsidRPr="0086425F" w:rsidRDefault="009F02C6" w:rsidP="0035533E">
                            <w:pPr>
                              <w:spacing w:line="240" w:lineRule="auto"/>
                              <w:ind w:left="113" w:right="113" w:firstLine="0"/>
                              <w:rPr>
                                <w:rFonts w:eastAsia="Times New Roman"/>
                                <w:color w:val="000000" w:themeColor="text1"/>
                                <w:sz w:val="18"/>
                                <w:szCs w:val="18"/>
                                <w:lang w:eastAsia="tr-TR"/>
                              </w:rPr>
                            </w:pPr>
                          </w:p>
                        </w:tc>
                      </w:tr>
                      <w:tr w:rsidR="009F02C6" w:rsidRPr="0086425F" w14:paraId="2C156F59"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5F49591C"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xml:space="preserve">İSKEMİK NEKROZ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1BEC6BF4"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7F62EE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0,202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A71534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0,181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894364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0,261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8F28B0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0,350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BCC211F"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0,202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1F881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.429</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1B4AE6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0,006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B945DF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-0,006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E4D84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74A84E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-0,162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0D9224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-0,224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503E20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-0,317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1029B8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-0,168</w:t>
                            </w:r>
                          </w:p>
                        </w:tc>
                      </w:tr>
                      <w:tr w:rsidR="009F02C6" w:rsidRPr="0086425F" w14:paraId="16F9AFDA"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4D5D72FC"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15111C98"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4C82AE0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0,345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C5B7FA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0,398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D3D61E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6E240F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0E2765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0,345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AE25C5D"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0,036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8FE528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0,977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FB19AE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0,977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B8F714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0,307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8FA35F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0,450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F632C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D05FC0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0,131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9A2007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0,433</w:t>
                            </w:r>
                          </w:p>
                        </w:tc>
                      </w:tr>
                      <w:tr w:rsidR="009F02C6" w:rsidRPr="0086425F" w14:paraId="42B248E4"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03DBFC04"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KOLESTAZ</w:t>
                            </w:r>
                          </w:p>
                          <w:p w14:paraId="295FD350" w14:textId="77777777" w:rsidR="009F02C6" w:rsidRPr="0086425F" w:rsidRDefault="009F02C6" w:rsidP="0086425F">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5C3A5DD5"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462E8FF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-0,364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354E90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-0,319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B7D125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-0,225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834F75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-0,326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30262E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-.551</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D9939F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-.497</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A52ABB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091D78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-0,351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607412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0,126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F5B0B1F"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2C6869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0,199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5254E8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3417F0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0,179</w:t>
                            </w:r>
                          </w:p>
                        </w:tc>
                      </w:tr>
                      <w:tr w:rsidR="009F02C6" w:rsidRPr="0086425F" w14:paraId="58C23EFD"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4CA33283"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2BD5A3B5"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3DF6219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67422C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0,129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066321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0,290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B9C460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0,120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36E0FE"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5624C83"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0,014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71E081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0,336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628632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6705CB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0,558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FA2470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F8CA4C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0,352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1992A4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0,336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BF8899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0,403</w:t>
                            </w:r>
                          </w:p>
                        </w:tc>
                      </w:tr>
                      <w:tr w:rsidR="009F02C6" w:rsidRPr="0086425F" w14:paraId="04D4467C"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2EF75C68"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T HÜCRE ARACILI REJEKSİYON</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62A0DC38"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02D336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19AED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1553F5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0,339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E6B4F7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D4227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63AB77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0,129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9D760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4C6831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-0,258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E9F4C2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0,404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038CBA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0,372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DE8D58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0,355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8536C9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3789AB7"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0,016</w:t>
                            </w:r>
                          </w:p>
                        </w:tc>
                      </w:tr>
                      <w:tr w:rsidR="009F02C6" w:rsidRPr="0086425F" w14:paraId="2CE2A5E1" w14:textId="77777777" w:rsidTr="0086425F">
                        <w:trPr>
                          <w:trHeight w:val="357"/>
                        </w:trPr>
                        <w:tc>
                          <w:tcPr>
                            <w:tcW w:w="0" w:type="auto"/>
                            <w:vMerge/>
                            <w:tcBorders>
                              <w:left w:val="single" w:sz="4" w:space="0" w:color="FFFFFF"/>
                              <w:bottom w:val="single" w:sz="4" w:space="0" w:color="AEAEAE"/>
                              <w:right w:val="single" w:sz="4" w:space="0" w:color="FFFFFF"/>
                            </w:tcBorders>
                            <w:shd w:val="clear" w:color="000000" w:fill="E0E0E0"/>
                            <w:hideMark/>
                          </w:tcPr>
                          <w:p w14:paraId="5EA0BB04"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57337C97"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6D3F9B8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C3E486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0,625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C6BB63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0,105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B3B057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0,651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24CC49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61F07C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0,547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F7A7A9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0,708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8BCF0A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3683652"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0,050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FF8957F"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0,074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E8BFB5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B35CFA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0,940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A6D445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0,940</w:t>
                            </w:r>
                          </w:p>
                        </w:tc>
                      </w:tr>
                      <w:tr w:rsidR="009F02C6" w:rsidRPr="0086425F" w14:paraId="4152CED8"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0E026309"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Pr>
                                <w:rFonts w:eastAsia="Times New Roman"/>
                                <w:color w:val="000000" w:themeColor="text1"/>
                                <w:sz w:val="18"/>
                                <w:szCs w:val="18"/>
                                <w:lang w:eastAsia="tr-TR"/>
                              </w:rPr>
                              <w:t>DUKTÜLER PROLİFERASYON</w:t>
                            </w:r>
                            <w:r w:rsidRPr="0086425F">
                              <w:rPr>
                                <w:rFonts w:eastAsia="Times New Roman"/>
                                <w:color w:val="000000" w:themeColor="text1"/>
                                <w:sz w:val="18"/>
                                <w:szCs w:val="18"/>
                                <w:lang w:eastAsia="tr-TR"/>
                              </w:rPr>
                              <w:t>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0C9E0FE3"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26D4331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-0,289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B9832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-0,308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8E8472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-.421</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FF806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-.417</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EE07A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-0,289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3A92EE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-0,241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C79DAB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0,144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9C792A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0,060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8525FD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-0,132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B33C46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-.524</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C0167B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-0,042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CF4FDA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0,048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DB484A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0,132</w:t>
                            </w:r>
                          </w:p>
                        </w:tc>
                      </w:tr>
                      <w:tr w:rsidR="009F02C6" w:rsidRPr="0086425F" w14:paraId="126966A4"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20D600D3"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4CEA55A6"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4E4A79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0,171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2FDD6A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0,144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F2057C6"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0,040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6D42CFB"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0,043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4CE822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0,171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16424B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0,257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9E1D88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0,501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83B73A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0,780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BD1912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0,537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1B9A4A9"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0,009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9EEC30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0,845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7BCE95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0,823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517E5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0,537</w:t>
                            </w:r>
                          </w:p>
                        </w:tc>
                      </w:tr>
                      <w:tr w:rsidR="009F02C6" w:rsidRPr="0086425F" w14:paraId="3FA92FDB"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70936589"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DUKTÜLER TIKAÇ</w:t>
                            </w:r>
                          </w:p>
                          <w:p w14:paraId="61AB2F4E" w14:textId="77777777" w:rsidR="009F02C6" w:rsidRPr="0086425F" w:rsidRDefault="009F02C6" w:rsidP="0086425F">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7F42AAF5"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3BA5813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-0,154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75B4A3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43BDA87"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0,000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73B5B1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-0,252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B233AD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-0,154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195BCC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-0,109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878C4D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C2420B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0,000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10786D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0,348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8CD8E3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0D5F48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0,327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B13A8E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C4289B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0,261</w:t>
                            </w:r>
                          </w:p>
                        </w:tc>
                      </w:tr>
                      <w:tr w:rsidR="009F02C6" w:rsidRPr="0086425F" w14:paraId="2C2DE665"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589DB541"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353F7081"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DCBE24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0,474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1B56AD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0,058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7D126F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1,000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DD03EE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0,236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90ACD3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0,474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E70470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0,613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4625F7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0,686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CF4420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1,000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194CC9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478DD5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0,686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BCF7C4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0,119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1DFFE9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0,307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936F3A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0,217</w:t>
                            </w:r>
                          </w:p>
                        </w:tc>
                      </w:tr>
                      <w:tr w:rsidR="009F02C6" w:rsidRPr="0086425F" w14:paraId="26993440"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77EC8848"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Pr>
                                <w:rFonts w:eastAsia="Times New Roman"/>
                                <w:color w:val="000000" w:themeColor="text1"/>
                                <w:sz w:val="18"/>
                                <w:szCs w:val="18"/>
                                <w:lang w:eastAsia="tr-TR"/>
                              </w:rPr>
                              <w:t>C</w:t>
                            </w:r>
                            <w:r w:rsidRPr="0086425F">
                              <w:rPr>
                                <w:rFonts w:eastAsia="Times New Roman"/>
                                <w:color w:val="000000" w:themeColor="text1"/>
                                <w:sz w:val="18"/>
                                <w:szCs w:val="18"/>
                                <w:lang w:eastAsia="tr-TR"/>
                              </w:rPr>
                              <w:t>4</w:t>
                            </w:r>
                            <w:r>
                              <w:rPr>
                                <w:rFonts w:eastAsia="Times New Roman"/>
                                <w:color w:val="000000" w:themeColor="text1"/>
                                <w:sz w:val="18"/>
                                <w:szCs w:val="18"/>
                                <w:lang w:eastAsia="tr-TR"/>
                              </w:rPr>
                              <w:t>d</w:t>
                            </w:r>
                            <w:r w:rsidRPr="0086425F">
                              <w:rPr>
                                <w:rFonts w:eastAsia="Times New Roman"/>
                                <w:color w:val="000000" w:themeColor="text1"/>
                                <w:sz w:val="18"/>
                                <w:szCs w:val="18"/>
                                <w:lang w:eastAsia="tr-TR"/>
                              </w:rPr>
                              <w:t xml:space="preserve"> +</w:t>
                            </w:r>
                          </w:p>
                          <w:p w14:paraId="483518F5" w14:textId="77777777" w:rsidR="009F02C6" w:rsidRPr="0086425F" w:rsidRDefault="009F02C6" w:rsidP="0086425F">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380B50F0"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252CCA2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254E2A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0,154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D883DB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0,242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EB48AE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0,032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F413ED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0,023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15B62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CFA82A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-0,032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1727A1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-.485</w:t>
                            </w:r>
                            <w:r w:rsidRPr="0086425F">
                              <w:rPr>
                                <w:rFonts w:eastAsia="Times New Roman"/>
                                <w:color w:val="000000" w:themeColor="text1"/>
                                <w:sz w:val="16"/>
                                <w:szCs w:val="16"/>
                                <w:vertAlign w:val="superscript"/>
                                <w:lang w:eastAsia="tr-TR"/>
                              </w:rPr>
                              <w:t>*</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FC273C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0,226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1E0BF0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60D8E0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0,226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10E0FD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38168AA"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0,129</w:t>
                            </w:r>
                          </w:p>
                        </w:tc>
                      </w:tr>
                      <w:tr w:rsidR="009F02C6" w:rsidRPr="0086425F" w14:paraId="75D1D0C7"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5E7643B4" w14:textId="77777777" w:rsidR="009F02C6" w:rsidRPr="0086425F" w:rsidRDefault="009F02C6" w:rsidP="0086425F">
                            <w:pPr>
                              <w:spacing w:line="240" w:lineRule="auto"/>
                              <w:jc w:val="left"/>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7A104307"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CE8604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9C32E1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0,473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FCBB9B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0,254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5A166E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0,880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BF533DD"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8D36280"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0,708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076B1B3"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0,881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48BFAC4"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0,016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92009C5"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0,288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D2398D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0,325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69AC4F5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0,288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26DB75F"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0,652</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620726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0,547</w:t>
                            </w:r>
                          </w:p>
                        </w:tc>
                      </w:tr>
                      <w:tr w:rsidR="009F02C6" w:rsidRPr="0086425F" w14:paraId="2802A6ED" w14:textId="77777777" w:rsidTr="0086425F">
                        <w:trPr>
                          <w:trHeight w:val="342"/>
                        </w:trPr>
                        <w:tc>
                          <w:tcPr>
                            <w:tcW w:w="0" w:type="auto"/>
                            <w:vMerge w:val="restart"/>
                            <w:tcBorders>
                              <w:top w:val="single" w:sz="4" w:space="0" w:color="AEAEAE"/>
                              <w:left w:val="single" w:sz="4" w:space="0" w:color="FFFFFF"/>
                              <w:right w:val="single" w:sz="4" w:space="0" w:color="FFFFFF"/>
                            </w:tcBorders>
                            <w:shd w:val="clear" w:color="000000" w:fill="E0E0E0"/>
                            <w:hideMark/>
                          </w:tcPr>
                          <w:p w14:paraId="0D4349B3"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STEATOZ</w:t>
                            </w:r>
                          </w:p>
                          <w:p w14:paraId="696EFE9D" w14:textId="77777777" w:rsidR="009F02C6" w:rsidRPr="0086425F" w:rsidRDefault="009F02C6" w:rsidP="0086425F">
                            <w:pPr>
                              <w:spacing w:line="240" w:lineRule="auto"/>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 </w:t>
                            </w: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622ABBC7"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Cor.Co.</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1C72ACF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-0,219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6625A3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-0,069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62CE68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7395639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0,044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51ABD2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-0,395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DD7294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-0,019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256834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0,404</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BF6D40B"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7318C0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2D4CC5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-0,075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8AF23F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0,093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20424E2"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-0,118</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407BDA1"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0,081</w:t>
                            </w:r>
                          </w:p>
                        </w:tc>
                      </w:tr>
                      <w:tr w:rsidR="009F02C6" w:rsidRPr="0086425F" w14:paraId="528B10F0" w14:textId="77777777" w:rsidTr="0086425F">
                        <w:trPr>
                          <w:trHeight w:val="342"/>
                        </w:trPr>
                        <w:tc>
                          <w:tcPr>
                            <w:tcW w:w="0" w:type="auto"/>
                            <w:vMerge/>
                            <w:tcBorders>
                              <w:left w:val="single" w:sz="4" w:space="0" w:color="FFFFFF"/>
                              <w:bottom w:val="single" w:sz="4" w:space="0" w:color="AEAEAE"/>
                              <w:right w:val="single" w:sz="4" w:space="0" w:color="FFFFFF"/>
                            </w:tcBorders>
                            <w:shd w:val="clear" w:color="000000" w:fill="E0E0E0"/>
                            <w:hideMark/>
                          </w:tcPr>
                          <w:p w14:paraId="08CA98FC" w14:textId="77777777" w:rsidR="009F02C6" w:rsidRPr="0086425F" w:rsidRDefault="009F02C6" w:rsidP="0086425F">
                            <w:pPr>
                              <w:spacing w:line="240" w:lineRule="auto"/>
                              <w:rPr>
                                <w:rFonts w:eastAsia="Times New Roman"/>
                                <w:color w:val="000000" w:themeColor="text1"/>
                                <w:sz w:val="18"/>
                                <w:szCs w:val="18"/>
                                <w:lang w:eastAsia="tr-TR"/>
                              </w:rPr>
                            </w:pPr>
                          </w:p>
                        </w:tc>
                        <w:tc>
                          <w:tcPr>
                            <w:tcW w:w="0" w:type="auto"/>
                            <w:tcBorders>
                              <w:top w:val="single" w:sz="4" w:space="0" w:color="AEAEAE"/>
                              <w:left w:val="single" w:sz="4" w:space="0" w:color="FFFFFF"/>
                              <w:bottom w:val="single" w:sz="4" w:space="0" w:color="AEAEAE"/>
                              <w:right w:val="single" w:sz="4" w:space="0" w:color="FFFFFF"/>
                            </w:tcBorders>
                            <w:shd w:val="clear" w:color="000000" w:fill="E0E0E0"/>
                            <w:hideMark/>
                          </w:tcPr>
                          <w:p w14:paraId="5F5BA894" w14:textId="77777777" w:rsidR="009F02C6" w:rsidRPr="0086425F" w:rsidRDefault="009F02C6" w:rsidP="0086425F">
                            <w:pPr>
                              <w:spacing w:line="240" w:lineRule="auto"/>
                              <w:ind w:firstLine="0"/>
                              <w:jc w:val="left"/>
                              <w:rPr>
                                <w:rFonts w:eastAsia="Times New Roman"/>
                                <w:color w:val="000000" w:themeColor="text1"/>
                                <w:sz w:val="18"/>
                                <w:szCs w:val="18"/>
                                <w:lang w:eastAsia="tr-TR"/>
                              </w:rPr>
                            </w:pPr>
                            <w:r w:rsidRPr="0086425F">
                              <w:rPr>
                                <w:rFonts w:eastAsia="Times New Roman"/>
                                <w:color w:val="000000" w:themeColor="text1"/>
                                <w:sz w:val="18"/>
                                <w:szCs w:val="18"/>
                                <w:lang w:eastAsia="tr-TR"/>
                              </w:rPr>
                              <w:t>p value</w:t>
                            </w:r>
                          </w:p>
                        </w:tc>
                        <w:tc>
                          <w:tcPr>
                            <w:tcW w:w="0" w:type="auto"/>
                            <w:tcBorders>
                              <w:top w:val="single" w:sz="4" w:space="0" w:color="AEAEAE"/>
                              <w:left w:val="single" w:sz="4" w:space="0" w:color="FFFFFF"/>
                              <w:bottom w:val="single" w:sz="4" w:space="0" w:color="AEAEAE"/>
                              <w:right w:val="single" w:sz="4" w:space="0" w:color="E0E0E0"/>
                            </w:tcBorders>
                            <w:shd w:val="clear" w:color="auto" w:fill="auto"/>
                            <w:noWrap/>
                            <w:hideMark/>
                          </w:tcPr>
                          <w:p w14:paraId="5A5F15F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0,303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CDAD3F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0,750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203654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0,665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75142DE"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0,839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37EEB9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0,056</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5721728C"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0,931</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9344B83" w14:textId="77777777" w:rsidR="009F02C6" w:rsidRPr="0086425F" w:rsidRDefault="009F02C6" w:rsidP="0086425F">
                            <w:pPr>
                              <w:spacing w:line="240" w:lineRule="auto"/>
                              <w:ind w:firstLine="0"/>
                              <w:jc w:val="center"/>
                              <w:rPr>
                                <w:rFonts w:eastAsia="Times New Roman"/>
                                <w:b/>
                                <w:color w:val="000000" w:themeColor="text1"/>
                                <w:sz w:val="16"/>
                                <w:szCs w:val="16"/>
                                <w:lang w:eastAsia="tr-TR"/>
                              </w:rPr>
                            </w:pPr>
                            <w:r w:rsidRPr="0086425F">
                              <w:rPr>
                                <w:rFonts w:eastAsia="Times New Roman"/>
                                <w:b/>
                                <w:color w:val="000000" w:themeColor="text1"/>
                                <w:sz w:val="16"/>
                                <w:szCs w:val="16"/>
                                <w:lang w:eastAsia="tr-TR"/>
                              </w:rPr>
                              <w:t>0,050</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641B49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0,707</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41B9A9B8"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0,665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0AB0DFC6"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0,729</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3E855FEF"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0,665</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1DBE25B9"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0,583</w:t>
                            </w:r>
                          </w:p>
                        </w:tc>
                        <w:tc>
                          <w:tcPr>
                            <w:tcW w:w="0" w:type="auto"/>
                            <w:tcBorders>
                              <w:top w:val="single" w:sz="4" w:space="0" w:color="AEAEAE"/>
                              <w:left w:val="single" w:sz="4" w:space="0" w:color="E0E0E0"/>
                              <w:bottom w:val="single" w:sz="4" w:space="0" w:color="AEAEAE"/>
                              <w:right w:val="single" w:sz="4" w:space="0" w:color="E0E0E0"/>
                            </w:tcBorders>
                            <w:shd w:val="clear" w:color="auto" w:fill="auto"/>
                            <w:noWrap/>
                            <w:hideMark/>
                          </w:tcPr>
                          <w:p w14:paraId="22B9F224" w14:textId="77777777" w:rsidR="009F02C6" w:rsidRPr="0086425F" w:rsidRDefault="009F02C6" w:rsidP="0086425F">
                            <w:pPr>
                              <w:spacing w:line="240" w:lineRule="auto"/>
                              <w:ind w:firstLine="0"/>
                              <w:jc w:val="center"/>
                              <w:rPr>
                                <w:rFonts w:eastAsia="Times New Roman"/>
                                <w:color w:val="000000" w:themeColor="text1"/>
                                <w:sz w:val="16"/>
                                <w:szCs w:val="16"/>
                                <w:lang w:eastAsia="tr-TR"/>
                              </w:rPr>
                            </w:pPr>
                            <w:r w:rsidRPr="0086425F">
                              <w:rPr>
                                <w:rFonts w:eastAsia="Times New Roman"/>
                                <w:color w:val="000000" w:themeColor="text1"/>
                                <w:sz w:val="16"/>
                                <w:szCs w:val="16"/>
                                <w:lang w:eastAsia="tr-TR"/>
                              </w:rPr>
                              <w:t>0,707</w:t>
                            </w:r>
                          </w:p>
                        </w:tc>
                      </w:tr>
                    </w:tbl>
                    <w:p w14:paraId="3C15BA6E" w14:textId="77777777" w:rsidR="009F02C6" w:rsidRDefault="009F02C6" w:rsidP="0000664D">
                      <w:pPr>
                        <w:ind w:firstLine="0"/>
                      </w:pPr>
                    </w:p>
                  </w:txbxContent>
                </v:textbox>
              </v:shape>
            </w:pict>
          </mc:Fallback>
        </mc:AlternateContent>
      </w:r>
    </w:p>
    <w:p w14:paraId="78CD970F" w14:textId="77777777" w:rsidR="0000664D" w:rsidRDefault="0000664D" w:rsidP="0000664D">
      <w:pPr>
        <w:ind w:firstLine="0"/>
      </w:pPr>
    </w:p>
    <w:p w14:paraId="02291A81" w14:textId="77777777" w:rsidR="0000664D" w:rsidRDefault="0000664D" w:rsidP="0000664D"/>
    <w:p w14:paraId="7DEA8AAC" w14:textId="77777777" w:rsidR="0000664D" w:rsidRDefault="0000664D" w:rsidP="0000664D"/>
    <w:p w14:paraId="29D6D117" w14:textId="77777777" w:rsidR="0000664D" w:rsidRDefault="0000664D" w:rsidP="0000664D"/>
    <w:p w14:paraId="3120196D" w14:textId="77777777" w:rsidR="0000664D" w:rsidRDefault="0000664D" w:rsidP="0000664D"/>
    <w:p w14:paraId="377C3BAC" w14:textId="77777777" w:rsidR="0000664D" w:rsidRDefault="0000664D" w:rsidP="0000664D"/>
    <w:p w14:paraId="3409FD7E" w14:textId="77777777" w:rsidR="0000664D" w:rsidRDefault="0000664D" w:rsidP="0000664D"/>
    <w:p w14:paraId="7E4E939A" w14:textId="77777777" w:rsidR="0000664D" w:rsidRDefault="0000664D" w:rsidP="0000664D"/>
    <w:p w14:paraId="27816A11" w14:textId="77777777" w:rsidR="0000664D" w:rsidRDefault="0000664D" w:rsidP="0000664D"/>
    <w:p w14:paraId="2ACED00A" w14:textId="77777777" w:rsidR="0000664D" w:rsidRDefault="0000664D" w:rsidP="0000664D"/>
    <w:p w14:paraId="5B0FDC82" w14:textId="77777777" w:rsidR="0000664D" w:rsidRDefault="0000664D" w:rsidP="0000664D"/>
    <w:p w14:paraId="0A8B4F01" w14:textId="77777777" w:rsidR="0000664D" w:rsidRDefault="0000664D" w:rsidP="0000664D">
      <w:pPr>
        <w:ind w:firstLine="0"/>
      </w:pPr>
    </w:p>
    <w:p w14:paraId="1D62A2CC" w14:textId="77777777" w:rsidR="0000664D" w:rsidRDefault="0000664D" w:rsidP="0000664D"/>
    <w:p w14:paraId="6C0C1FE2" w14:textId="77777777" w:rsidR="0000664D" w:rsidRDefault="0000664D" w:rsidP="0000664D"/>
    <w:p w14:paraId="28300EA6" w14:textId="77777777" w:rsidR="0000664D" w:rsidRDefault="0000664D" w:rsidP="0000664D">
      <w:pPr>
        <w:ind w:firstLine="0"/>
        <w:rPr>
          <w:noProof/>
          <w:lang w:eastAsia="tr-TR"/>
        </w:rPr>
      </w:pPr>
    </w:p>
    <w:p w14:paraId="56AEBF5C" w14:textId="77777777" w:rsidR="0000664D" w:rsidRDefault="0000664D" w:rsidP="0000664D">
      <w:pPr>
        <w:ind w:firstLine="0"/>
      </w:pPr>
    </w:p>
    <w:p w14:paraId="08F00A16" w14:textId="77777777" w:rsidR="0000664D" w:rsidRDefault="0000664D" w:rsidP="0000664D">
      <w:pPr>
        <w:spacing w:after="160"/>
        <w:ind w:left="680" w:firstLine="0"/>
        <w:rPr>
          <w:color w:val="000000" w:themeColor="text1"/>
          <w:szCs w:val="24"/>
        </w:rPr>
      </w:pPr>
    </w:p>
    <w:p w14:paraId="7BBFA36A" w14:textId="77777777" w:rsidR="0000664D" w:rsidRDefault="0000664D" w:rsidP="0000664D">
      <w:pPr>
        <w:spacing w:after="160"/>
        <w:ind w:left="680" w:firstLine="0"/>
        <w:rPr>
          <w:color w:val="000000" w:themeColor="text1"/>
          <w:szCs w:val="24"/>
        </w:rPr>
      </w:pPr>
    </w:p>
    <w:p w14:paraId="01ED06E8" w14:textId="77777777" w:rsidR="0000664D" w:rsidRDefault="0000664D" w:rsidP="0000664D">
      <w:pPr>
        <w:spacing w:after="160"/>
        <w:rPr>
          <w:color w:val="000000" w:themeColor="text1"/>
          <w:szCs w:val="24"/>
        </w:rPr>
      </w:pPr>
    </w:p>
    <w:p w14:paraId="7D2EAD3F" w14:textId="77777777" w:rsidR="0000664D" w:rsidRDefault="0000664D" w:rsidP="0000664D">
      <w:pPr>
        <w:spacing w:after="160"/>
        <w:rPr>
          <w:color w:val="000000" w:themeColor="text1"/>
          <w:szCs w:val="24"/>
        </w:rPr>
      </w:pPr>
    </w:p>
    <w:p w14:paraId="02B94839" w14:textId="77777777" w:rsidR="0000664D" w:rsidRDefault="0000664D" w:rsidP="0000664D">
      <w:pPr>
        <w:spacing w:after="160"/>
        <w:rPr>
          <w:color w:val="000000" w:themeColor="text1"/>
          <w:szCs w:val="24"/>
        </w:rPr>
      </w:pPr>
    </w:p>
    <w:p w14:paraId="19146057" w14:textId="77777777" w:rsidR="0000664D" w:rsidRDefault="0000664D" w:rsidP="0000664D">
      <w:pPr>
        <w:ind w:firstLine="0"/>
      </w:pPr>
      <w:r>
        <w:t xml:space="preserve">               </w:t>
      </w:r>
    </w:p>
    <w:p w14:paraId="1C3B6E23" w14:textId="77777777" w:rsidR="00C004D7" w:rsidRDefault="0000664D" w:rsidP="002B4CBE">
      <w:r>
        <w:br w:type="page"/>
      </w:r>
    </w:p>
    <w:p w14:paraId="45ED9E5D" w14:textId="77777777" w:rsidR="00C004D7" w:rsidRDefault="00C004D7" w:rsidP="002B4CBE"/>
    <w:p w14:paraId="57E48BE6" w14:textId="2EFCF47B" w:rsidR="003F3C71" w:rsidRDefault="003F3C71" w:rsidP="002B4CBE">
      <w:pPr>
        <w:rPr>
          <w:szCs w:val="24"/>
        </w:rPr>
      </w:pPr>
      <w:r>
        <w:rPr>
          <w:noProof/>
          <w:szCs w:val="24"/>
          <w:lang w:eastAsia="tr-TR"/>
        </w:rPr>
        <w:drawing>
          <wp:inline distT="0" distB="0" distL="0" distR="0" wp14:anchorId="7241ACD7" wp14:editId="7E3D999F">
            <wp:extent cx="4480962" cy="2636874"/>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80962" cy="2636874"/>
                    </a:xfrm>
                    <a:prstGeom prst="rect">
                      <a:avLst/>
                    </a:prstGeom>
                    <a:noFill/>
                    <a:ln>
                      <a:noFill/>
                    </a:ln>
                  </pic:spPr>
                </pic:pic>
              </a:graphicData>
            </a:graphic>
          </wp:inline>
        </w:drawing>
      </w:r>
    </w:p>
    <w:p w14:paraId="4BC99AC1" w14:textId="385ED420" w:rsidR="003F3C71" w:rsidRPr="00CC1DEF" w:rsidRDefault="00CC1DEF" w:rsidP="00CC1DEF">
      <w:pPr>
        <w:pStyle w:val="ResimYazs"/>
        <w:rPr>
          <w:i w:val="0"/>
          <w:color w:val="auto"/>
          <w:sz w:val="24"/>
          <w:szCs w:val="24"/>
        </w:rPr>
      </w:pPr>
      <w:bookmarkStart w:id="575" w:name="_Toc49817972"/>
      <w:r w:rsidRPr="00CC1DEF">
        <w:rPr>
          <w:i w:val="0"/>
          <w:color w:val="auto"/>
          <w:sz w:val="24"/>
          <w:szCs w:val="24"/>
        </w:rPr>
        <w:t xml:space="preserve">Şekil </w:t>
      </w:r>
      <w:r w:rsidR="00CB0587">
        <w:rPr>
          <w:i w:val="0"/>
          <w:color w:val="auto"/>
          <w:sz w:val="24"/>
          <w:szCs w:val="24"/>
        </w:rPr>
        <w:fldChar w:fldCharType="begin"/>
      </w:r>
      <w:r w:rsidR="00CB0587">
        <w:rPr>
          <w:i w:val="0"/>
          <w:color w:val="auto"/>
          <w:sz w:val="24"/>
          <w:szCs w:val="24"/>
        </w:rPr>
        <w:instrText xml:space="preserve"> STYLEREF 1 \s </w:instrText>
      </w:r>
      <w:r w:rsidR="00CB0587">
        <w:rPr>
          <w:i w:val="0"/>
          <w:color w:val="auto"/>
          <w:sz w:val="24"/>
          <w:szCs w:val="24"/>
        </w:rPr>
        <w:fldChar w:fldCharType="separate"/>
      </w:r>
      <w:r w:rsidR="00063441">
        <w:rPr>
          <w:i w:val="0"/>
          <w:noProof/>
          <w:color w:val="auto"/>
          <w:sz w:val="24"/>
          <w:szCs w:val="24"/>
        </w:rPr>
        <w:t>4</w:t>
      </w:r>
      <w:r w:rsidR="00CB0587">
        <w:rPr>
          <w:i w:val="0"/>
          <w:color w:val="auto"/>
          <w:sz w:val="24"/>
          <w:szCs w:val="24"/>
        </w:rPr>
        <w:fldChar w:fldCharType="end"/>
      </w:r>
      <w:r w:rsidR="00CB0587">
        <w:rPr>
          <w:i w:val="0"/>
          <w:color w:val="auto"/>
          <w:sz w:val="24"/>
          <w:szCs w:val="24"/>
        </w:rPr>
        <w:t>.</w:t>
      </w:r>
      <w:r w:rsidR="00CB0587">
        <w:rPr>
          <w:i w:val="0"/>
          <w:color w:val="auto"/>
          <w:sz w:val="24"/>
          <w:szCs w:val="24"/>
        </w:rPr>
        <w:fldChar w:fldCharType="begin"/>
      </w:r>
      <w:r w:rsidR="00CB0587">
        <w:rPr>
          <w:i w:val="0"/>
          <w:color w:val="auto"/>
          <w:sz w:val="24"/>
          <w:szCs w:val="24"/>
        </w:rPr>
        <w:instrText xml:space="preserve"> SEQ Şekil \* ARABIC \s 1 </w:instrText>
      </w:r>
      <w:r w:rsidR="00CB0587">
        <w:rPr>
          <w:i w:val="0"/>
          <w:color w:val="auto"/>
          <w:sz w:val="24"/>
          <w:szCs w:val="24"/>
        </w:rPr>
        <w:fldChar w:fldCharType="separate"/>
      </w:r>
      <w:r w:rsidR="00063441">
        <w:rPr>
          <w:i w:val="0"/>
          <w:noProof/>
          <w:color w:val="auto"/>
          <w:sz w:val="24"/>
          <w:szCs w:val="24"/>
        </w:rPr>
        <w:t>2</w:t>
      </w:r>
      <w:r w:rsidR="00CB0587">
        <w:rPr>
          <w:i w:val="0"/>
          <w:color w:val="auto"/>
          <w:sz w:val="24"/>
          <w:szCs w:val="24"/>
        </w:rPr>
        <w:fldChar w:fldCharType="end"/>
      </w:r>
      <w:r w:rsidRPr="00CC1DEF">
        <w:rPr>
          <w:i w:val="0"/>
          <w:color w:val="auto"/>
          <w:sz w:val="24"/>
          <w:szCs w:val="24"/>
        </w:rPr>
        <w:t xml:space="preserve"> Kolestaz </w:t>
      </w:r>
      <w:r w:rsidR="00166574" w:rsidRPr="00CC1DEF">
        <w:rPr>
          <w:i w:val="0"/>
          <w:color w:val="auto"/>
          <w:sz w:val="24"/>
          <w:szCs w:val="24"/>
        </w:rPr>
        <w:t xml:space="preserve">Durumuna Göre </w:t>
      </w:r>
      <w:r w:rsidRPr="00CC1DEF">
        <w:rPr>
          <w:i w:val="0"/>
          <w:color w:val="auto"/>
          <w:sz w:val="24"/>
          <w:szCs w:val="24"/>
        </w:rPr>
        <w:t xml:space="preserve">Kaplan Meier </w:t>
      </w:r>
      <w:r w:rsidR="00166574" w:rsidRPr="00CC1DEF">
        <w:rPr>
          <w:i w:val="0"/>
          <w:color w:val="auto"/>
          <w:sz w:val="24"/>
          <w:szCs w:val="24"/>
        </w:rPr>
        <w:t>Hayatta Kalım Analizi</w:t>
      </w:r>
      <w:bookmarkEnd w:id="575"/>
    </w:p>
    <w:p w14:paraId="03D072DA" w14:textId="2E09D499" w:rsidR="003F3C71" w:rsidRDefault="003F3C71" w:rsidP="003F3C71">
      <w:pPr>
        <w:pStyle w:val="ResimYazs"/>
        <w:tabs>
          <w:tab w:val="right" w:pos="8503"/>
        </w:tabs>
        <w:rPr>
          <w:i w:val="0"/>
          <w:color w:val="auto"/>
          <w:sz w:val="24"/>
          <w:szCs w:val="24"/>
        </w:rPr>
      </w:pPr>
    </w:p>
    <w:p w14:paraId="4A2DBE02" w14:textId="77777777" w:rsidR="00CC1DEF" w:rsidRDefault="00CC1DEF" w:rsidP="00CC1DEF"/>
    <w:p w14:paraId="5C3020B8" w14:textId="77777777" w:rsidR="00C004D7" w:rsidRDefault="00C004D7" w:rsidP="00CC1DEF"/>
    <w:p w14:paraId="3D642C74" w14:textId="77777777" w:rsidR="00C004D7" w:rsidRPr="00CC1DEF" w:rsidRDefault="00C004D7" w:rsidP="00CC1DEF"/>
    <w:p w14:paraId="326E8587" w14:textId="0C09F28C" w:rsidR="003F3C71" w:rsidRPr="003F3C71" w:rsidRDefault="003F3C71" w:rsidP="003F3C71">
      <w:pPr>
        <w:pStyle w:val="ResimYazs"/>
        <w:tabs>
          <w:tab w:val="right" w:pos="8503"/>
        </w:tabs>
        <w:rPr>
          <w:i w:val="0"/>
          <w:color w:val="auto"/>
          <w:sz w:val="24"/>
          <w:szCs w:val="24"/>
        </w:rPr>
      </w:pPr>
      <w:bookmarkStart w:id="576" w:name="_Toc49818035"/>
      <w:r w:rsidRPr="003F3C71">
        <w:rPr>
          <w:i w:val="0"/>
          <w:color w:val="auto"/>
          <w:sz w:val="24"/>
          <w:szCs w:val="24"/>
        </w:rPr>
        <w:t xml:space="preserve">Tablo </w:t>
      </w:r>
      <w:r w:rsidR="002B4CBE">
        <w:rPr>
          <w:i w:val="0"/>
          <w:color w:val="auto"/>
          <w:sz w:val="24"/>
          <w:szCs w:val="24"/>
        </w:rPr>
        <w:fldChar w:fldCharType="begin"/>
      </w:r>
      <w:r w:rsidR="002B4CBE">
        <w:rPr>
          <w:i w:val="0"/>
          <w:color w:val="auto"/>
          <w:sz w:val="24"/>
          <w:szCs w:val="24"/>
        </w:rPr>
        <w:instrText xml:space="preserve"> STYLEREF 1 \s </w:instrText>
      </w:r>
      <w:r w:rsidR="002B4CBE">
        <w:rPr>
          <w:i w:val="0"/>
          <w:color w:val="auto"/>
          <w:sz w:val="24"/>
          <w:szCs w:val="24"/>
        </w:rPr>
        <w:fldChar w:fldCharType="separate"/>
      </w:r>
      <w:r w:rsidR="00063441">
        <w:rPr>
          <w:i w:val="0"/>
          <w:noProof/>
          <w:color w:val="auto"/>
          <w:sz w:val="24"/>
          <w:szCs w:val="24"/>
        </w:rPr>
        <w:t>4</w:t>
      </w:r>
      <w:r w:rsidR="002B4CBE">
        <w:rPr>
          <w:i w:val="0"/>
          <w:color w:val="auto"/>
          <w:sz w:val="24"/>
          <w:szCs w:val="24"/>
        </w:rPr>
        <w:fldChar w:fldCharType="end"/>
      </w:r>
      <w:r w:rsidR="002B4CBE">
        <w:rPr>
          <w:i w:val="0"/>
          <w:color w:val="auto"/>
          <w:sz w:val="24"/>
          <w:szCs w:val="24"/>
        </w:rPr>
        <w:t>.</w:t>
      </w:r>
      <w:r w:rsidR="002B4CBE">
        <w:rPr>
          <w:i w:val="0"/>
          <w:color w:val="auto"/>
          <w:sz w:val="24"/>
          <w:szCs w:val="24"/>
        </w:rPr>
        <w:fldChar w:fldCharType="begin"/>
      </w:r>
      <w:r w:rsidR="002B4CBE">
        <w:rPr>
          <w:i w:val="0"/>
          <w:color w:val="auto"/>
          <w:sz w:val="24"/>
          <w:szCs w:val="24"/>
        </w:rPr>
        <w:instrText xml:space="preserve"> SEQ Tablo \* ARABIC \s 1 </w:instrText>
      </w:r>
      <w:r w:rsidR="002B4CBE">
        <w:rPr>
          <w:i w:val="0"/>
          <w:color w:val="auto"/>
          <w:sz w:val="24"/>
          <w:szCs w:val="24"/>
        </w:rPr>
        <w:fldChar w:fldCharType="separate"/>
      </w:r>
      <w:r w:rsidR="00063441">
        <w:rPr>
          <w:i w:val="0"/>
          <w:noProof/>
          <w:color w:val="auto"/>
          <w:sz w:val="24"/>
          <w:szCs w:val="24"/>
        </w:rPr>
        <w:t>20</w:t>
      </w:r>
      <w:r w:rsidR="002B4CBE">
        <w:rPr>
          <w:i w:val="0"/>
          <w:color w:val="auto"/>
          <w:sz w:val="24"/>
          <w:szCs w:val="24"/>
        </w:rPr>
        <w:fldChar w:fldCharType="end"/>
      </w:r>
      <w:r w:rsidRPr="003F3C71">
        <w:rPr>
          <w:i w:val="0"/>
          <w:color w:val="auto"/>
          <w:sz w:val="24"/>
          <w:szCs w:val="24"/>
        </w:rPr>
        <w:t xml:space="preserve"> Kolestaz </w:t>
      </w:r>
      <w:r w:rsidR="007235C8" w:rsidRPr="003F3C71">
        <w:rPr>
          <w:i w:val="0"/>
          <w:color w:val="auto"/>
          <w:sz w:val="24"/>
          <w:szCs w:val="24"/>
        </w:rPr>
        <w:t>Varlığına Göre Hayatta Kalma Dağılımlarının Eşitliği Testi</w:t>
      </w:r>
      <w:bookmarkEnd w:id="576"/>
      <w:r w:rsidR="007235C8" w:rsidRPr="003F3C71">
        <w:rPr>
          <w:i w:val="0"/>
          <w:color w:val="auto"/>
          <w:sz w:val="24"/>
          <w:szCs w:val="24"/>
        </w:rPr>
        <w:tab/>
      </w:r>
    </w:p>
    <w:tbl>
      <w:tblPr>
        <w:tblW w:w="708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128"/>
        <w:gridCol w:w="1216"/>
        <w:gridCol w:w="993"/>
        <w:gridCol w:w="1752"/>
      </w:tblGrid>
      <w:tr w:rsidR="003F3C71" w:rsidRPr="00426DD9" w14:paraId="76A1FF32" w14:textId="77777777" w:rsidTr="003F3C71">
        <w:trPr>
          <w:cantSplit/>
          <w:trHeight w:val="276"/>
          <w:jc w:val="center"/>
        </w:trPr>
        <w:tc>
          <w:tcPr>
            <w:tcW w:w="3128" w:type="dxa"/>
            <w:tcBorders>
              <w:top w:val="nil"/>
              <w:left w:val="nil"/>
              <w:bottom w:val="single" w:sz="8" w:space="0" w:color="152935"/>
              <w:right w:val="nil"/>
            </w:tcBorders>
            <w:shd w:val="clear" w:color="auto" w:fill="FFFFFF"/>
            <w:vAlign w:val="bottom"/>
          </w:tcPr>
          <w:p w14:paraId="1042BBED" w14:textId="77777777" w:rsidR="003F3C71" w:rsidRPr="00426DD9" w:rsidRDefault="003F3C71" w:rsidP="002149CA">
            <w:pPr>
              <w:rPr>
                <w:szCs w:val="24"/>
              </w:rPr>
            </w:pPr>
          </w:p>
        </w:tc>
        <w:tc>
          <w:tcPr>
            <w:tcW w:w="1216" w:type="dxa"/>
            <w:tcBorders>
              <w:top w:val="nil"/>
              <w:left w:val="nil"/>
              <w:bottom w:val="single" w:sz="8" w:space="0" w:color="152935"/>
              <w:right w:val="single" w:sz="8" w:space="0" w:color="E0E0E0"/>
            </w:tcBorders>
            <w:shd w:val="clear" w:color="auto" w:fill="FFFFFF"/>
            <w:vAlign w:val="bottom"/>
          </w:tcPr>
          <w:p w14:paraId="6B303675" w14:textId="77777777" w:rsidR="003F3C71" w:rsidRPr="00426DD9" w:rsidRDefault="003F3C71" w:rsidP="003F3C71">
            <w:pPr>
              <w:autoSpaceDE w:val="0"/>
              <w:autoSpaceDN w:val="0"/>
              <w:adjustRightInd w:val="0"/>
              <w:spacing w:line="320" w:lineRule="atLeast"/>
              <w:ind w:right="60" w:firstLine="0"/>
              <w:jc w:val="center"/>
              <w:rPr>
                <w:rFonts w:ascii="Arial" w:hAnsi="Arial" w:cs="Arial"/>
                <w:color w:val="264A60"/>
                <w:sz w:val="18"/>
                <w:szCs w:val="18"/>
              </w:rPr>
            </w:pPr>
            <w:r w:rsidRPr="00426DD9">
              <w:rPr>
                <w:rFonts w:ascii="Arial" w:hAnsi="Arial" w:cs="Arial"/>
                <w:color w:val="264A60"/>
                <w:sz w:val="18"/>
                <w:szCs w:val="18"/>
              </w:rPr>
              <w:t>Chi-Square</w:t>
            </w:r>
          </w:p>
        </w:tc>
        <w:tc>
          <w:tcPr>
            <w:tcW w:w="993" w:type="dxa"/>
            <w:tcBorders>
              <w:top w:val="nil"/>
              <w:left w:val="single" w:sz="8" w:space="0" w:color="E0E0E0"/>
              <w:bottom w:val="single" w:sz="8" w:space="0" w:color="152935"/>
              <w:right w:val="single" w:sz="8" w:space="0" w:color="E0E0E0"/>
            </w:tcBorders>
            <w:shd w:val="clear" w:color="auto" w:fill="FFFFFF"/>
            <w:vAlign w:val="bottom"/>
          </w:tcPr>
          <w:p w14:paraId="33A60BA8" w14:textId="77777777" w:rsidR="003F3C71" w:rsidRPr="00426DD9" w:rsidRDefault="003F3C71" w:rsidP="003F3C71">
            <w:pPr>
              <w:autoSpaceDE w:val="0"/>
              <w:autoSpaceDN w:val="0"/>
              <w:adjustRightInd w:val="0"/>
              <w:spacing w:line="320" w:lineRule="atLeast"/>
              <w:ind w:right="60" w:firstLine="0"/>
              <w:jc w:val="center"/>
              <w:rPr>
                <w:rFonts w:ascii="Arial" w:hAnsi="Arial" w:cs="Arial"/>
                <w:color w:val="264A60"/>
                <w:sz w:val="18"/>
                <w:szCs w:val="18"/>
              </w:rPr>
            </w:pPr>
            <w:r w:rsidRPr="00426DD9">
              <w:rPr>
                <w:rFonts w:ascii="Arial" w:hAnsi="Arial" w:cs="Arial"/>
                <w:color w:val="264A60"/>
                <w:sz w:val="18"/>
                <w:szCs w:val="18"/>
              </w:rPr>
              <w:t>df</w:t>
            </w:r>
          </w:p>
        </w:tc>
        <w:tc>
          <w:tcPr>
            <w:tcW w:w="1752" w:type="dxa"/>
            <w:tcBorders>
              <w:top w:val="nil"/>
              <w:left w:val="single" w:sz="8" w:space="0" w:color="E0E0E0"/>
              <w:bottom w:val="single" w:sz="8" w:space="0" w:color="152935"/>
              <w:right w:val="nil"/>
            </w:tcBorders>
            <w:shd w:val="clear" w:color="auto" w:fill="FFFFFF"/>
            <w:vAlign w:val="bottom"/>
          </w:tcPr>
          <w:p w14:paraId="041A0E44" w14:textId="77777777" w:rsidR="003F3C71" w:rsidRPr="00426DD9" w:rsidRDefault="003F3C71" w:rsidP="003F3C71">
            <w:pPr>
              <w:autoSpaceDE w:val="0"/>
              <w:autoSpaceDN w:val="0"/>
              <w:adjustRightInd w:val="0"/>
              <w:spacing w:line="320" w:lineRule="atLeast"/>
              <w:ind w:right="60" w:firstLine="0"/>
              <w:jc w:val="center"/>
              <w:rPr>
                <w:rFonts w:ascii="Arial" w:hAnsi="Arial" w:cs="Arial"/>
                <w:color w:val="264A60"/>
                <w:sz w:val="18"/>
                <w:szCs w:val="18"/>
              </w:rPr>
            </w:pPr>
            <w:r w:rsidRPr="00426DD9">
              <w:rPr>
                <w:rFonts w:ascii="Arial" w:hAnsi="Arial" w:cs="Arial"/>
                <w:color w:val="264A60"/>
                <w:sz w:val="18"/>
                <w:szCs w:val="18"/>
              </w:rPr>
              <w:t>Sig.</w:t>
            </w:r>
          </w:p>
        </w:tc>
      </w:tr>
      <w:tr w:rsidR="003F3C71" w:rsidRPr="00426DD9" w14:paraId="545E2C99" w14:textId="77777777" w:rsidTr="003F3C71">
        <w:trPr>
          <w:cantSplit/>
          <w:trHeight w:val="291"/>
          <w:jc w:val="center"/>
        </w:trPr>
        <w:tc>
          <w:tcPr>
            <w:tcW w:w="3128" w:type="dxa"/>
            <w:tcBorders>
              <w:top w:val="single" w:sz="8" w:space="0" w:color="152935"/>
              <w:left w:val="nil"/>
              <w:bottom w:val="single" w:sz="8" w:space="0" w:color="152935"/>
              <w:right w:val="nil"/>
            </w:tcBorders>
            <w:shd w:val="clear" w:color="auto" w:fill="E0E0E0"/>
          </w:tcPr>
          <w:p w14:paraId="3FC81FB8" w14:textId="77777777" w:rsidR="003F3C71" w:rsidRPr="00426DD9" w:rsidRDefault="003F3C71" w:rsidP="002149CA">
            <w:pPr>
              <w:autoSpaceDE w:val="0"/>
              <w:autoSpaceDN w:val="0"/>
              <w:adjustRightInd w:val="0"/>
              <w:spacing w:line="320" w:lineRule="atLeast"/>
              <w:ind w:left="60" w:right="60"/>
              <w:rPr>
                <w:rFonts w:ascii="Arial" w:hAnsi="Arial" w:cs="Arial"/>
                <w:color w:val="264A60"/>
                <w:sz w:val="18"/>
                <w:szCs w:val="18"/>
              </w:rPr>
            </w:pPr>
            <w:r w:rsidRPr="00426DD9">
              <w:rPr>
                <w:rFonts w:ascii="Arial" w:hAnsi="Arial" w:cs="Arial"/>
                <w:color w:val="264A60"/>
                <w:sz w:val="18"/>
                <w:szCs w:val="18"/>
              </w:rPr>
              <w:t>Log Rank (Mantel-Cox)</w:t>
            </w:r>
          </w:p>
        </w:tc>
        <w:tc>
          <w:tcPr>
            <w:tcW w:w="1216" w:type="dxa"/>
            <w:tcBorders>
              <w:top w:val="single" w:sz="8" w:space="0" w:color="152935"/>
              <w:left w:val="nil"/>
              <w:bottom w:val="single" w:sz="8" w:space="0" w:color="152935"/>
              <w:right w:val="single" w:sz="8" w:space="0" w:color="E0E0E0"/>
            </w:tcBorders>
            <w:shd w:val="clear" w:color="auto" w:fill="FFFFFF"/>
          </w:tcPr>
          <w:p w14:paraId="7B75A7BD" w14:textId="77777777" w:rsidR="003F3C71" w:rsidRPr="00426DD9" w:rsidRDefault="003F3C71" w:rsidP="003F3C71">
            <w:pPr>
              <w:autoSpaceDE w:val="0"/>
              <w:autoSpaceDN w:val="0"/>
              <w:adjustRightInd w:val="0"/>
              <w:spacing w:line="320" w:lineRule="atLeast"/>
              <w:ind w:right="60" w:firstLine="0"/>
              <w:jc w:val="center"/>
              <w:rPr>
                <w:rFonts w:ascii="Arial" w:hAnsi="Arial" w:cs="Arial"/>
                <w:color w:val="010205"/>
                <w:sz w:val="18"/>
                <w:szCs w:val="18"/>
              </w:rPr>
            </w:pPr>
            <w:r w:rsidRPr="00426DD9">
              <w:rPr>
                <w:rFonts w:ascii="Arial" w:hAnsi="Arial" w:cs="Arial"/>
                <w:color w:val="010205"/>
                <w:sz w:val="18"/>
                <w:szCs w:val="18"/>
              </w:rPr>
              <w:t>.046</w:t>
            </w:r>
          </w:p>
        </w:tc>
        <w:tc>
          <w:tcPr>
            <w:tcW w:w="993" w:type="dxa"/>
            <w:tcBorders>
              <w:top w:val="single" w:sz="8" w:space="0" w:color="152935"/>
              <w:left w:val="single" w:sz="8" w:space="0" w:color="E0E0E0"/>
              <w:bottom w:val="single" w:sz="8" w:space="0" w:color="152935"/>
              <w:right w:val="single" w:sz="8" w:space="0" w:color="E0E0E0"/>
            </w:tcBorders>
            <w:shd w:val="clear" w:color="auto" w:fill="FFFFFF"/>
          </w:tcPr>
          <w:p w14:paraId="6BB0EBF4" w14:textId="77777777" w:rsidR="003F3C71" w:rsidRPr="00426DD9" w:rsidRDefault="003F3C71" w:rsidP="003F3C71">
            <w:pPr>
              <w:autoSpaceDE w:val="0"/>
              <w:autoSpaceDN w:val="0"/>
              <w:adjustRightInd w:val="0"/>
              <w:spacing w:line="320" w:lineRule="atLeast"/>
              <w:ind w:right="60" w:firstLine="0"/>
              <w:jc w:val="center"/>
              <w:rPr>
                <w:rFonts w:ascii="Arial" w:hAnsi="Arial" w:cs="Arial"/>
                <w:color w:val="010205"/>
                <w:sz w:val="18"/>
                <w:szCs w:val="18"/>
              </w:rPr>
            </w:pPr>
            <w:r w:rsidRPr="00426DD9">
              <w:rPr>
                <w:rFonts w:ascii="Arial" w:hAnsi="Arial" w:cs="Arial"/>
                <w:color w:val="010205"/>
                <w:sz w:val="18"/>
                <w:szCs w:val="18"/>
              </w:rPr>
              <w:t>1</w:t>
            </w:r>
          </w:p>
        </w:tc>
        <w:tc>
          <w:tcPr>
            <w:tcW w:w="1752" w:type="dxa"/>
            <w:tcBorders>
              <w:top w:val="single" w:sz="8" w:space="0" w:color="152935"/>
              <w:left w:val="single" w:sz="8" w:space="0" w:color="E0E0E0"/>
              <w:bottom w:val="single" w:sz="8" w:space="0" w:color="152935"/>
              <w:right w:val="nil"/>
            </w:tcBorders>
            <w:shd w:val="clear" w:color="auto" w:fill="FFFFFF"/>
          </w:tcPr>
          <w:p w14:paraId="7D58D7DD" w14:textId="77777777" w:rsidR="003F3C71" w:rsidRPr="00426DD9" w:rsidRDefault="003F3C71" w:rsidP="003F3C71">
            <w:pPr>
              <w:autoSpaceDE w:val="0"/>
              <w:autoSpaceDN w:val="0"/>
              <w:adjustRightInd w:val="0"/>
              <w:spacing w:line="320" w:lineRule="atLeast"/>
              <w:ind w:right="60" w:firstLine="0"/>
              <w:jc w:val="center"/>
              <w:rPr>
                <w:rFonts w:ascii="Arial" w:hAnsi="Arial" w:cs="Arial"/>
                <w:color w:val="010205"/>
                <w:sz w:val="18"/>
                <w:szCs w:val="18"/>
              </w:rPr>
            </w:pPr>
            <w:r w:rsidRPr="00426DD9">
              <w:rPr>
                <w:rFonts w:ascii="Arial" w:hAnsi="Arial" w:cs="Arial"/>
                <w:color w:val="010205"/>
                <w:sz w:val="18"/>
                <w:szCs w:val="18"/>
              </w:rPr>
              <w:t>.830</w:t>
            </w:r>
          </w:p>
        </w:tc>
      </w:tr>
      <w:tr w:rsidR="003F3C71" w:rsidRPr="00426DD9" w14:paraId="6237B3B1" w14:textId="77777777" w:rsidTr="003F3C71">
        <w:trPr>
          <w:cantSplit/>
          <w:trHeight w:val="552"/>
          <w:jc w:val="center"/>
        </w:trPr>
        <w:tc>
          <w:tcPr>
            <w:tcW w:w="7089" w:type="dxa"/>
            <w:gridSpan w:val="4"/>
            <w:tcBorders>
              <w:top w:val="nil"/>
              <w:left w:val="nil"/>
              <w:bottom w:val="nil"/>
              <w:right w:val="nil"/>
            </w:tcBorders>
            <w:shd w:val="clear" w:color="auto" w:fill="FFFFFF"/>
          </w:tcPr>
          <w:p w14:paraId="3BE1D867" w14:textId="6BC1F76A" w:rsidR="003F3C71" w:rsidRPr="00426DD9" w:rsidRDefault="003F3C71" w:rsidP="002149CA">
            <w:pPr>
              <w:autoSpaceDE w:val="0"/>
              <w:autoSpaceDN w:val="0"/>
              <w:adjustRightInd w:val="0"/>
              <w:spacing w:line="320" w:lineRule="atLeast"/>
              <w:ind w:left="60" w:right="60"/>
              <w:rPr>
                <w:rFonts w:ascii="Arial" w:hAnsi="Arial" w:cs="Arial"/>
                <w:color w:val="010205"/>
                <w:sz w:val="18"/>
                <w:szCs w:val="18"/>
              </w:rPr>
            </w:pPr>
          </w:p>
        </w:tc>
      </w:tr>
    </w:tbl>
    <w:p w14:paraId="2D25FC4B" w14:textId="77777777" w:rsidR="003F3C71" w:rsidRDefault="003F3C71" w:rsidP="003F3C71"/>
    <w:p w14:paraId="62DCCC78" w14:textId="5764E76E" w:rsidR="00CC1DEF" w:rsidRPr="00CC1DEF" w:rsidRDefault="003F3C71" w:rsidP="00CC1DEF">
      <w:pPr>
        <w:rPr>
          <w:b/>
          <w:bCs/>
          <w:color w:val="FF0000"/>
        </w:rPr>
      </w:pPr>
      <w:r w:rsidRPr="00CC1DEF">
        <w:t>Kolestaz olmayan ve kolestaz olan gruplar arasında Kaplan-Meier yöntemine göre sağkalım analizi yapıldı. Gruplar arasında 30. gün hayatta kalma oranları sırasıyla %71.4 ve %70.6 olarak ölçüldü. Aynı şekilde bu grupların 90. günde hayatta kalma oranlar</w:t>
      </w:r>
      <w:r w:rsidR="00197A04">
        <w:t xml:space="preserve">ı %71.4 ve %64,7 olarak ölçüldü, istatistiksel olarak anlamı değildi </w:t>
      </w:r>
      <w:r w:rsidRPr="00CC1DEF">
        <w:t>(</w:t>
      </w:r>
      <w:r w:rsidR="008E65F3">
        <w:t>p=0.</w:t>
      </w:r>
      <w:r w:rsidRPr="00CC1DEF">
        <w:t>83).</w:t>
      </w:r>
      <w:r w:rsidR="00C91A83">
        <w:t xml:space="preserve"> Sonuçlar yukarıdaki Şekil 4.2 ve Tablo 4.20’</w:t>
      </w:r>
      <w:r w:rsidR="00CC1DEF" w:rsidRPr="00CC1DEF">
        <w:t>d</w:t>
      </w:r>
      <w:r w:rsidR="00C91A83">
        <w:t>e</w:t>
      </w:r>
      <w:r w:rsidR="00CC1DEF" w:rsidRPr="00CC1DEF">
        <w:t xml:space="preserve"> özetlenmiştir.</w:t>
      </w:r>
      <w:r w:rsidR="00CC1DEF">
        <w:t xml:space="preserve"> </w:t>
      </w:r>
    </w:p>
    <w:p w14:paraId="6086FE6F" w14:textId="4363192D" w:rsidR="003F3C71" w:rsidRDefault="003F3C71" w:rsidP="00CC1DEF">
      <w:pPr>
        <w:rPr>
          <w:color w:val="44546A" w:themeColor="text2"/>
        </w:rPr>
      </w:pPr>
      <w:r>
        <w:br w:type="page"/>
      </w:r>
    </w:p>
    <w:p w14:paraId="31CB2C89" w14:textId="347E4909" w:rsidR="00F50986" w:rsidRDefault="00AF00FB" w:rsidP="004F194B">
      <w:pPr>
        <w:pStyle w:val="Balk1"/>
        <w:numPr>
          <w:ilvl w:val="0"/>
          <w:numId w:val="13"/>
        </w:numPr>
        <w:jc w:val="left"/>
      </w:pPr>
      <w:bookmarkStart w:id="577" w:name="_Toc38715742"/>
      <w:bookmarkStart w:id="578" w:name="_Toc45265953"/>
      <w:bookmarkStart w:id="579" w:name="_Toc55727853"/>
      <w:r w:rsidRPr="003656DA">
        <w:lastRenderedPageBreak/>
        <w:t>TARTIŞMA</w:t>
      </w:r>
      <w:bookmarkEnd w:id="577"/>
      <w:bookmarkEnd w:id="578"/>
      <w:bookmarkEnd w:id="579"/>
    </w:p>
    <w:p w14:paraId="7F0CF3E1" w14:textId="77777777" w:rsidR="00A73613" w:rsidRDefault="00A73613" w:rsidP="00A73613">
      <w:pPr>
        <w:ind w:firstLine="0"/>
      </w:pPr>
    </w:p>
    <w:p w14:paraId="29B36380" w14:textId="7F2D6ECB" w:rsidR="000573A5" w:rsidRDefault="000573A5" w:rsidP="000573A5">
      <w:pPr>
        <w:pStyle w:val="Balk2"/>
        <w:numPr>
          <w:ilvl w:val="0"/>
          <w:numId w:val="0"/>
        </w:numPr>
        <w:ind w:left="576"/>
        <w:rPr>
          <w:rStyle w:val="Balk2Char"/>
          <w:b/>
        </w:rPr>
      </w:pPr>
      <w:r>
        <w:rPr>
          <w:rStyle w:val="Balk2Char"/>
          <w:b/>
        </w:rPr>
        <w:t>Enfeksiyon</w:t>
      </w:r>
      <w:r w:rsidRPr="00EB1548">
        <w:rPr>
          <w:rStyle w:val="Balk2Char"/>
          <w:b/>
        </w:rPr>
        <w:t xml:space="preserve"> </w:t>
      </w:r>
    </w:p>
    <w:p w14:paraId="004775CC" w14:textId="3301F493" w:rsidR="004E6CAA" w:rsidRPr="004E6CAA" w:rsidRDefault="00DB08CB" w:rsidP="000573A5">
      <w:r>
        <w:t xml:space="preserve">Karaciğer naklinden sonra </w:t>
      </w:r>
      <w:r w:rsidR="00A26F1B">
        <w:t xml:space="preserve">hastaları yakın takip etmek ve ortaya çıkacak </w:t>
      </w:r>
      <w:r>
        <w:t>y</w:t>
      </w:r>
      <w:r w:rsidR="004E6CAA" w:rsidRPr="004E6CAA">
        <w:t>üksek mortalite riski olan sepsis</w:t>
      </w:r>
      <w:r>
        <w:t xml:space="preserve"> hastalarını</w:t>
      </w:r>
      <w:r w:rsidR="004E6CAA" w:rsidRPr="004E6CAA">
        <w:t xml:space="preserve"> erken </w:t>
      </w:r>
      <w:r>
        <w:t>sürede</w:t>
      </w:r>
      <w:r w:rsidR="004E6CAA" w:rsidRPr="004E6CAA">
        <w:t xml:space="preserve"> ayırt etmek, agresif tedaviye daha erken başlamak ve yakın monitörizasyon gerek</w:t>
      </w:r>
      <w:r>
        <w:t>mektedir</w:t>
      </w:r>
      <w:r w:rsidR="00193037" w:rsidRPr="00193037">
        <w:t>.</w:t>
      </w:r>
      <w:r w:rsidR="004E6CAA" w:rsidRPr="00193037">
        <w:t xml:space="preserve"> </w:t>
      </w:r>
      <w:r w:rsidR="004E6CAA" w:rsidRPr="004E6CAA">
        <w:t>Bu durumu öngörebilmek için literatürde yapılmış pek</w:t>
      </w:r>
      <w:r w:rsidR="004E6CAA">
        <w:t xml:space="preserve"> </w:t>
      </w:r>
      <w:r w:rsidR="004E6CAA" w:rsidRPr="004E6CAA">
        <w:t>çok çalışma vardır</w:t>
      </w:r>
      <w:r w:rsidR="00193037">
        <w:t xml:space="preserve"> </w:t>
      </w:r>
      <w:r w:rsidR="00193037">
        <w:fldChar w:fldCharType="begin" w:fldLock="1"/>
      </w:r>
      <w:r w:rsidR="0085653B">
        <w:instrText>ADDIN CSL_CITATION {"citationItems":[{"id":"ITEM-1","itemData":{"DOI":"10.1155/2018/8703172","ISSN":"14661861","PMID":"30026670","abstract":"Sepsis is a common complication of solid organ transplant procedures and, in particular, can affect the prognosis of orthotopic liver transplantation (OLT). This retrospective study determined the pre-, peri-, and postoperative risk factors for sepsis after OLT, using as reference the 2016 Third International Consensus Definitions for Sepsis and Septic Shock (Sepsis-3). Pre-, peri-, and postoperative clinical data of the sepsis-positive (n = 85) and sepsis-negative (n = 41) groups were analyzed for potential risk factors of OLT-related sepsis. The sepsis-positive patients had a significantly higher rate of dialysis (49.4%), longer time under mechanical ventilation (1.5 d), higher hospitalization costs (0.41 million RMB), and worse survival rate (68.5%), compared with the sepsis-negative patients (4.8%, 1 d, 0.30 million RMB, and 73.1%, resp.). The multivariate logistic analysis identified the following as risk factors for OLT-related sepsis: preoperative Child-Pugh grade C (OR 10.43; 95% CI 2.081-52.292; P = 0 004), preoperative hypercalcemia (OR 6.372; 95% CI 1.693-23.98; P = 0 006), and perioperative acidosis (OR 6.364; 95% CI 1.196-33.869; P = 0 030). Patients with preoperative Child-Pugh grade C, preoperative hypercalcemia, or perioperative acidosis are at higher risk for developing sepsis after OLT. When any of these problems occur, timely sepsis management should be planned.","author":[{"dropping-particle":"","family":"Wang","given":"Yanling","non-dropping-particle":"","parse-names":false,"suffix":""},{"dropping-particle":"","family":"Gu","given":"Yu","non-dropping-particle":"","parse-names":false,"suffix":""},{"dropping-particle":"","family":"Huang","given":"Fei","non-dropping-particle":"","parse-names":false,"suffix":""},{"dropping-particle":"","family":"Liu","given":"Dezhao","non-dropping-particle":"","parse-names":false,"suffix":""},{"dropping-particle":"","family":"Zhang","given":"Zheng","non-dropping-particle":"","parse-names":false,"suffix":""},{"dropping-particle":"","family":"Zhou","given":"Niman","non-dropping-particle":"","parse-names":false,"suffix":""},{"dropping-particle":"","family":"Liang","given":"Jiani","non-dropping-particle":"","parse-names":false,"suffix":""},{"dropping-particle":"","family":"Lu","given":"Changyin","non-dropping-particle":"","parse-names":false,"suffix":""},{"dropping-particle":"","family":"Yuan","given":"Dongdong","non-dropping-particle":"","parse-names":false,"suffix":""},{"dropping-particle":"","family":"Hei","given":"Ziqing","non-dropping-particle":"","parse-names":false,"suffix":""}],"container-title":"Mediators of Inflammation","id":"ITEM-1","issued":{"date-parts":[["2018"]]},"publisher":"Hindawi Limited","title":"Risk factors for sepsis based on sepsis-3 criteria after orthotopic liver transplantation","type":"article-journal","volume":"2018"},"uris":["http://www.mendeley.com/documents/?uuid=221c0e27-c55a-3788-a581-b6aeaff0a312"]}],"mendeley":{"formattedCitation":"(91)","plainTextFormattedCitation":"(91)","previouslyFormattedCitation":"(91)"},"properties":{"noteIndex":0},"schema":"https://github.com/citation-style-language/schema/raw/master/csl-citation.json"}</w:instrText>
      </w:r>
      <w:r w:rsidR="00193037">
        <w:fldChar w:fldCharType="separate"/>
      </w:r>
      <w:r w:rsidR="0085653B" w:rsidRPr="0085653B">
        <w:rPr>
          <w:noProof/>
        </w:rPr>
        <w:t>(91)</w:t>
      </w:r>
      <w:r w:rsidR="00193037">
        <w:fldChar w:fldCharType="end"/>
      </w:r>
      <w:r w:rsidR="004E6CAA" w:rsidRPr="004E6CAA">
        <w:t xml:space="preserve">. </w:t>
      </w:r>
      <w:r>
        <w:t xml:space="preserve">Yabancı doku grefti ve immünsüpresan tedavi altındaki </w:t>
      </w:r>
      <w:r w:rsidR="00014CA1">
        <w:t>karaciğer transplantasyonu</w:t>
      </w:r>
      <w:r>
        <w:t xml:space="preserve"> sonrasında abdominal kaynaklı sepsis gelişen ha</w:t>
      </w:r>
      <w:r w:rsidR="00EF2CDC">
        <w:t>staların septik tabloya cevabı</w:t>
      </w:r>
      <w:r>
        <w:t xml:space="preserve"> bilinmemektedir. S</w:t>
      </w:r>
      <w:r w:rsidR="004E6CAA" w:rsidRPr="004E6CAA">
        <w:t>epsisin oldukça kompleks ve heterojen bir tablo olm</w:t>
      </w:r>
      <w:r w:rsidR="004E6CAA">
        <w:t xml:space="preserve">ası, bu durumu aydınlatmakta araştırmacıları zorlamaktadır </w:t>
      </w:r>
      <w:r w:rsidR="004E6CAA">
        <w:fldChar w:fldCharType="begin" w:fldLock="1"/>
      </w:r>
      <w:r w:rsidR="0085653B">
        <w:instrText>ADDIN CSL_CITATION {"citationItems":[{"id":"ITEM-1","itemData":{"id":"ITEM-1","issued":{"date-parts":[["0"]]},"title":"Sanchez-Bueno F, Robles R, Ramirez P et al. Hepatic artery complications after liver transplantation. Clin Transplant 1994; 8: 399–404","type":"article-journal"},"uris":["http://www.mendeley.com/documents/?uuid=c6119138-fc8c-404a-b1c2-c9d9a9ff22b8"]}],"mendeley":{"formattedCitation":"(92)","plainTextFormattedCitation":"(92)","previouslyFormattedCitation":"(92)"},"properties":{"noteIndex":0},"schema":"https://github.com/citation-style-language/schema/raw/master/csl-citation.json"}</w:instrText>
      </w:r>
      <w:r w:rsidR="004E6CAA">
        <w:fldChar w:fldCharType="separate"/>
      </w:r>
      <w:r w:rsidR="0085653B" w:rsidRPr="0085653B">
        <w:rPr>
          <w:noProof/>
        </w:rPr>
        <w:t>(92)</w:t>
      </w:r>
      <w:r w:rsidR="004E6CAA">
        <w:fldChar w:fldCharType="end"/>
      </w:r>
      <w:r w:rsidR="004E6CAA">
        <w:t xml:space="preserve">. </w:t>
      </w:r>
      <w:r w:rsidR="004E6CAA" w:rsidRPr="004E6CAA">
        <w:rPr>
          <w:color w:val="000000"/>
          <w:szCs w:val="24"/>
        </w:rPr>
        <w:t>En iyi terapötik yaklaşım ve uygun bakım</w:t>
      </w:r>
      <w:r>
        <w:rPr>
          <w:color w:val="000000"/>
          <w:szCs w:val="24"/>
        </w:rPr>
        <w:t>ı sağlamak için</w:t>
      </w:r>
      <w:r w:rsidR="004E6CAA" w:rsidRPr="004E6CAA">
        <w:rPr>
          <w:color w:val="000000"/>
          <w:szCs w:val="24"/>
        </w:rPr>
        <w:t xml:space="preserve"> ölüm riski yüksek olan</w:t>
      </w:r>
      <w:r w:rsidR="004E6CAA">
        <w:rPr>
          <w:color w:val="000000"/>
          <w:szCs w:val="24"/>
        </w:rPr>
        <w:t xml:space="preserve"> </w:t>
      </w:r>
      <w:r w:rsidR="004E6CAA" w:rsidRPr="004E6CAA">
        <w:rPr>
          <w:color w:val="000000"/>
          <w:szCs w:val="24"/>
        </w:rPr>
        <w:t>hastaların erken sınıflandırılması ve tanınması ciddi klinik yaklaşımlar</w:t>
      </w:r>
      <w:r>
        <w:rPr>
          <w:color w:val="000000"/>
          <w:szCs w:val="24"/>
        </w:rPr>
        <w:t xml:space="preserve"> </w:t>
      </w:r>
      <w:r w:rsidR="004E6CAA">
        <w:rPr>
          <w:color w:val="000000"/>
          <w:szCs w:val="24"/>
        </w:rPr>
        <w:t>gerektirmektedir</w:t>
      </w:r>
      <w:r w:rsidR="004E6CAA" w:rsidRPr="004E6CAA">
        <w:rPr>
          <w:color w:val="000000"/>
          <w:szCs w:val="24"/>
        </w:rPr>
        <w:t>. Bu sebeplerle erken dönemde sepsis prognozu için etkili</w:t>
      </w:r>
      <w:r>
        <w:rPr>
          <w:color w:val="000000"/>
          <w:szCs w:val="24"/>
        </w:rPr>
        <w:t xml:space="preserve"> </w:t>
      </w:r>
      <w:r w:rsidR="004E6CAA" w:rsidRPr="004E6CAA">
        <w:rPr>
          <w:color w:val="000000"/>
          <w:szCs w:val="24"/>
        </w:rPr>
        <w:t xml:space="preserve">faktörler bulmak </w:t>
      </w:r>
      <w:r w:rsidR="00584B82">
        <w:rPr>
          <w:color w:val="000000"/>
          <w:szCs w:val="24"/>
        </w:rPr>
        <w:t>hayati öneme sahiptir</w:t>
      </w:r>
      <w:r w:rsidR="004E6CAA" w:rsidRPr="004E6CAA">
        <w:rPr>
          <w:color w:val="000000"/>
          <w:szCs w:val="24"/>
        </w:rPr>
        <w:t>.</w:t>
      </w:r>
    </w:p>
    <w:p w14:paraId="0526D1F1" w14:textId="2DBDB419" w:rsidR="00E732E0" w:rsidRDefault="0094670F" w:rsidP="00DB08CB">
      <w:r>
        <w:t>Yaptığımız literatür taramasında deneysel modellerde</w:t>
      </w:r>
      <w:r w:rsidR="00601F03">
        <w:t xml:space="preserve"> ve sepsise bağlı gelişen mortalite</w:t>
      </w:r>
      <w:r>
        <w:t xml:space="preserve"> sonrası </w:t>
      </w:r>
      <w:r w:rsidR="00601F03">
        <w:t xml:space="preserve">yapılan </w:t>
      </w:r>
      <w:r>
        <w:t xml:space="preserve">çalışmalarda </w:t>
      </w:r>
      <w:r w:rsidR="00F41A53">
        <w:t>ultrastrüktürel</w:t>
      </w:r>
      <w:r>
        <w:t xml:space="preserve"> analiz yöntemleri kullanılmış olmasına rağmen karaciğer nakli sonrası gelişen abdominal sepsiste bu yöntemleri kullanan bir çalışmaya rastlanmamıştır. </w:t>
      </w:r>
    </w:p>
    <w:p w14:paraId="605444A8" w14:textId="2759410B" w:rsidR="00D75FBB" w:rsidRDefault="00E732E0" w:rsidP="00E732E0">
      <w:r w:rsidRPr="002A63DF">
        <w:t>Bu çalışmada</w:t>
      </w:r>
      <w:r w:rsidRPr="00C51DF3">
        <w:t xml:space="preserve"> </w:t>
      </w:r>
      <w:r w:rsidR="00601F03">
        <w:t>karaciğer transplantasyonu</w:t>
      </w:r>
      <w:r w:rsidR="00601F03" w:rsidRPr="00C51DF3">
        <w:t xml:space="preserve"> sonrasında</w:t>
      </w:r>
      <w:r w:rsidRPr="00C51DF3">
        <w:t xml:space="preserve"> </w:t>
      </w:r>
      <w:r>
        <w:t>abdominal kaynaklı</w:t>
      </w:r>
      <w:r w:rsidRPr="002A63DF">
        <w:t xml:space="preserve"> </w:t>
      </w:r>
      <w:r>
        <w:t>sepsis</w:t>
      </w:r>
      <w:r w:rsidR="00601F03">
        <w:t xml:space="preserve"> </w:t>
      </w:r>
      <w:r w:rsidR="00601F03" w:rsidRPr="00C51DF3">
        <w:t>gelişen</w:t>
      </w:r>
      <w:r w:rsidR="00601F03">
        <w:t xml:space="preserve"> hastalarda </w:t>
      </w:r>
      <w:r>
        <w:t>septik nedenler</w:t>
      </w:r>
      <w:r w:rsidRPr="00C51DF3">
        <w:t xml:space="preserve"> irdelenmiş; enfeksiyon </w:t>
      </w:r>
      <w:r>
        <w:t>kaynağı</w:t>
      </w:r>
      <w:r w:rsidRPr="00C51DF3">
        <w:t>, izole edilen etkenler</w:t>
      </w:r>
      <w:r>
        <w:t xml:space="preserve">, </w:t>
      </w:r>
      <w:r w:rsidR="00F41A53">
        <w:t>inflamatuar</w:t>
      </w:r>
      <w:r>
        <w:t xml:space="preserve"> sitokinler, laboratuvar parametreleri ve transplante greftten alınan karaciğer biyopsilerinin ışık ve elektron </w:t>
      </w:r>
      <w:r w:rsidR="00F41A53">
        <w:t>mikroskobik</w:t>
      </w:r>
      <w:r>
        <w:t xml:space="preserve"> bulguları</w:t>
      </w:r>
      <w:r w:rsidRPr="00C51DF3">
        <w:t xml:space="preserve"> </w:t>
      </w:r>
      <w:r>
        <w:t>değerlendirilmiştir.</w:t>
      </w:r>
      <w:r w:rsidRPr="00C51DF3">
        <w:t xml:space="preserve"> </w:t>
      </w:r>
    </w:p>
    <w:p w14:paraId="3E9DBDF4" w14:textId="517CEE92" w:rsidR="005724D0" w:rsidRDefault="005724D0" w:rsidP="005724D0">
      <w:pPr>
        <w:rPr>
          <w:color w:val="000000"/>
        </w:rPr>
      </w:pPr>
      <w:r w:rsidRPr="00A54E67">
        <w:t>Kar</w:t>
      </w:r>
      <w:r>
        <w:t xml:space="preserve">aciğer nakli yapılmış hastalarda enfeksiyon tanısı </w:t>
      </w:r>
      <w:r w:rsidRPr="00A54E67">
        <w:t>koymak, mevcut enfeksiyöz ajanları ve türlerini saptamak ve septik tabloyu tedavi etmek</w:t>
      </w:r>
      <w:r w:rsidR="006B55EC">
        <w:t xml:space="preserve"> ve tedaviye yanıtı değerlendirmek</w:t>
      </w:r>
      <w:r w:rsidRPr="00A54E67">
        <w:t xml:space="preserve"> için</w:t>
      </w:r>
      <w:r w:rsidR="006B55EC">
        <w:t xml:space="preserve"> </w:t>
      </w:r>
      <w:r w:rsidR="00E92575" w:rsidRPr="00F75AC2">
        <w:t xml:space="preserve">CRP, prokalsitonin, laktat, </w:t>
      </w:r>
      <w:r w:rsidR="00C52126">
        <w:t>IL-</w:t>
      </w:r>
      <w:r w:rsidR="00E92575" w:rsidRPr="00F75AC2">
        <w:t xml:space="preserve">4, </w:t>
      </w:r>
      <w:r w:rsidR="00C52126">
        <w:t>IL-</w:t>
      </w:r>
      <w:r w:rsidR="00E92575" w:rsidRPr="00F75AC2">
        <w:t xml:space="preserve">6, </w:t>
      </w:r>
      <w:r w:rsidR="00C52126">
        <w:t>IL-</w:t>
      </w:r>
      <w:r w:rsidR="00E92575" w:rsidRPr="00F75AC2">
        <w:t xml:space="preserve">10, </w:t>
      </w:r>
      <w:r w:rsidR="00C52126">
        <w:t>IL-</w:t>
      </w:r>
      <w:r w:rsidR="00E92575" w:rsidRPr="00F75AC2">
        <w:t>17, TREM1, sHLA-G, TNF-α, TGF-β, IFN</w:t>
      </w:r>
      <w:r w:rsidR="00E92575" w:rsidRPr="00F75AC2">
        <w:rPr>
          <w:rFonts w:ascii="Arial" w:hAnsi="Arial" w:cs="Arial"/>
          <w:shd w:val="clear" w:color="auto" w:fill="FFFFFF"/>
        </w:rPr>
        <w:t>-</w:t>
      </w:r>
      <w:r w:rsidR="00E92575" w:rsidRPr="00F75AC2">
        <w:t>γ, kan gazı, hematolojik</w:t>
      </w:r>
      <w:r w:rsidR="00E92575">
        <w:t xml:space="preserve"> ve biyokimyasal parametreler gibi </w:t>
      </w:r>
      <w:r w:rsidRPr="00A54E67">
        <w:t xml:space="preserve">bir takım laboratuvar testleri kullanılmaktadır </w:t>
      </w:r>
      <w:r>
        <w:rPr>
          <w:color w:val="000000"/>
        </w:rPr>
        <w:t xml:space="preserve">ve hala yeni testler araştırılmaktadır </w:t>
      </w:r>
      <w:r>
        <w:rPr>
          <w:color w:val="000000"/>
        </w:rPr>
        <w:fldChar w:fldCharType="begin" w:fldLock="1"/>
      </w:r>
      <w:r>
        <w:rPr>
          <w:color w:val="000000"/>
        </w:rPr>
        <w:instrText>ADDIN CSL_CITATION {"citationItems":[{"id":"ITEM-1","itemData":{"DOI":"10.1210/jc.2002-021444","ISSN":"0021972X","author":[{"dropping-particle":"","family":"Becker","given":"K. L.","non-dropping-particle":"","parse-names":false,"suffix":""},{"dropping-particle":"","family":"Nylén","given":"E. S.","non-dropping-particle":"","parse-names":false,"suffix":""},{"dropping-particle":"","family":"White","given":"J. C.","non-dropping-particle":"","parse-names":false,"suffix":""},{"dropping-particle":"","family":"Müller","given":"B.","non-dropping-particle":"","parse-names":false,"suffix":""},{"dropping-particle":"","family":"Snider","given":"R. H.","non-dropping-particle":"","parse-names":false,"suffix":""}],"container-title":"Journal of Clinical Endocrinology and Metabolism","id":"ITEM-1","issue":"4","issued":{"date-parts":[["2004","4","1"]]},"page":"1512-1525","publisher":"Oxford Academic","title":"Procalcitonin and the calcitonin gene family of peptides in inflammation, infection, and sepsis: A journey from calcitonin back to its precursors","type":"article","volume":"89"},"uris":["http://www.mendeley.com/documents/?uuid=1ad143d8-ef35-3eb7-8f73-76b71f19cd50"]}],"mendeley":{"formattedCitation":"(93)","plainTextFormattedCitation":"(93)","previouslyFormattedCitation":"(93)"},"properties":{"noteIndex":0},"schema":"https://github.com/citation-style-language/schema/raw/master/csl-citation.json"}</w:instrText>
      </w:r>
      <w:r>
        <w:rPr>
          <w:color w:val="000000"/>
        </w:rPr>
        <w:fldChar w:fldCharType="separate"/>
      </w:r>
      <w:r w:rsidRPr="005724D0">
        <w:rPr>
          <w:noProof/>
          <w:color w:val="000000"/>
        </w:rPr>
        <w:t>(93)</w:t>
      </w:r>
      <w:r>
        <w:rPr>
          <w:color w:val="000000"/>
        </w:rPr>
        <w:fldChar w:fldCharType="end"/>
      </w:r>
      <w:r>
        <w:rPr>
          <w:color w:val="000000"/>
        </w:rPr>
        <w:t xml:space="preserve">. </w:t>
      </w:r>
    </w:p>
    <w:p w14:paraId="448CFDD3" w14:textId="77777777" w:rsidR="005724D0" w:rsidRDefault="005724D0" w:rsidP="005724D0">
      <w:pPr>
        <w:rPr>
          <w:color w:val="000000"/>
        </w:rPr>
      </w:pPr>
      <w:r w:rsidRPr="00D06874">
        <w:rPr>
          <w:color w:val="000000"/>
        </w:rPr>
        <w:t>Bakteri enfeksiyonlarının tanısı için altın kural kültürde</w:t>
      </w:r>
      <w:r>
        <w:rPr>
          <w:color w:val="000000"/>
        </w:rPr>
        <w:t xml:space="preserve"> </w:t>
      </w:r>
      <w:r w:rsidRPr="00D06874">
        <w:rPr>
          <w:color w:val="000000"/>
        </w:rPr>
        <w:t>etkenin üretilmesidir. Ancak günlük uygulamada kültür alınması ve etkenin üretilmesi</w:t>
      </w:r>
      <w:r>
        <w:rPr>
          <w:color w:val="000000"/>
        </w:rPr>
        <w:t xml:space="preserve"> </w:t>
      </w:r>
      <w:r w:rsidRPr="00D06874">
        <w:rPr>
          <w:color w:val="000000"/>
        </w:rPr>
        <w:t>her zaman mümkün olmamaktadır. Ayrıca kültürün sonuçlanması için de zamana ihtiyaç</w:t>
      </w:r>
      <w:r>
        <w:rPr>
          <w:color w:val="000000"/>
        </w:rPr>
        <w:t xml:space="preserve"> </w:t>
      </w:r>
      <w:r w:rsidRPr="00D06874">
        <w:rPr>
          <w:color w:val="000000"/>
        </w:rPr>
        <w:t>vardır. Buna kar</w:t>
      </w:r>
      <w:r>
        <w:rPr>
          <w:color w:val="000000"/>
        </w:rPr>
        <w:t>ş</w:t>
      </w:r>
      <w:r w:rsidRPr="00D06874">
        <w:rPr>
          <w:color w:val="000000"/>
        </w:rPr>
        <w:t xml:space="preserve">ın </w:t>
      </w:r>
      <w:r>
        <w:rPr>
          <w:color w:val="000000"/>
        </w:rPr>
        <w:t>sepsis hastalarında</w:t>
      </w:r>
      <w:r w:rsidRPr="00D06874">
        <w:rPr>
          <w:color w:val="000000"/>
        </w:rPr>
        <w:t xml:space="preserve"> erken tanı ve </w:t>
      </w:r>
      <w:r>
        <w:rPr>
          <w:color w:val="000000"/>
        </w:rPr>
        <w:t>hızlı başlangıçlı</w:t>
      </w:r>
      <w:r w:rsidRPr="00D06874">
        <w:rPr>
          <w:color w:val="000000"/>
        </w:rPr>
        <w:t xml:space="preserve"> tedavi </w:t>
      </w:r>
      <w:r>
        <w:rPr>
          <w:color w:val="000000"/>
        </w:rPr>
        <w:t>hayat</w:t>
      </w:r>
      <w:r w:rsidRPr="00D06874">
        <w:rPr>
          <w:color w:val="000000"/>
        </w:rPr>
        <w:t xml:space="preserve"> kurtarıcı</w:t>
      </w:r>
      <w:r>
        <w:rPr>
          <w:color w:val="000000"/>
        </w:rPr>
        <w:t xml:space="preserve"> </w:t>
      </w:r>
      <w:r w:rsidRPr="00D06874">
        <w:rPr>
          <w:color w:val="000000"/>
        </w:rPr>
        <w:t xml:space="preserve">olmaktadır. </w:t>
      </w:r>
    </w:p>
    <w:p w14:paraId="6FF26CBA" w14:textId="5B096134" w:rsidR="005724D0" w:rsidRDefault="005724D0" w:rsidP="005724D0">
      <w:pPr>
        <w:rPr>
          <w:color w:val="000000"/>
        </w:rPr>
      </w:pPr>
      <w:r w:rsidRPr="00D06874">
        <w:rPr>
          <w:color w:val="000000"/>
        </w:rPr>
        <w:t>Konakçının bakteriyel enfeksiyona</w:t>
      </w:r>
      <w:r>
        <w:rPr>
          <w:color w:val="000000"/>
        </w:rPr>
        <w:t xml:space="preserve"> </w:t>
      </w:r>
      <w:r w:rsidRPr="00D06874">
        <w:rPr>
          <w:color w:val="000000"/>
        </w:rPr>
        <w:t>kar</w:t>
      </w:r>
      <w:r>
        <w:rPr>
          <w:color w:val="000000"/>
        </w:rPr>
        <w:t xml:space="preserve">şı </w:t>
      </w:r>
      <w:r w:rsidRPr="00D06874">
        <w:rPr>
          <w:color w:val="000000"/>
        </w:rPr>
        <w:t>çe</w:t>
      </w:r>
      <w:r>
        <w:rPr>
          <w:color w:val="000000"/>
        </w:rPr>
        <w:t>ş</w:t>
      </w:r>
      <w:r w:rsidRPr="00D06874">
        <w:rPr>
          <w:color w:val="000000"/>
        </w:rPr>
        <w:t xml:space="preserve">itli </w:t>
      </w:r>
      <w:r w:rsidR="00F41A53" w:rsidRPr="00D06874">
        <w:rPr>
          <w:color w:val="000000"/>
        </w:rPr>
        <w:t>inflamatuar</w:t>
      </w:r>
      <w:r w:rsidRPr="00D06874">
        <w:rPr>
          <w:color w:val="000000"/>
        </w:rPr>
        <w:t xml:space="preserve"> molekülleri dola</w:t>
      </w:r>
      <w:r>
        <w:rPr>
          <w:color w:val="000000"/>
        </w:rPr>
        <w:t>ş</w:t>
      </w:r>
      <w:r w:rsidRPr="00D06874">
        <w:rPr>
          <w:color w:val="000000"/>
        </w:rPr>
        <w:t xml:space="preserve">ıma </w:t>
      </w:r>
      <w:r>
        <w:rPr>
          <w:color w:val="000000"/>
        </w:rPr>
        <w:t>göndermesinden</w:t>
      </w:r>
      <w:r w:rsidRPr="00D06874">
        <w:rPr>
          <w:color w:val="000000"/>
        </w:rPr>
        <w:t xml:space="preserve"> dolayı bu moleküllerin,</w:t>
      </w:r>
      <w:r>
        <w:rPr>
          <w:color w:val="000000"/>
        </w:rPr>
        <w:t xml:space="preserve"> </w:t>
      </w:r>
      <w:r w:rsidRPr="00D06874">
        <w:rPr>
          <w:color w:val="000000"/>
        </w:rPr>
        <w:t>enfeksiyonun tanısı ve takibind</w:t>
      </w:r>
      <w:r>
        <w:rPr>
          <w:color w:val="000000"/>
        </w:rPr>
        <w:t>e kullanılabileceği akla gelmiştir.</w:t>
      </w:r>
      <w:r w:rsidRPr="00D06874">
        <w:rPr>
          <w:color w:val="000000"/>
        </w:rPr>
        <w:t xml:space="preserve"> </w:t>
      </w:r>
      <w:r>
        <w:rPr>
          <w:color w:val="000000"/>
        </w:rPr>
        <w:t>E</w:t>
      </w:r>
      <w:r w:rsidRPr="00D06874">
        <w:rPr>
          <w:color w:val="000000"/>
        </w:rPr>
        <w:t>nfeksiyon tanısı,</w:t>
      </w:r>
      <w:r>
        <w:rPr>
          <w:color w:val="000000"/>
        </w:rPr>
        <w:t xml:space="preserve"> hastalığın prognozu ve mortalite </w:t>
      </w:r>
      <w:r w:rsidRPr="00D06874">
        <w:rPr>
          <w:color w:val="000000"/>
        </w:rPr>
        <w:lastRenderedPageBreak/>
        <w:t>açısından kullanılan bu belirteçler arasında</w:t>
      </w:r>
      <w:r>
        <w:rPr>
          <w:color w:val="000000"/>
        </w:rPr>
        <w:t xml:space="preserve"> birçok sitokin, </w:t>
      </w:r>
      <w:r w:rsidRPr="00D06874">
        <w:rPr>
          <w:color w:val="000000"/>
        </w:rPr>
        <w:t>CRP</w:t>
      </w:r>
      <w:r>
        <w:rPr>
          <w:color w:val="000000"/>
        </w:rPr>
        <w:t>, PCT ve biyokimyasal belirteç</w:t>
      </w:r>
      <w:r w:rsidR="00E92575">
        <w:rPr>
          <w:color w:val="000000"/>
        </w:rPr>
        <w:t>ler</w:t>
      </w:r>
      <w:r>
        <w:rPr>
          <w:color w:val="000000"/>
        </w:rPr>
        <w:t xml:space="preserve"> </w:t>
      </w:r>
      <w:r w:rsidRPr="00D06874">
        <w:rPr>
          <w:color w:val="000000"/>
        </w:rPr>
        <w:t>bulunmaktadır.</w:t>
      </w:r>
    </w:p>
    <w:p w14:paraId="42421D0C" w14:textId="28F5E060" w:rsidR="005724D0" w:rsidRDefault="006B55EC" w:rsidP="005724D0">
      <w:r>
        <w:t>B</w:t>
      </w:r>
      <w:r w:rsidR="005724D0" w:rsidRPr="00F75AC2">
        <w:t xml:space="preserve">u çalışmada karaciğer nakli olmuş hastalarda enfeksiyonun </w:t>
      </w:r>
      <w:r w:rsidR="00E92575">
        <w:t xml:space="preserve">tanısını kolaylaştıracak, sepsise yanıtını değerlendirecek </w:t>
      </w:r>
      <w:r w:rsidR="005724D0" w:rsidRPr="00F75AC2">
        <w:t>tanısal değerlerini inceledik.</w:t>
      </w:r>
    </w:p>
    <w:p w14:paraId="6DAED81D" w14:textId="77777777" w:rsidR="000A36FC" w:rsidRDefault="000A36FC" w:rsidP="0027460D">
      <w:pPr>
        <w:rPr>
          <w:rStyle w:val="Balk3Char"/>
          <w:color w:val="000000" w:themeColor="text1"/>
          <w:szCs w:val="26"/>
        </w:rPr>
      </w:pPr>
    </w:p>
    <w:p w14:paraId="162F0271" w14:textId="77777777" w:rsidR="0027460D" w:rsidRDefault="0027460D" w:rsidP="0027460D">
      <w:r w:rsidRPr="00C51DF3">
        <w:t>Karaciğer nakli sonrası enfeksiyonlar; erken dönem (ilk bir ay),</w:t>
      </w:r>
      <w:r>
        <w:t xml:space="preserve"> </w:t>
      </w:r>
      <w:r w:rsidRPr="00C51DF3">
        <w:t>ara dönem (1-6 ay arası)</w:t>
      </w:r>
      <w:r>
        <w:t xml:space="preserve"> ve</w:t>
      </w:r>
      <w:r w:rsidRPr="00C51DF3">
        <w:t xml:space="preserve"> geç dönem (6 aydan sonra) ol</w:t>
      </w:r>
      <w:r>
        <w:t xml:space="preserve">mak üzere </w:t>
      </w:r>
      <w:r w:rsidRPr="00C51DF3">
        <w:t>üç</w:t>
      </w:r>
      <w:r>
        <w:t xml:space="preserve"> </w:t>
      </w:r>
      <w:r w:rsidRPr="00C51DF3">
        <w:t>dönem halinde incelenmektedir. Erken dönemde meydana gelen enfeksiyonlar</w:t>
      </w:r>
      <w:r>
        <w:t>ın</w:t>
      </w:r>
      <w:r w:rsidRPr="00C51DF3">
        <w:t xml:space="preserve"> </w:t>
      </w:r>
      <w:r>
        <w:t xml:space="preserve">çoğu </w:t>
      </w:r>
      <w:r w:rsidRPr="00C51DF3">
        <w:t>cerrahi veya teknik sorunlar</w:t>
      </w:r>
      <w:r>
        <w:t>la ilişkilidir</w:t>
      </w:r>
      <w:r w:rsidRPr="00DD0FE6">
        <w:t>.</w:t>
      </w:r>
      <w:r>
        <w:rPr>
          <w:rFonts w:ascii="Georgia" w:hAnsi="Georgia"/>
          <w:color w:val="2E2E2E"/>
          <w:sz w:val="27"/>
          <w:szCs w:val="27"/>
        </w:rPr>
        <w:t xml:space="preserve"> </w:t>
      </w:r>
      <w:r w:rsidRPr="00C51DF3">
        <w:t>Ara dönemde immünsüpresyonun etkileri ortaya çıkmakta ve buna bağlı olarak fırsatçı enfeksiyonlar</w:t>
      </w:r>
      <w:r>
        <w:t xml:space="preserve"> </w:t>
      </w:r>
      <w:r w:rsidRPr="00C51DF3">
        <w:t>gelişmekte, geç dönemde ise toplum kökenli bakteriyel enfeksiyonlar ve nadir görülen</w:t>
      </w:r>
      <w:r>
        <w:t xml:space="preserve"> enfeksiyonlar gelişebilmektedir </w:t>
      </w:r>
      <w:r>
        <w:fldChar w:fldCharType="begin" w:fldLock="1"/>
      </w:r>
      <w:r>
        <w:instrText>ADDIN CSL_CITATION {"citationItems":[{"id":"ITEM-1","itemData":{"DOI":"10.3748/wjg.14.4977","ISSN":"10079327","PMID":"18763277","abstract":"Recent advances in effective antimicrobial prophylactic strategies have led to a decline in the incidence of opportunistic infections in liver transplant recipients. However, morbidity and mortality due to infectious diseases remain as major problems. Bacterial infections occurring early after transplant are mainly related to the technical aspects of the procedure. By contrast, after the first postoperative days and beyond, the nature and variety of infectious complications change. Opportunistic bacterial infections are uncommon after 6 mo in patients receiving stable and reduced maintenance doses of immunosuppression with good graft function and little is documented about these cases in the literature. Transplant recipients may be more susceptible to some pathogens, such as the Nocardia species, Legionella species, Listeria monocytogenes, Mycoplasma species, Salmonella species or Rhodococcus equi. Respiratory infections due to capsulated bacteria, such as Streptococcus pneumoniae and Haemophilus influenza, can be life-threatening if not promptly treated in this population. These late bacterial infections may be very difficult to recognize and treat in this population. In this article, we review what has been described in the literature with regards to late bacterial infections following liver transplantation. © 2008 The WJG Press. All rights reserved.","author":[{"dropping-particle":"","family":"Pozo","given":"Jose Luis","non-dropping-particle":"del","parse-names":false,"suffix":""}],"container-title":"World Journal of Gastroenterology","id":"ITEM-1","issue":"32","issued":{"date-parts":[["2008","8","28"]]},"page":"4977-4983","publisher":"Baishideng Publishing Group Inc","title":"del Pozo JL. Update and actual trends on bacterial infections following liver transplantation. World J Gastroenterol 2008; 14: 4977-83","type":"article-journal","volume":"14"},"uris":["http://www.mendeley.com/documents/?uuid=282427f3-fa95-4fd0-9baf-1acbc101a6e0"]}],"mendeley":{"formattedCitation":"(24)","plainTextFormattedCitation":"(24)","previouslyFormattedCitation":"(24)"},"properties":{"noteIndex":0},"schema":"https://github.com/citation-style-language/schema/raw/master/csl-citation.json"}</w:instrText>
      </w:r>
      <w:r>
        <w:fldChar w:fldCharType="separate"/>
      </w:r>
      <w:r w:rsidRPr="0085653B">
        <w:rPr>
          <w:noProof/>
        </w:rPr>
        <w:t>(24)</w:t>
      </w:r>
      <w:r>
        <w:fldChar w:fldCharType="end"/>
      </w:r>
      <w:r w:rsidRPr="00C51DF3">
        <w:t>.</w:t>
      </w:r>
      <w:r w:rsidRPr="00C51DF3">
        <w:rPr>
          <w:color w:val="FF0000"/>
        </w:rPr>
        <w:t xml:space="preserve"> </w:t>
      </w:r>
      <w:r w:rsidRPr="00B1498C">
        <w:t>Çoğu</w:t>
      </w:r>
      <w:r>
        <w:t xml:space="preserve"> </w:t>
      </w:r>
      <w:r w:rsidRPr="00B1498C">
        <w:t>bakteriyel enfeksiyonlar karaciğer nakli alıcılarında ilk bir ayda meydana</w:t>
      </w:r>
      <w:r>
        <w:t xml:space="preserve"> </w:t>
      </w:r>
      <w:r w:rsidRPr="00B1498C">
        <w:t xml:space="preserve">gelmektedir. Bu hastalarda bakteriyemi insidansı %21-33 arasında değişmektedir </w:t>
      </w:r>
      <w:r>
        <w:fldChar w:fldCharType="begin" w:fldLock="1"/>
      </w:r>
      <w:r>
        <w:instrText>ADDIN CSL_CITATION {"citationItems":[{"id":"ITEM-1","itemData":{"id":"ITEM-1","issued":{"date-parts":[["0"]]},"title":"Kusne S, Dummer JS, Singh N, et al. Infections after liver transplantation. An analysis of 101 consecutive cases. Medicine 1988; 67: 132-43","type":"article-journal"},"uris":["http://www.mendeley.com/documents/?uuid=de7a8e43-1e3e-48b7-b264-de0a7b6406e9"]}],"mendeley":{"formattedCitation":"(5)","plainTextFormattedCitation":"(5)","previouslyFormattedCitation":"(5)"},"properties":{"noteIndex":0},"schema":"https://github.com/citation-style-language/schema/raw/master/csl-citation.json"}</w:instrText>
      </w:r>
      <w:r>
        <w:fldChar w:fldCharType="separate"/>
      </w:r>
      <w:r w:rsidRPr="0085653B">
        <w:rPr>
          <w:noProof/>
        </w:rPr>
        <w:t>(5)</w:t>
      </w:r>
      <w:r>
        <w:fldChar w:fldCharType="end"/>
      </w:r>
      <w:r w:rsidRPr="00B1498C">
        <w:t>.</w:t>
      </w:r>
      <w:r>
        <w:t xml:space="preserve"> </w:t>
      </w:r>
    </w:p>
    <w:p w14:paraId="247D6DB0" w14:textId="77777777" w:rsidR="0027460D" w:rsidRDefault="0027460D" w:rsidP="0027460D">
      <w:pPr>
        <w:rPr>
          <w:rFonts w:eastAsia="TimesNewRomanPSMT"/>
        </w:rPr>
      </w:pPr>
      <w:r>
        <w:rPr>
          <w:rFonts w:eastAsia="TimesNewRomanPSMT"/>
        </w:rPr>
        <w:t>K</w:t>
      </w:r>
      <w:r w:rsidRPr="00B1498C">
        <w:rPr>
          <w:rFonts w:eastAsia="TimesNewRomanPSMT"/>
        </w:rPr>
        <w:t>araciğer nakli sonrası</w:t>
      </w:r>
      <w:r>
        <w:rPr>
          <w:rFonts w:eastAsia="TimesNewRomanPSMT"/>
        </w:rPr>
        <w:t xml:space="preserve">nda </w:t>
      </w:r>
      <w:r w:rsidRPr="00B1498C">
        <w:rPr>
          <w:rFonts w:eastAsia="TimesNewRomanPSMT"/>
        </w:rPr>
        <w:t>erken dönemde görülen</w:t>
      </w:r>
      <w:r>
        <w:rPr>
          <w:rFonts w:eastAsia="TimesNewRomanPSMT"/>
        </w:rPr>
        <w:t xml:space="preserve"> </w:t>
      </w:r>
      <w:r w:rsidRPr="00B1498C">
        <w:rPr>
          <w:rFonts w:eastAsia="TimesNewRomanPSMT"/>
        </w:rPr>
        <w:t xml:space="preserve">enfeksiyonların %27-47’sini </w:t>
      </w:r>
      <w:r>
        <w:rPr>
          <w:rFonts w:eastAsia="TimesNewRomanPSMT"/>
        </w:rPr>
        <w:t xml:space="preserve">intraabdominal kaynaklı sebepler </w:t>
      </w:r>
      <w:r w:rsidRPr="00B1498C">
        <w:rPr>
          <w:rFonts w:eastAsia="TimesNewRomanPSMT"/>
        </w:rPr>
        <w:t xml:space="preserve">oluşturmaktadır </w:t>
      </w:r>
      <w:r>
        <w:rPr>
          <w:rFonts w:eastAsia="TimesNewRomanPSMT"/>
        </w:rPr>
        <w:fldChar w:fldCharType="begin" w:fldLock="1"/>
      </w:r>
      <w:r>
        <w:rPr>
          <w:rFonts w:eastAsia="TimesNewRomanPSMT"/>
        </w:rPr>
        <w:instrText>ADDIN CSL_CITATION {"citationItems":[{"id":"ITEM-1","itemData":{"DOI":"10.1086/320901","ISSN":"1058-4838","abstract":"In addition to the net state of immunosuppression, the risk of infection after transplantation is largely determined by the transplant recipient's epidemiologic exposures. Potential sources of infection in the transplant recipient include the environment and the recipient's endogenous flora. This article presents aspects of prevention of infection after solid-organ transplantation such as avoidance of epidemiologic exposures, antibacterial prophylaxis, prophylaxis for tuberculin-positive transplant recipients, and prophylaxis against infections with Pneumocystis carinii and Toxoplasma gondii.","author":[{"dropping-particle":"","family":"Soave","given":"Rosemary","non-dropping-particle":"","parse-names":false,"suffix":""}],"container-title":"Clinical Infectious Diseases","id":"ITEM-1","issue":"s1","issued":{"date-parts":[["2001","7","1"]]},"page":"S26-S31","publisher":"Oxford University Pre</w:instrText>
      </w:r>
      <w:r>
        <w:rPr>
          <w:rFonts w:eastAsia="TimesNewRomanPSMT" w:hint="eastAsia"/>
        </w:rPr>
        <w:instrText>ss (OUP)","title":"Prophylaxis Strategies for Solid</w:instrText>
      </w:r>
      <w:r>
        <w:rPr>
          <w:rFonts w:eastAsia="TimesNewRomanPSMT" w:hint="eastAsia"/>
        </w:rPr>
        <w:instrText>‐</w:instrText>
      </w:r>
      <w:r>
        <w:rPr>
          <w:rFonts w:eastAsia="TimesNewRomanPSMT" w:hint="eastAsia"/>
        </w:rPr>
        <w:instrText>Organ Transplantation","type":"article-journal","volume":"33"},"uris":["http://www.mendeley.com/documents/?uuid=a91d433c-4fe4-3455-b038-2efa6b9f4cd3"]}],"mendeley":{"formattedCitation":"(25)","plainTextF</w:instrText>
      </w:r>
      <w:r>
        <w:rPr>
          <w:rFonts w:eastAsia="TimesNewRomanPSMT"/>
        </w:rPr>
        <w:instrText>ormattedCitation":"(25)","previouslyFormattedCitation":"(25)"},"properties":{"noteIndex":0},"schema":"https://github.com/citation-style-language/schema/raw/master/csl-citation.json"}</w:instrText>
      </w:r>
      <w:r>
        <w:rPr>
          <w:rFonts w:eastAsia="TimesNewRomanPSMT"/>
        </w:rPr>
        <w:fldChar w:fldCharType="separate"/>
      </w:r>
      <w:r w:rsidRPr="0085653B">
        <w:rPr>
          <w:rFonts w:eastAsia="TimesNewRomanPSMT"/>
          <w:noProof/>
        </w:rPr>
        <w:t>(25)</w:t>
      </w:r>
      <w:r>
        <w:rPr>
          <w:rFonts w:eastAsia="TimesNewRomanPSMT"/>
        </w:rPr>
        <w:fldChar w:fldCharType="end"/>
      </w:r>
      <w:r w:rsidRPr="00B1498C">
        <w:rPr>
          <w:rFonts w:eastAsia="TimesNewRomanPSMT"/>
        </w:rPr>
        <w:t xml:space="preserve">. </w:t>
      </w:r>
      <w:r>
        <w:rPr>
          <w:rFonts w:eastAsia="TimesNewRomanPSMT"/>
        </w:rPr>
        <w:t>N</w:t>
      </w:r>
      <w:r w:rsidRPr="00B1498C">
        <w:rPr>
          <w:rFonts w:eastAsia="TimesNewRomanPSMT"/>
        </w:rPr>
        <w:t>ak</w:t>
      </w:r>
      <w:r>
        <w:rPr>
          <w:rFonts w:eastAsia="TimesNewRomanPSMT"/>
        </w:rPr>
        <w:t>i</w:t>
      </w:r>
      <w:r w:rsidRPr="00B1498C">
        <w:rPr>
          <w:rFonts w:eastAsia="TimesNewRomanPSMT"/>
        </w:rPr>
        <w:t>lden sonraki ilk</w:t>
      </w:r>
      <w:r>
        <w:rPr>
          <w:rFonts w:eastAsia="TimesNewRomanPSMT"/>
        </w:rPr>
        <w:t xml:space="preserve"> </w:t>
      </w:r>
      <w:r w:rsidRPr="00B1498C">
        <w:rPr>
          <w:rFonts w:eastAsia="TimesNewRomanPSMT"/>
        </w:rPr>
        <w:t>haftalar</w:t>
      </w:r>
      <w:r>
        <w:rPr>
          <w:rFonts w:eastAsia="TimesNewRomanPSMT"/>
        </w:rPr>
        <w:t>da</w:t>
      </w:r>
      <w:r w:rsidRPr="00B1498C">
        <w:rPr>
          <w:rFonts w:eastAsia="TimesNewRomanPSMT"/>
        </w:rPr>
        <w:t xml:space="preserve"> ateş, lökositoz, karın ağrısı ile birlikte; sıklıkla intraabdominal apse, peritonit ve</w:t>
      </w:r>
      <w:r>
        <w:rPr>
          <w:rFonts w:eastAsia="TimesNewRomanPSMT"/>
        </w:rPr>
        <w:t xml:space="preserve"> </w:t>
      </w:r>
      <w:r w:rsidRPr="00B1498C">
        <w:rPr>
          <w:rFonts w:eastAsia="TimesNewRomanPSMT"/>
        </w:rPr>
        <w:t xml:space="preserve">kolanjit </w:t>
      </w:r>
      <w:r>
        <w:rPr>
          <w:rFonts w:eastAsia="TimesNewRomanPSMT"/>
        </w:rPr>
        <w:t xml:space="preserve">tablosu ile </w:t>
      </w:r>
      <w:r w:rsidRPr="00B1498C">
        <w:rPr>
          <w:rFonts w:eastAsia="TimesNewRomanPSMT"/>
        </w:rPr>
        <w:t>kendini göstermektedir.</w:t>
      </w:r>
      <w:r>
        <w:rPr>
          <w:rFonts w:eastAsia="TimesNewRomanPSMT"/>
        </w:rPr>
        <w:t xml:space="preserve"> </w:t>
      </w:r>
    </w:p>
    <w:p w14:paraId="7AE5BB19" w14:textId="38B73899" w:rsidR="0027460D" w:rsidRDefault="0027460D" w:rsidP="0027460D">
      <w:r w:rsidRPr="00B1498C">
        <w:t>Karaciğer nakli sonrası enfeksiyona neden olan en sık patojenler bakterilerdir.</w:t>
      </w:r>
      <w:r>
        <w:t xml:space="preserve"> </w:t>
      </w:r>
      <w:r w:rsidRPr="00B1498C">
        <w:t>Yara yeri enfeksiyonları, abdominal boşluk enfeksiyonları, üriner sistem, respiratuvar</w:t>
      </w:r>
      <w:r>
        <w:t xml:space="preserve"> </w:t>
      </w:r>
      <w:r w:rsidRPr="00B1498C">
        <w:t>sistem ve kan dolaşım</w:t>
      </w:r>
      <w:r>
        <w:t>ı</w:t>
      </w:r>
      <w:r w:rsidRPr="00B1498C">
        <w:t xml:space="preserve"> enfeksiyonları şeklinde görülmektedir </w:t>
      </w:r>
      <w:r>
        <w:fldChar w:fldCharType="begin" w:fldLock="1"/>
      </w:r>
      <w:r w:rsidR="001C4787">
        <w:instrText>ADDIN CSL_CITATION {"citationItems":[{"id":"ITEM-1","itemData":{"DOI":"10.1002/lt.21991","ISSN":"15276465","abstract":"Bloodstream infections (BSIs) are a major cause of mortality in liver transplant recipients. The incidence, microbiology, and outcome of BSIs in the first year after liver transplantation were analyzed in 704 patients who underwent transplantation at a single center between 1997 and 2007. BSIs occurred in 205 (29.1%) of the 704 patients. Overall, 259 episodes were documented, and they resulted in an incidence rate of 36.8%. Of these episodes, 39.4%, 27.8%, 17%, and 15.8% occurred in the very early period (≤10 days after liver transplantation), the early period (days 11-30), the intermediate period (days 31-90), and the late period (days 91-365), respectively. The most frequent pathogens were Enterobacteriaceae members (41%), Staphylococcus aureus (19.8%), enterococci (13.1%), Pseudomonas aeruginosa (8.8%), and yeasts (7.1%). The median time of onset ranged from 7 days for methicillin-resistant S. aureus to 25 days for Enterobacteriaceae. Mortality at 15 days after BSIs was 16.2%. Kaplan-Meier survival curves showed that patients with BSIs had a significantly higher 1-year mortality rate than those without BSIs (28.3% versus 16.6%, P &lt; 0.001 with the log-rank test). When the time of BSI onset was considered, 1-year mortality was significantly associated with very early and early episodes (P &lt; 0.001) but not with intermediate and late episodes (P = 0.47). In conclusion, BSIs are frequent and early complications after liver transplantation and are mostly caused by gram-negative bacilli. A BSI in the first posttransplant month is a significant predictor of 1-year survival. © 2010 AASLD.","author":[{"dropping-particle":"","family":"Bert","given":"Frédéric","non-dropping-particle":"","parse-names":false,"suffix":""},{"dropping-particle":"","family":"Larroque","given":"Beatrice","non-dropping-particle":"","parse-names":false,"suffix":""},{"dropping-particle":"","family":"Paugam-Burtz","given":"Catherine","non-dropping-particle":"","parse-names":false,"suffix":""},{"dropping-particle":"","family":"Janny","given":"Sylvie","non-dropping-particle":"","parse-names":false,"suffix":""},{"dropping-particle":"","family":"Durand","given":"Francois","non-dropping-particle":"","parse-names":false,"suffix":""},{"dropping-particle":"","family":"Dondero","given":"Fédérica","non-dropping-particle":"","parse-names":false,"suffix":""},{"dropping-particle":"","family":"Valla","given":"Dominique-Charles","non-dropping-particle":"","parse-names":false,"suffix":""},{"dropping-particle":"","family":"Belghiti","given":"Jacques","non-dropping-particle":"","parse-names":false,"suffix":""},{"dropping-particle":"","family":"Moreau","given":"Richard","non-dropping-particle":"","parse-names":false,"suffix":""},{"dropping-particle":"","family":"Nicolas-Chanoine","given":"Marie-Hélène","non-dropping-particle":"","parse-names":false,"suffix":""}],"container-title":"Liver Transplantation","id":"ITEM-1","issue":"3","issued":{"date-parts":[["2010","3","1"]]},"page":"393-401","publisher":"John Wiley &amp; Sons, Ltd","title":"Microbial epidemiology and outcome of bloodstream infections in liver transplant recipients: An analysis of 259 episodes","type":"article-journal","volume":"16"},"uris":["http://www.mendeley.com/documents/?uuid=e5592d11-8db2-33ef-bb51-c4dc5c48ad00"]},{"id":"ITEM-2","itemData":{"DOI":"10.3748/wjg.14.4977","ISSN":"10079327","PMID":"18763277","abstract":"Recent advances in effective antimicrobial prophylactic strategies have led to a decline in the incidence of opportunistic infections in liver transplant recipients. However, morbidity and mortality due to infectious diseases remain as major problems. Bacterial infections occurring early after transplant are mainly related to the technical aspects of the procedure. By contrast, after the first postoperative days and beyond, the nature and variety of infectious complications change. Opportunistic bacterial infections are uncommon after 6 mo in patients receiving stable and reduced maintenance doses of immunosuppression with good graft function and little is documented about these cases in the literature. Transplant recipients may be more susceptible to some pathogens, such as the Nocardia species, Legionella species, Listeria monocytogenes, Mycoplasma species, Salmonella species or Rhodococcus equi. Respiratory infections due to capsulated bacteria, such as Streptococcus pneumoniae and Haemophilus influenza, can be life-threatening if not promptly treated in this population. These late bacterial infections may be very difficult to recognize and treat in this population. In this article, we review what has been described in the literature with regards to late bacterial infections following liver transplantation. © 2008 The WJG Press. All rights reserved.","author":[{"dropping-particle":"","family":"Pozo","given":"Jose Luis","non-dropping-particle":"del","parse-names":false,"suffix":""}],"container-title":"World Journal of Gastroenterology","id":"ITEM-2","issue":"32","issued":{"date-parts":[["2008","8","28"]]},"page":"4977-4983","publisher":"Baishideng Publishing Group Inc","title":"del Pozo JL. Update and actual trends on bacterial infections following liver transplantation. World J Gastroenterol 2008; 14: 4977-83","type":"article-journal","volume":"14"},"uris":["http://www.mendeley.com/documents/?uuid=282427f3-fa95-4fd0-9baf-1acbc101a6e0"]}],"mendeley":{"formattedCitation":"(24,94)","plainTextFormattedCitation":"(24,94)","previouslyFormattedCitation":"(24,94)"},"properties":{"noteIndex":0},"schema":"https://github.com/citation-style-language/schema/raw/master/csl-citation.json"}</w:instrText>
      </w:r>
      <w:r>
        <w:fldChar w:fldCharType="separate"/>
      </w:r>
      <w:r w:rsidR="00013FE6" w:rsidRPr="00013FE6">
        <w:rPr>
          <w:noProof/>
        </w:rPr>
        <w:t>(24,94)</w:t>
      </w:r>
      <w:r>
        <w:fldChar w:fldCharType="end"/>
      </w:r>
      <w:r w:rsidRPr="00B1498C">
        <w:t xml:space="preserve">. </w:t>
      </w:r>
    </w:p>
    <w:p w14:paraId="0420A036" w14:textId="31D30E59" w:rsidR="002B155E" w:rsidRDefault="002B155E" w:rsidP="002B155E">
      <w:r w:rsidRPr="00B1498C">
        <w:t>Karaciğer nakli</w:t>
      </w:r>
      <w:r>
        <w:t xml:space="preserve"> hastalarında i</w:t>
      </w:r>
      <w:r w:rsidRPr="00B1498C">
        <w:t>ntraabdominal enfeksiyonlar genellikle</w:t>
      </w:r>
      <w:r>
        <w:t xml:space="preserve"> </w:t>
      </w:r>
      <w:r w:rsidRPr="00B1498C">
        <w:t>polimikrobiyaldir ve</w:t>
      </w:r>
      <w:r>
        <w:t xml:space="preserve"> multiple</w:t>
      </w:r>
      <w:r w:rsidRPr="00B1498C">
        <w:t xml:space="preserve"> ilaç direnci gösteren bakteriler izole edilir. Bazı önemli intraabdominal</w:t>
      </w:r>
      <w:r>
        <w:t xml:space="preserve"> </w:t>
      </w:r>
      <w:r w:rsidRPr="00B1498C">
        <w:t xml:space="preserve">enfeksiyon etkenleri </w:t>
      </w:r>
      <w:r w:rsidRPr="00E2328C">
        <w:rPr>
          <w:i/>
        </w:rPr>
        <w:t>VRE</w:t>
      </w:r>
      <w:r w:rsidRPr="00B1498C">
        <w:t xml:space="preserve"> dâhil </w:t>
      </w:r>
      <w:r w:rsidRPr="00E2328C">
        <w:rPr>
          <w:i/>
        </w:rPr>
        <w:t>enterekoklar</w:t>
      </w:r>
      <w:r w:rsidRPr="00B1498C">
        <w:t xml:space="preserve">, </w:t>
      </w:r>
      <w:r w:rsidRPr="00E2328C">
        <w:rPr>
          <w:i/>
        </w:rPr>
        <w:t>MRSA</w:t>
      </w:r>
      <w:r w:rsidRPr="00B1498C">
        <w:t xml:space="preserve"> dâhil </w:t>
      </w:r>
      <w:r w:rsidR="00F41A53">
        <w:rPr>
          <w:i/>
          <w:iCs/>
        </w:rPr>
        <w:t>S. A</w:t>
      </w:r>
      <w:r w:rsidRPr="00B1498C">
        <w:rPr>
          <w:i/>
          <w:iCs/>
        </w:rPr>
        <w:t xml:space="preserve">ureus, </w:t>
      </w:r>
      <w:r w:rsidRPr="00FD11DB">
        <w:rPr>
          <w:i/>
          <w:iCs/>
        </w:rPr>
        <w:t xml:space="preserve">Candida </w:t>
      </w:r>
      <w:r w:rsidRPr="00FD11DB">
        <w:rPr>
          <w:i/>
        </w:rPr>
        <w:t>spp</w:t>
      </w:r>
      <w:r w:rsidRPr="00FD11DB">
        <w:rPr>
          <w:i/>
          <w:iCs/>
        </w:rPr>
        <w:t>, Pseudomonas</w:t>
      </w:r>
      <w:r w:rsidRPr="00B1498C">
        <w:rPr>
          <w:i/>
          <w:iCs/>
        </w:rPr>
        <w:t xml:space="preserve"> </w:t>
      </w:r>
      <w:r w:rsidRPr="00B1498C">
        <w:t xml:space="preserve">spp, </w:t>
      </w:r>
      <w:r w:rsidRPr="00B1498C">
        <w:rPr>
          <w:i/>
          <w:iCs/>
        </w:rPr>
        <w:t xml:space="preserve">Klebsiella </w:t>
      </w:r>
      <w:r w:rsidRPr="00FD11DB">
        <w:rPr>
          <w:i/>
        </w:rPr>
        <w:t>spp,</w:t>
      </w:r>
      <w:r w:rsidRPr="00B1498C">
        <w:t xml:space="preserve"> </w:t>
      </w:r>
      <w:r w:rsidRPr="00FD11DB">
        <w:rPr>
          <w:i/>
          <w:iCs/>
        </w:rPr>
        <w:t xml:space="preserve">Acinetobacter </w:t>
      </w:r>
      <w:r w:rsidRPr="00FD11DB">
        <w:rPr>
          <w:i/>
        </w:rPr>
        <w:t>spp</w:t>
      </w:r>
      <w:r w:rsidRPr="00B1498C">
        <w:t xml:space="preserve">, </w:t>
      </w:r>
      <w:r w:rsidRPr="00B1498C">
        <w:rPr>
          <w:i/>
          <w:iCs/>
        </w:rPr>
        <w:t xml:space="preserve">Enterobacter </w:t>
      </w:r>
      <w:r w:rsidRPr="00FD11DB">
        <w:rPr>
          <w:i/>
        </w:rPr>
        <w:t>spp</w:t>
      </w:r>
      <w:r w:rsidRPr="00B1498C">
        <w:t xml:space="preserve">. gibi bakterilerdir </w:t>
      </w:r>
      <w:r>
        <w:fldChar w:fldCharType="begin" w:fldLock="1"/>
      </w:r>
      <w:r>
        <w:instrText>ADDIN CSL_CITATION {"citationItems":[{"id":"ITEM-1","itemData":{"DOI":"10.1111/j.1399-0012.2006.00608.x","ISSN":"09020063","abstract":"Advances in surgical techniques and immunosuppression (IS) have led to an appreciable reduction in postoperative complications following transplantation. However, wound complications as probably the most common type of post-transplantation surgical complication can still limit these improved outcomes and result in prolonged hospitalization, hospital readmission, and reoperation, consequently increasing overall transplant cost. Our aim was to review the literature to delineate the evidence-based risk factors for wound complications following kidney and liver transplantation (KTx, LTx), and to present the preventive and therapeutic modalities for this bothersome morbidity. Generally, wound complications are categorized as superficial and deep wound dehiscences, perigraft fluid collections and seroma, superficial and deep wound infections, cellulitis, lymphocele and wound drainage. The results of several studies showed that the most important risk factors for wound complications are IS and obesity. Additionally, there are surgical and/ or technical factors, including type of incision, reoperation, and surgeon's expertise, as well as comorbidities such as advanced age, diabetes mellitus, malnutrition, and uremia. Preventive management of wound complications necessitates defining their etiological factors so that their detrimental effects on healing processes can be addressed and reduced. IS modalities and agents, especially sirolimus (SRL), and steroids (ST) should be adjusted according to the patient's co-existing risk factors. SRL should be administered three months after transplantation and ST should be tapered as soon as possible. A body mass index (BMI) lower than 30 kg/m 2 is advisable for inclusion in a transplantation program, but higher BMIs do not exclude recipients. Surgical risk factors can be prevented by applying precise surgical techniques. Therapeutic modalities must focus on the most efficient and cost-effective medications and/or interventions to facilitate and improve wound healing. © 2006 Blackwell Munksgaard.","author":[{"dropping-particle":"","family":"Mehrabi","given":"Arianeb","non-dropping-particle":"","parse-names":false,"suffix":""},{"dropping-particle":"","family":"Fonouni","given":"H.","non-dropping-particle":"","parse-names":false,"suffix":""},{"dropping-particle":"","family":"Wente","given":"M.","non-dropping-particle":"","parse-names":false,"suffix":""},{"dropping-particle":"","family":"Sadeghi","given":"M.","non-dropping-particle":"","parse-names":false,"suffix":""},{"dropping-particle":"","family":"Eisenbach","given":"C.","non-dropping-particle":"","parse-names":false,"suffix":""},{"dropping-particle":"","family":"Encke","given":"J.","non-dropping-particle":"","parse-names":false,"suffix":""},{"dropping-particle":"","family":"Schmied","given":"B. M.","non-dropping-particle":"","parse-names":false,"suffix":""},{"dropping-particle":"","family":"Libicher","given":"M.","non-dropping-particle":"","parse-names":false,"suffix":""},{"dropping-particle":"","family":"Zeier","given":"M.","non-dropping-particle":"","parse-names":false,"suffix":""},{"dropping-particle":"","family":"Weitz","given":"J.","non-dropping-particle":"","parse-names":false,"suffix":""},{"dropping-particle":"","family":"Büchler","given":"M. W.","non-dropping-particle":"","parse-names":false,"suffix":""},{"dropping-particle":"","family":"Schmidt","given":"J.","non-dropping-particle":"","parse-names":false,"suffix":""}],"container-title":"Clinical Transplantation","id":"ITEM-1","issue":"SUPPL. 17","issued":{"date-parts":[["2006","12"]]},"page":"97-110","publisher":"John Wiley &amp; Sons, Ltd","title":"Wound complications following kidney and liver transplantation","type":"article","volume":"20"},"uris":["http://www.mendeley.com/documents/?uuid=5943b369-7684-3242-b2ab-23b350c0f2b5"]},{"id":"ITEM-2","itemData":{"DOI":"10.1086/422644","ISSN":"1058-4838","abstract":"Background. Infected hepatic fluid collections (bilomas) are a major infectious complication of liver transplantation. Limited data exist on management and outcome of biloma. Methods. We report a cohort study of 57 liver transplant recipients with posttransplantation bilomas undertaken to identify the clinical features of biloma, management strategies, and outcome. Results. Fever (44%) and abdominal pain (40%) were the most common presenting symptoms, but one-third of patients were asymptomatic; 79% had elevated hepatic enzyme levels. Patients without hepatic artery thrombosis (HAT) had the highest rates of resolution with percutaneous drainage and anti-infective therapy (64%). Retransplantation was necessary in 64% of patients with HAT and biloma. Independent predictors of resolution with nonsurgical therapy were absence of HAT (odds ratio [OR] 7.69; P = .01) and absence of Candida (OR, 9.09; P = .02) or enterococcal infection (OR, 7.69; P = .03). Patients with bilomas had significantly greater mortality (Cox proportional hazard ratio [HR], 2.38; P = .008, by log rank test) and graft loss (HR, 4.31; P &lt; .0001). Predictors of mortality by multivariable analysis included renal insufficiency (OR, 12.51; P = .02) or infection with Candida species (OR, 4.93; P = .03) or gram-negative bacilli (OR, 9.12; P = .01). Conclusion. Posttransplantation biloma should be suspected in patients with fever or abdominal pain or abnormalities of hepatic enzymes, and it can be confirmed by computerized tomography and radiographically guided aspiration. Bilomas are most likely to be successfully treated nonsurgically in patients without HAT and without Candida or enterococcus infection.","author":[{"dropping-particle":"","family":"Safdar","given":"N.","non-dropping-particle":"","parse-names":false,"suffix":""},{"dropping-particle":"","family":"Said","given":"A.","non-dropping-particle":"","parse-names":false,"suffix":""},{"dropping-particle":"","family":"Lucey","given":"M. R.","non-dropping-particle":"","parse-names":false,"suffix":""},{"dropping-particle":"","family":"Knechtle","given":"S. J.","non-dropping-particle":"","parse-names":false,"suffix":""},{"dropping-particle":"","family":"D'Alessandro","given":"A.","non-dropping-particle":"","parse-names":false,"suffix":""},{"dropping-particle":"","family":"Musat","given":"A.","non-dropping-particle":"","parse-names":false,"suffix":""},{"dropping-particle":"","family":"Pirsch","given":"J.","non-dropping-particle":"","parse-names":false,"suffix":""},{"dropping-particle":"","family":"McDermott","given":"J.","non-dropping-particle":"","parse-names":false,"suffix":""},{"dropping-particle":"","family":"Kalayoglu","given":"M.","non-dropping-particle":"","parse-names":false,"suffix":""},{"dropping-particle":"","family":"Dennis","given":"G. M.","non-dropping-particle":"","parse-names":false,"suffix":""}],"container-title":"Clinical Infectious Diseases","id":"ITEM-2","issue":"4","issued":{"date-parts":[["2004","8","15"]]},"page":"517-525","publisher":"Oxford University Press (OUP)","title":"Infected Bilomas in Liver Transplant Recipients: Clinical Features, Optimal Management, and Risk Factors for Mortality","type":"article-journal","volume":"39"},"uris":["http://www.mendeley.com/documents/?uuid=c9b5848d-67d4-4bfe-b082-90d0ae68b579"]}],"mendeley":{"formattedCitation":"(95,96)","plainTextFormattedCitation":"(95,96)","previouslyFormattedCitation":"(95,96)"},"properties":{"noteIndex":0},"schema":"https://github.com/citation-style-language/schema/raw/master/csl-citation.json"}</w:instrText>
      </w:r>
      <w:r>
        <w:fldChar w:fldCharType="separate"/>
      </w:r>
      <w:r w:rsidRPr="00013FE6">
        <w:rPr>
          <w:noProof/>
        </w:rPr>
        <w:t>(95,96)</w:t>
      </w:r>
      <w:r>
        <w:fldChar w:fldCharType="end"/>
      </w:r>
      <w:r w:rsidRPr="00B1498C">
        <w:t>.</w:t>
      </w:r>
      <w:r>
        <w:t xml:space="preserve"> </w:t>
      </w:r>
    </w:p>
    <w:p w14:paraId="5A4796D5" w14:textId="77777777" w:rsidR="0027460D" w:rsidRDefault="0027460D" w:rsidP="0027460D">
      <w:r>
        <w:t xml:space="preserve">Bizim çalışmamızdaki intraabdominal kaynaklı septik hastaların nakilden sonraki reoperasyona gidişin ortanca değeri 10 (4-69) gündü. Bu yüzden oluşan enfeksiyonlar erken dönem grubundaydı. </w:t>
      </w:r>
    </w:p>
    <w:p w14:paraId="7A722A5C" w14:textId="3A905EF0" w:rsidR="005A0648" w:rsidRDefault="0027460D" w:rsidP="005A0648">
      <w:pPr>
        <w:rPr>
          <w:rFonts w:eastAsia="TimesNewRomanPSMT"/>
        </w:rPr>
      </w:pPr>
      <w:r w:rsidRPr="00B1498C">
        <w:t>Karaciğer naklinde, kan dolaşımı enfeksiyonlarında sık</w:t>
      </w:r>
      <w:r>
        <w:t xml:space="preserve"> </w:t>
      </w:r>
      <w:r w:rsidRPr="00B1498C">
        <w:t xml:space="preserve">görülen etkenler </w:t>
      </w:r>
      <w:r w:rsidRPr="00AF25E5">
        <w:rPr>
          <w:i/>
        </w:rPr>
        <w:t xml:space="preserve">enterekoklar, viridans streptekoklar ve stafilokoklar </w:t>
      </w:r>
      <w:r>
        <w:t xml:space="preserve">gibi gram (+) </w:t>
      </w:r>
      <w:r w:rsidRPr="00B1498C">
        <w:t>koklar iken, gastrointestinal sistem</w:t>
      </w:r>
      <w:r>
        <w:t xml:space="preserve">den </w:t>
      </w:r>
      <w:r w:rsidRPr="00B1498C">
        <w:t>kaynak</w:t>
      </w:r>
      <w:r>
        <w:t>lı</w:t>
      </w:r>
      <w:r w:rsidRPr="00B1498C">
        <w:t xml:space="preserve"> </w:t>
      </w:r>
      <w:r>
        <w:t xml:space="preserve">etken ise </w:t>
      </w:r>
      <w:r w:rsidRPr="00B1498C">
        <w:t xml:space="preserve">gram </w:t>
      </w:r>
      <w:r>
        <w:t>(-)</w:t>
      </w:r>
      <w:r w:rsidRPr="00B1498C">
        <w:t xml:space="preserve"> bakterilerdir </w:t>
      </w:r>
      <w:r>
        <w:fldChar w:fldCharType="begin" w:fldLock="1"/>
      </w:r>
      <w:r w:rsidR="001C4787">
        <w:instrText>ADDIN CSL_CITATION {"citationItems":[{"id":"ITEM-1","itemData":{"DOI":"10.1002/lt.21991","ISSN":"15276465","abstract":"Bloodstream infections (BSIs) are a major cause of mortality in liver transplant recipients. The incidence, microbiology, and outcome of BSIs in the first year after liver transplantation were analyzed in 704 patients who underwent transplantation at a single center between 1997 and 2007. BSIs occurred in 205 (29.1%) of the 704 patients. Overall, 259 episodes were documented, and they resulted in an incidence rate of 36.8%. Of these episodes, 39.4%, 27.8%, 17%, and 15.8% occurred in the very early period (≤10 days after liver transplantation), the early period (days 11-30), the intermediate period (days 31-90), and the late period (days 91-365), respectively. The most frequent pathogens were Enterobacteriaceae members (41%), Staphylococcus aureus (19.8%), enterococci (13.1%), Pseudomonas aeruginosa (8.8%), and yeasts (7.1%). The median time of onset ranged from 7 days for methicillin-resistant S. aureus to 25 days for Enterobacteriaceae. Mortality at 15 days after BSIs was 16.2%. Kaplan-Meier survival curves showed that patients with BSIs had a significantly higher 1-year mortality rate than those without BSIs (28.3% versus 16.6%, P &lt; 0.001 with the log-rank test). When the time of BSI onset was considered, 1-year mortality was significantly associated with very early and early episodes (P &lt; 0.001) but not with intermediate and late episodes (P = 0.47). In conclusion, BSIs are frequent and early complications after liver transplantation and are mostly caused by gram-negative bacilli. A BSI in the first posttransplant month is a significant predictor of 1-year survival. © 2010 AASLD.","author":[{"dropping-particle":"","family":"Bert","given":"Frédéric","non-dropping-particle":"","parse-names":false,"suffix":""},{"dropping-particle":"","family":"Larroque","given":"Beatrice","non-dropping-particle":"","parse-names":false,"suffix":""},{"dropping-particle":"","family":"Paugam-Burtz","given":"Catherine","non-dropping-particle":"","parse-names":false,"suffix":""},{"dropping-particle":"","family":"Janny","given":"Sylvie","non-dropping-particle":"","parse-names":false,"suffix":""},{"dropping-particle":"","family":"Durand","given":"Francois","non-dropping-particle":"","parse-names":false,"suffix":""},{"dropping-particle":"","family":"Dondero","given":"Fédérica","non-dropping-particle":"","parse-names":false,"suffix":""},{"dropping-particle":"","family":"Valla","given":"Dominique-Charles","non-dropping-particle":"","parse-names":false,"suffix":""},{"dropping-particle":"","family":"Belghiti","given":"Jacques","non-dropping-particle":"","parse-names":false,"suffix":""},{"dropping-particle":"","family":"Moreau","given":"Richard","non-dropping-particle":"","parse-names":false,"suffix":""},{"dropping-particle":"","family":"Nicolas-Chanoine","given":"Marie-Hélène","non-dropping-particle":"","parse-names":false,"suffix":""}],"container-title":"Liver Transplantation","id":"ITEM-1","issue":"3","issued":{"date-parts":[["2010","3","1"]]},"page":"393-401","publisher":"John Wiley &amp; Sons, Ltd","title":"Microbial epidemiology and outcome of bloodstream infections in liver transplant recipients: An analysis of 259 episodes","type":"article-journal","volume":"16"},"uris":["http://www.mendeley.com/documents/?uuid=e5592d11-8db2-33ef-bb51-c4dc5c48ad00"]}],"mendeley":{"formattedCitation":"(94)","plainTextFormattedCitation":"(94)","previouslyFormattedCitation":"(94)"},"properties":{"noteIndex":0},"schema":"https://github.com/citation-style-language/schema/raw/master/csl-citation.json"}</w:instrText>
      </w:r>
      <w:r>
        <w:fldChar w:fldCharType="separate"/>
      </w:r>
      <w:r w:rsidR="00013FE6" w:rsidRPr="00013FE6">
        <w:rPr>
          <w:noProof/>
        </w:rPr>
        <w:t>(94)</w:t>
      </w:r>
      <w:r>
        <w:fldChar w:fldCharType="end"/>
      </w:r>
      <w:r w:rsidRPr="00B1498C">
        <w:t>.</w:t>
      </w:r>
      <w:bookmarkStart w:id="580" w:name="_Toc45265956"/>
      <w:r>
        <w:t xml:space="preserve"> </w:t>
      </w:r>
      <w:r w:rsidRPr="000F0FBE">
        <w:rPr>
          <w:rStyle w:val="Balk3Char"/>
          <w:b w:val="0"/>
          <w:bCs/>
        </w:rPr>
        <w:t>Kan dolaşımı</w:t>
      </w:r>
      <w:r>
        <w:rPr>
          <w:rStyle w:val="Balk3Char"/>
          <w:b w:val="0"/>
          <w:bCs/>
        </w:rPr>
        <w:t xml:space="preserve">nda </w:t>
      </w:r>
      <w:r w:rsidRPr="000F0FBE">
        <w:rPr>
          <w:rStyle w:val="Balk3Char"/>
          <w:b w:val="0"/>
          <w:bCs/>
        </w:rPr>
        <w:t>enfeksiyon</w:t>
      </w:r>
      <w:r>
        <w:rPr>
          <w:rStyle w:val="Balk3Char"/>
          <w:b w:val="0"/>
          <w:bCs/>
        </w:rPr>
        <w:t xml:space="preserve"> üremesi açısından b</w:t>
      </w:r>
      <w:bookmarkEnd w:id="580"/>
      <w:r w:rsidRPr="00B1498C">
        <w:t>aşlıca risk faktörleri re</w:t>
      </w:r>
      <w:r w:rsidR="008A1F60">
        <w:t>laparot</w:t>
      </w:r>
      <w:r>
        <w:t>omi</w:t>
      </w:r>
      <w:r w:rsidRPr="00B1498C">
        <w:t xml:space="preserve"> gerektiren </w:t>
      </w:r>
      <w:r>
        <w:t xml:space="preserve">karın içi </w:t>
      </w:r>
      <w:r w:rsidRPr="00B1498C">
        <w:t xml:space="preserve">enfeksiyonlar, </w:t>
      </w:r>
      <w:r>
        <w:t xml:space="preserve">santral venöz </w:t>
      </w:r>
      <w:r w:rsidRPr="00B1498C">
        <w:t>kataterlerin uzun süreli kullanımı ve akut allogreft</w:t>
      </w:r>
      <w:r>
        <w:t xml:space="preserve"> </w:t>
      </w:r>
      <w:r w:rsidRPr="00B1498C">
        <w:t xml:space="preserve">rejeksiyonudur </w:t>
      </w:r>
      <w:r>
        <w:fldChar w:fldCharType="begin" w:fldLock="1"/>
      </w:r>
      <w:r w:rsidR="001C4787">
        <w:instrText>ADDIN CSL_CITATION {"citationItems":[{"id":"ITEM-1","itemData":{"DOI":"10.1002/lt.21991","ISSN":"15276465","abstract":"Bloodstream infections (BSIs) are a major cause of mortality in liver transplant recipients. The incidence, microbiology, and outcome of BSIs in the first year after liver transplantation were analyzed in 704 patients who underwent transplantation at a single center between 1997 and 2007. BSIs occurred in 205 (29.1%) of the 704 patients. Overall, 259 episodes were documented, and they resulted in an incidence rate of 36.8%. Of these episodes, 39.4%, 27.8%, 17%, and 15.8% occurred in the very early period (≤10 days after liver transplantation), the early period (days 11-30), the intermediate period (days 31-90), and the late period (days 91-365), respectively. The most frequent pathogens were Enterobacteriaceae members (41%), Staphylococcus aureus (19.8%), enterococci (13.1%), Pseudomonas aeruginosa (8.8%), and yeasts (7.1%). The median time of onset ranged from 7 days for methicillin-resistant S. aureus to 25 days for Enterobacteriaceae. Mortality at 15 days after BSIs was 16.2%. Kaplan-Meier survival curves showed that patients with BSIs had a significantly higher 1-year mortality rate than those without BSIs (28.3% versus 16.6%, P &lt; 0.001 with the log-rank test). When the time of BSI onset was considered, 1-year mortality was significantly associated with very early and early episodes (P &lt; 0.001) but not with intermediate and late episodes (P = 0.47). In conclusion, BSIs are frequent and early complications after liver transplantation and are mostly caused by gram-negative bacilli. A BSI in the first posttransplant month is a significant predictor of 1-year survival. © 2010 AASLD.","author":[{"dropping-particle":"","family":"Bert","given":"Frédéric","non-dropping-particle":"","parse-names":false,"suffix":""},{"dropping-particle":"","family":"Larroque","given":"Beatrice","non-dropping-particle":"","parse-names":false,"suffix":""},{"dropping-particle":"","family":"Paugam-Burtz","given":"Catherine","non-dropping-particle":"","parse-names":false,"suffix":""},{"dropping-particle":"","family":"Janny","given":"Sylvie","non-dropping-particle":"","parse-names":false,"suffix":""},{"dropping-particle":"","family":"Durand","given":"Francois","non-dropping-particle":"","parse-names":false,"suffix":""},{"dropping-particle":"","family":"Dondero","given":"Fédérica","non-dropping-particle":"","parse-names":false,"suffix":""},{"dropping-particle":"","family":"Valla","given":"Dominique-Charles","non-dropping-particle":"","parse-names":false,"suffix":""},{"dropping-particle":"","family":"Belghiti","given":"Jacques","non-dropping-particle":"","parse-names":false,"suffix":""},{"dropping-particle":"","family":"Moreau","given":"Richard","non-dropping-particle":"","parse-names":false,"suffix":""},{"dropping-particle":"","family":"Nicolas-Chanoine","given":"Marie-Hélène","non-dropping-particle":"","parse-names":false,"suffix":""}],"container-title":"Liver Transplantation","id":"ITEM-1","issue":"3","issued":{"date-parts":[["2010","3","1"]]},"page":"393-401","publisher":"John Wiley &amp; Sons, Ltd","title":"Microbial epidemiology and outcome of bloodstream infections in liver transplant recipients: An analysis of 259 episodes","type":"article-journal","volume":"16"},"uris":["http://www.mendeley.com/documents/?uuid=e5592d11-8db2-33ef-bb51-c4dc5c48ad00"]},{"id":"ITEM-2","itemData":{"DOI":"10.1111/j.1399-3062.2009.00421.x","ISSN":"13982273","abstract":"Background. Bacteremias, which are often caused by gram-negative bacteria, are the most frequently occurring infectious complications after liver transplantation (LT). The aim of this study was to investigate bacteremic incidence, pathogenic spectrum, risk factors for bacteremia due to multidrug resistant (MDR) gram-negative bacilli, and its impact on mortality after LT. Methods. A cohort analysis of prospectively recorded data was done in 475 LT recipients, who were divided into 3 categories: cases with gram-negative bacteremia, cases with MDR gram-negative bacteremia, and cases without bacteremia as controls. Results. In 475 LT recipients, there were 152 (32.0%) patients with gram-negative bacillus bacteremia in the first 6 months after LT. Out of 152 patients, there were 225 bacteremic episodes, which accounted for 69.7% in a total 323 bacteremic episodes. A total of 190 bacteremic episodes were caused by Stenotrophomonas maltophilia, Enterobacteriaceae, Ochrobactrum anthropi, Pseudomonas, and Acinetobacter baumanii, all of which were the most frequent gram-negative isolates in this study, and MDR bacilli constituted 56.3%. The most frequent source was intravascular catheters. There were 70 patients with MDR gram-negative bacillus bacteremia. Independent risk factors for bacteremia due to MDR gram-negative bacillus were as follows: post-LT abdominal infection (P&lt;0.0001, odds ratio [OR] 0.066, 95% confidence interval [CI] 0.019-0.226), post-LT reoperative episodes (P&lt;0.0001, OR 10.505, 95% CI 3.055-36.121), or one or more episodes of acute rejection (P=0.042, OR 4.457, 95% CI 0.988-20.103). In the first 6 months after LT, MDR gram-negative bacillus bacteremia-related mortality was significantly higher than that due to antibiotic-susceptible bacillus (38.6% vs. 14.6%, P&lt;0.001). Conclusion. Post-LT bacteremias caused by MDR gram-negative bacilli are common, and associated with allograft acute rejection, post-LT reoperation, and abdominal infection. The increasing isolates of MDR gram-negative bacilli pose a great challenge for clinical treatment. © 2009 John Wiley &amp; Sons A/S.","author":[{"dropping-particle":"","family":"Shi","given":"S.H.","non-dropping-particle":"","parse-names":false,"suffix":""},{"dropping-particle":"","family":"Kong","given":"H.S.","non-dropping-particle":"","parse-names":false,"suffix":""},{"dropping-particle":"","family":"Xu","given":"J.","non-dropping-particle":"","parse-names":false,"suffix":""},{"dropping-particle":"","family":"Zhang","given":"W.J.","non-dropping-particle":"","parse-names":false,"suffix":""},{"dropping-particle":"","family":"Jia","given":"C.K.","non-dropping-particle":"","parse-names":false,"suffix":""},{"dropping-particle":"","family":"Wang","given":"W.L.","non-dropping-particle":"","parse-names":false,"suffix":""},{"dropping-particle":"","family":"Shen","given":"Y.","non-dropping-particle":"","parse-names":false,"suffix":""},{"dropping-particle":"","family":"Zhang","given":"M.","non-dropping-particle":"","parse-names":false,"suffix":""},{"dropping-particle":"","family":"Zheng","given":"S.S.","non-dropping-particle":"","parse-names":false,"suffix":""}],"container-title":"Transplant Infectious Disease","id":"ITEM-2","issue":"5","issued":{"date-parts":[["2009","10","1"]]},"page":"405-412","publisher":"John Wiley &amp; Sons, Ltd","title":"Multidrug resistant gram-negative bacilli as predominant bacteremic pathogens in liver transplant recipients","type":"article-journal","volume":"11"},"uris":["http://www.mendeley.com/documents/?uuid=7ffb59bf-a605-361f-840b-cd167b3c7dc5"]}],"mendeley":{"formattedCitation":"(94,97)","plainTextFormattedCitation":"(94,97)","previouslyFormattedCitation":"(94,97)"},"properties":{"noteIndex":0},"schema":"https://github.com/citation-style-language/schema/raw/master/csl-citation.json"}</w:instrText>
      </w:r>
      <w:r>
        <w:fldChar w:fldCharType="separate"/>
      </w:r>
      <w:r w:rsidR="00013FE6" w:rsidRPr="00013FE6">
        <w:rPr>
          <w:noProof/>
        </w:rPr>
        <w:t>(94,97)</w:t>
      </w:r>
      <w:r>
        <w:fldChar w:fldCharType="end"/>
      </w:r>
      <w:r w:rsidRPr="00B1498C">
        <w:t>.</w:t>
      </w:r>
      <w:r>
        <w:t xml:space="preserve"> </w:t>
      </w:r>
      <w:r w:rsidRPr="00B1498C">
        <w:t>Mortalite ora</w:t>
      </w:r>
      <w:r>
        <w:t xml:space="preserve">nları bakteriyemi için %24-52, </w:t>
      </w:r>
      <w:r w:rsidRPr="00CF46CE">
        <w:rPr>
          <w:i/>
        </w:rPr>
        <w:t>Candidemi</w:t>
      </w:r>
      <w:r w:rsidRPr="00B1498C">
        <w:t xml:space="preserve"> için %82 </w:t>
      </w:r>
      <w:r w:rsidRPr="00B1498C">
        <w:lastRenderedPageBreak/>
        <w:t>gibi yüksek bir</w:t>
      </w:r>
      <w:r>
        <w:t xml:space="preserve"> </w:t>
      </w:r>
      <w:r w:rsidRPr="00B1498C">
        <w:t xml:space="preserve">oranda rapor edilmiştir </w:t>
      </w:r>
      <w:r>
        <w:fldChar w:fldCharType="begin" w:fldLock="1"/>
      </w:r>
      <w:r w:rsidR="001C4787">
        <w:instrText>ADDIN CSL_CITATION {"citationItems":[{"id":"ITEM-1","itemData":{"DOI":"10.1097/01.TP.0000065178.93741.72","ISSN":"0041-1337","abstract":"Background. This study determines whether the spectrum, risk factors, and outcome of invasive candidiasis in liver transplant recipients have changed. Methods. Thirty-five consecutive liver transplant recipients with invasive candidiasis were prospectively studied in a case-controlled, multicenter study. One control was matched with the case for duration of hospitalization and the other for antibiotic use so that risk factors unique in liver transplantation could be elicited. Results. In matched-pair analysis, antibiotic prophylaxis for spontaneous bacterial peritonitis (odds ratio [OR] 8.3, P=0.002), posttransplant dialysis (OR 7.6, P=0.0009), and retransplantation (OR 16.4, P=0.0018) were independently significant predictors of invasive candidiasis. Candida spp. included C. albicans in 65% of patients, C. glabrata in 21%, C. tropicalis in 9%, C. parapsilosis in 3%, and C. guilliermondii in 3%. Patients with C. albicans infections were less likely to have received antifungal prophylaxis than those with non-albicans Candida infections (13.6% vs. 50%, P=0.04). The mortality rate was 36.1% for the cases and 2.8% for the controls (OR 25.0, 95% confidence interval, 6.2-100.5, P=0.0002). Non-albicans Candida infections (P=0.04) and prior antifungal prophylaxis (P=0.05) correlated with poorer outcome in the cases. Conclusions. Our study has identified predictors for Candida infections in the current era that have implications relevant for targeting the prophylaxis toward the high-risk patients. Routine use of antifungal prophylaxis warrants concern given the emergence of non-albicans Candida spp. as significant pathogens after liver transplantation and higher mortality in patients with these infections.","author":[{"dropping-particle":"","family":"Husain","given":"Shahid","non-dropping-particle":"","parse-names":false,"suffix":""},{"dropping-particle":"","family":"Tollemar","given":"Jan","non-dropping-particle":"","parse-names":false,"suffix":""},{"dropping-particle":"","family":"Dominguez","given":"Edward A.","non-dropping-particle":"","parse-names":false,"suffix":""},{"dropping-particle":"","family":"Baumgarten","given":"Katherine","non-dropping-particle":"","parse-names":false,"suffix":""},{"dropping-particle":"","family":"Humar","given":"Atul","non-dropping-particle":"","parse-names":false,"suffix":""},{"dropping-particle":"","family":"Paterson","given":"David L.","non-dropping-particle":"","parse-names":false,"suffix":""},{"dropping-particle":"","family":"Wagener","given":"Marilyn M.","non-dropping-particle":"","parse-names":false,"suffix":""},{"dropping-particle":"","family":"Kusne","given":"Shimon","non-dropping-particle":"","parse-names":false,"suffix":""},{"dropping-particle":"","family":"Singh","given":"Nina","non-dropping-particle":"","parse-names":false,"suffix":""}],"container-title":"Transplantation","id":"ITEM-1","issue":"12","issued":{"date-parts":[["2003","6","27"]]},"page":"2023-2029","publisher":"Lippincott Williams and Wilkins","title":"Changes in the spectrum and risk factors for invasive candidiasis in liver transplant recipients: prospective, multicenter, case-controlled study1","type":"article-journal","volume":"75"},"uris":["http://www.mendeley.com/documents/?uuid=8e81d906-dc11-3fb8-83d0-ea4d6e3b7a6d"]}],"mendeley":{"formattedCitation":"(98)","plainTextFormattedCitation":"(98)","previouslyFormattedCitation":"(98)"},"properties":{"noteIndex":0},"schema":"https://github.com/citation-style-language/schema/raw/master/csl-citation.json"}</w:instrText>
      </w:r>
      <w:r>
        <w:fldChar w:fldCharType="separate"/>
      </w:r>
      <w:r w:rsidR="00013FE6" w:rsidRPr="00013FE6">
        <w:rPr>
          <w:noProof/>
        </w:rPr>
        <w:t>(98)</w:t>
      </w:r>
      <w:r>
        <w:fldChar w:fldCharType="end"/>
      </w:r>
      <w:r w:rsidRPr="00B1498C">
        <w:t xml:space="preserve">. </w:t>
      </w:r>
      <w:r>
        <w:t xml:space="preserve">Başka bir çalışmada ise </w:t>
      </w:r>
      <w:r w:rsidRPr="00C51DF3">
        <w:t>sepsis</w:t>
      </w:r>
      <w:r>
        <w:t xml:space="preserve">te </w:t>
      </w:r>
      <w:r w:rsidRPr="00C51DF3">
        <w:t>mortalite hızı, yaklaşık</w:t>
      </w:r>
      <w:r>
        <w:t xml:space="preserve"> </w:t>
      </w:r>
      <w:r w:rsidRPr="00C51DF3">
        <w:t>olarak %40</w:t>
      </w:r>
      <w:r>
        <w:t xml:space="preserve"> olarak belirtilmiştir </w:t>
      </w:r>
      <w:r>
        <w:fldChar w:fldCharType="begin" w:fldLock="1"/>
      </w:r>
      <w:r>
        <w:instrText>ADDIN CSL_CITATION {"citationItems":[{"id":"ITEM-1","itemData":{"id":"ITEM-1","issued":{"date-parts":[["0"]]},"title":"Harris RL, Musher K, Bloom K et al. Manifestations of sepsis. Archives of Internal Medicine 1987; 147(11): 1895-1906.","type":"article-journal"},"uris":["http://www.mendeley.com/documents/?uuid=fd6a6736-b15c-401a-af4c-c73839ced9c4"]}],"mendeley":{"formattedCitation":"(31)","plainTextFormattedCitation":"(31)","previouslyFormattedCitation":"(31)"},"properties":{"noteIndex":0},"schema":"https://github.com/citation-style-language/schema/raw/master/csl-citation.json"}</w:instrText>
      </w:r>
      <w:r>
        <w:fldChar w:fldCharType="separate"/>
      </w:r>
      <w:r w:rsidRPr="0085653B">
        <w:rPr>
          <w:noProof/>
        </w:rPr>
        <w:t>(31)</w:t>
      </w:r>
      <w:r>
        <w:fldChar w:fldCharType="end"/>
      </w:r>
      <w:r w:rsidRPr="00C51DF3">
        <w:t xml:space="preserve">. </w:t>
      </w:r>
      <w:r w:rsidRPr="000F0FBE">
        <w:t xml:space="preserve">Bizim çalışmamızda kan kültüründe üreme olan 11 hastanın </w:t>
      </w:r>
      <w:r>
        <w:t>4</w:t>
      </w:r>
      <w:r w:rsidR="00B0144B">
        <w:t>’</w:t>
      </w:r>
      <w:r>
        <w:t>ünde (</w:t>
      </w:r>
      <w:r w:rsidRPr="000F0FBE">
        <w:t>%36,3</w:t>
      </w:r>
      <w:r>
        <w:t>); sepsisteki, kültürde üremesi ola</w:t>
      </w:r>
      <w:r w:rsidR="00B0144B">
        <w:t>n veya olmayan 24 hastamızın, 8’</w:t>
      </w:r>
      <w:r>
        <w:t>inde  (%33,3) mortalite gerçekleşmiştir.</w:t>
      </w:r>
      <w:r w:rsidRPr="000F0FBE">
        <w:t xml:space="preserve"> </w:t>
      </w:r>
      <w:r w:rsidR="002B155E">
        <w:t>Elde ettiğimiz bu veriler literatürle uyumlu görüldü.</w:t>
      </w:r>
      <w:r w:rsidR="005A0648">
        <w:t xml:space="preserve"> </w:t>
      </w:r>
      <w:r w:rsidRPr="0027460D">
        <w:t xml:space="preserve">İntraabdominal enfeksiyonlar, retransplantasyon ve greft kaybı (%7-9) gibi mortaliteyi arttıran durumlara neden olabilir </w:t>
      </w:r>
      <w:r w:rsidRPr="0027460D">
        <w:fldChar w:fldCharType="begin" w:fldLock="1"/>
      </w:r>
      <w:r w:rsidR="001C4787">
        <w:instrText>ADDIN CSL_CITATION {"citationItems":[{"id":"ITEM-1","itemData":{"DOI":"10.1086/422644","ISSN":"1058-4838","abstract":"Background. Infected hepatic fluid collections (bilomas) are a major infectious complication of liver transplantation. Limited data exist on management and outcome of biloma. Methods. We report a cohort study of 57 liver transplant recipients with posttransplantation bilomas undertaken to identify the clinical features of biloma, management strategies, and outcome. Results. Fever (44%) and abdominal pain (40%) were the most common presenting symptoms, but one-third of patients were asymptomatic; 79% had elevated hepatic enzyme levels. Patients without hepatic artery thrombosis (HAT) had the highest rates of resolution with percutaneous drainage and anti-infective therapy (64%). Retransplantation was necessary in 64% of patients with HAT and biloma. Independent predictors of resolution with nonsurgical therapy were absence of HAT (odds ratio [OR] 7.69; P = .01) and absence of Candida (OR, 9.09; P = .02) or enterococcal infection (OR, 7.69; P = .03). Patients with bilomas had significantly greater mortality (Cox proportional hazard ratio [HR], 2.38; P = .008, by log rank test) and graft loss (HR, 4.31; P &lt; .0001). Predictors of mortality by multivariable analysis included renal insufficiency (OR, 12.51; P = .02) or infection with Candida species (OR, 4.93; P = .03) or gram-negative bacilli (OR, 9.12; P = .01). Conclusion. Posttransplantation biloma should be suspected in patients with fever or abdominal pain or abnormalities of hepatic enzymes, and it can be confirmed by computerized tomography and radiographically guided aspiration. Bilomas are most likely to be successfully treated nonsurgically in patients without HAT and without Candida or enterococcus infection.","author":[{"dropping-particle":"","family":"Safdar","given":"N.","non-dropping-particle":"","parse-names":false,"suffix":""},{"dropping-particle":"","family":"Said","given":"A.","non-dropping-particle":"","parse-names":false,"suffix":""},{"dropping-particle":"","family":"Lucey","given":"M. R.","non-dropping-particle":"","parse-names":false,"suffix":""},{"dropping-particle":"","family":"Knechtle","given":"S. J.","non-dropping-particle":"","parse-names":false,"suffix":""},{"dropping-particle":"","family":"D'Alessandro","given":"A.","non-dropping-particle":"","parse-names":false,"suffix":""},{"dropping-particle":"","family":"Musat","given":"A.","non-dropping-particle":"","parse-names":false,"suffix":""},{"dropping-particle":"","family":"Pirsch","given":"J.","non-dropping-particle":"","parse-names":false,"suffix":""},{"dropping-particle":"","family":"McDermott","given":"J.","non-dropping-particle":"","parse-names":false,"suffix":""},{"dropping-particle":"","family":"Kalayoglu","given":"M.","non-dropping-particle":"","parse-names":false,"suffix":""},{"dropping-particle":"","family":"Dennis","given":"G. M.","non-dropping-particle":"","parse-names":false,"suffix":""}],"container-title":"Clinical Infectious Diseases","id":"ITEM-1","issue":"4","issued":{"date-parts":[["2004","8","15"]]},"page":"517-525","publisher":"Oxford University Press (OUP)","title":"Infected Bilomas in Liver Transplant Recipients: Clinical Features, Optimal Management, and Risk Factors for Mortality","type":"article-journal","volume":"39"},"uris":["http://www.mendeley.com/documents/?uuid=c9b5848d-67d4-4bfe-b082-90d0ae68b579"]}],"mendeley":{"formattedCitation":"(96)","plainTextFormattedCitation":"(96)","previouslyFormattedCitation":"(96)"},"properties":{"noteIndex":0},"schema":"https://github.com/citation-style-language/schema/raw/master/csl-citation.json"}</w:instrText>
      </w:r>
      <w:r w:rsidRPr="0027460D">
        <w:fldChar w:fldCharType="separate"/>
      </w:r>
      <w:r w:rsidR="00013FE6" w:rsidRPr="00013FE6">
        <w:rPr>
          <w:noProof/>
        </w:rPr>
        <w:t>(96)</w:t>
      </w:r>
      <w:r w:rsidRPr="0027460D">
        <w:fldChar w:fldCharType="end"/>
      </w:r>
      <w:r w:rsidRPr="0027460D">
        <w:t>.</w:t>
      </w:r>
      <w:r w:rsidR="005A0648">
        <w:rPr>
          <w:rFonts w:eastAsia="TimesNewRomanPSMT"/>
        </w:rPr>
        <w:t xml:space="preserve"> </w:t>
      </w:r>
    </w:p>
    <w:p w14:paraId="24293953" w14:textId="75C1C771" w:rsidR="005A0648" w:rsidRDefault="005A0648" w:rsidP="005A0648">
      <w:pPr>
        <w:rPr>
          <w:color w:val="FF0000"/>
        </w:rPr>
      </w:pPr>
      <w:r w:rsidRPr="00B1498C">
        <w:t>Birçok merkezde, özellikle stafilokoklar ve enterokoklar olmak üzere gram</w:t>
      </w:r>
      <w:r>
        <w:t xml:space="preserve"> (+)</w:t>
      </w:r>
      <w:r w:rsidRPr="00B1498C">
        <w:t xml:space="preserve"> koklar baskındır</w:t>
      </w:r>
      <w:r>
        <w:t xml:space="preserve"> </w:t>
      </w:r>
      <w:r w:rsidRPr="00DF5C79">
        <w:fldChar w:fldCharType="begin" w:fldLock="1"/>
      </w:r>
      <w:r w:rsidR="00074217">
        <w:instrText>ADDIN CSL_CITATION {"citationItems":[{"id":"ITEM-1","itemData":{"DOI":"10.1177/0885066608327127","ISSN":"08850666","PMID":"19017663","abstract":"There is a rapidly growing population of immunocompromised organ transplant recipients. These patients are at risk of a large variety of infections that have significant consequences on mortality, graft dysfunction, and graft loss. The diagnosis and treatment of these infections are facilitated by an understanding of the preoperative, perioperative, and postoperative risk factors; the typical pathogens; and their characteristic time of presentation. On the basis of these factors, we put forth an algorithm for diagnosing and treating suspected infections in solid organ transplant recipients. © 2009 SAGE Publications.","author":[{"dropping-particle":"","family":"Hlava","given":"Nicole","non-dropping-particle":"","parse-names":false,"suffix":""},{"dropping-particle":"","family":"Niemann","given":"Claus U.","non-dropping-particle":"","parse-names":false,"suffix":""},{"dropping-particle":"","family":"Gropper","given":"Michael A.","non-dropping-particle":"","parse-names":false,"suffix":""},{"dropping-particle":"","family":"Melcher","given":"Marc L.","non-dropping-particle":"","parse-names":false,"suffix":""}],"container-title":"Journal of Intensive Care Medicine","id":"ITEM-1","issue":"1","issued":{"date-parts":[["2009","1","25"]]},"page":"3-17","publisher":"SAGE PublicationsSage CA: Los Angeles, CA","title":"Analytic reviews: Postoperative infectious complications of abdominal solid organ transplantation","type":"article","volume":"24"},"uris":["http://www.mendeley.com/documents/?uuid=d02ac6e6-438e-3dd7-b759-048e58a1d506"]}],"mendeley":{"formattedCitation":"(99)","plainTextFormattedCitation":"(99)","previouslyFormattedCitation":"(99)"},"properties":{"noteIndex":0},"schema":"https://github.com/citation-style-language/schema/raw/master/csl-citation.json"}</w:instrText>
      </w:r>
      <w:r w:rsidRPr="00DF5C79">
        <w:fldChar w:fldCharType="separate"/>
      </w:r>
      <w:r w:rsidR="00074217" w:rsidRPr="00074217">
        <w:rPr>
          <w:noProof/>
        </w:rPr>
        <w:t>(99)</w:t>
      </w:r>
      <w:r w:rsidRPr="00DF5C79">
        <w:fldChar w:fldCharType="end"/>
      </w:r>
      <w:r w:rsidRPr="00DF5C79">
        <w:t xml:space="preserve">. </w:t>
      </w:r>
      <w:r w:rsidRPr="00B1498C">
        <w:rPr>
          <w:i/>
          <w:iCs/>
        </w:rPr>
        <w:t>E.coli</w:t>
      </w:r>
      <w:r w:rsidRPr="00B1498C">
        <w:t xml:space="preserve">, </w:t>
      </w:r>
      <w:r w:rsidRPr="00B1498C">
        <w:rPr>
          <w:i/>
          <w:iCs/>
        </w:rPr>
        <w:t xml:space="preserve">Klebsiella pneumoniae </w:t>
      </w:r>
      <w:r w:rsidRPr="00B1498C">
        <w:t xml:space="preserve">ve </w:t>
      </w:r>
      <w:r w:rsidRPr="00B1498C">
        <w:rPr>
          <w:i/>
          <w:iCs/>
        </w:rPr>
        <w:t>P. Aeruginosa</w:t>
      </w:r>
      <w:r>
        <w:rPr>
          <w:i/>
          <w:iCs/>
        </w:rPr>
        <w:t xml:space="preserve"> </w:t>
      </w:r>
      <w:r w:rsidRPr="00D77D79">
        <w:t>ise</w:t>
      </w:r>
      <w:r w:rsidRPr="00B1498C">
        <w:rPr>
          <w:i/>
          <w:iCs/>
        </w:rPr>
        <w:t xml:space="preserve"> </w:t>
      </w:r>
      <w:r w:rsidRPr="00B1498C">
        <w:t>en sık</w:t>
      </w:r>
      <w:r w:rsidRPr="00B1498C">
        <w:br/>
        <w:t>görül</w:t>
      </w:r>
      <w:r>
        <w:t xml:space="preserve">en  gram (-) etkenlerdir </w:t>
      </w:r>
      <w:r>
        <w:fldChar w:fldCharType="begin" w:fldLock="1"/>
      </w:r>
      <w:r w:rsidR="00074217">
        <w:instrText>ADDIN CSL_CITATION {"citationItems":[{"id":"ITEM-1","itemData":{"DOI":"10.1111/j.1600-6143.2009.02559.x","ISSN":"16006135","abstract":"Bacterial infections are common complications of solid organ transplantation (SOT). In this study, we defined the incidence, mortality and in vitro antimicrobial resistance rates of Gram-negative bloodstream infection (BSI) in SOT recipients. We identified 223 patients who developed Gram-negative BSI among a cohort of 3367 SOT recipients who were prospectively followed at the Mayo Clinic (Rochester, MN) from January 1, 1996 to December 31, 2007. The highest incidence rate (IR) of Gram-negative BSI was observed within the first month following SOT (210.3/1000 person-years [95% confidence interval (CI): 159.3-268.3]), with a sharp decline to 25.7 (95% CI: 20.1-32.1) and 8.2 (95% CI: 6.7-10.0) per 1000 person-years between 2 and 12 months and more than 12 months following SOT, respectively. Kidney recipients were more likely to develop Gram-negative BSI after 12 months following transplantation than were liver recipients (10.3 [95% CI: 7.9-13.1] vs. 5.2 [95% CI: 3.1-7.8] per 1000 person-years). The overall unadjusted 28-day all-cause mortality of Gram-negative BSI was 4.9% and was lower in kidney than in liver recipients (1.6% vs. 13.2%, p &lt; 0.001). We observed a linear trend of increasing resistance among Escherichia coli isolates to fluoroquinolone antibiotics from 0% to 44% (p = 0.002) throughout the study period. This increase in antimicrobial resistance may influence the choice of empiric therapy. © 2009 The American Society of Transplantation and the American Society of Transplant Surgeons.","author":[{"dropping-particle":"","family":"Al-Hasan","given":"M. N.","non-dropping-particle":"","parse-names":false,"suffix":""},{"dropping-particle":"","family":"Razonable","given":"R. R.","non-dropping-particle":"","parse-names":false,"suffix":""},{"dropping-particle":"","family":"Eckel-Passow","given":"J. E.","non-dropping-particle":"","parse-names":false,"suffix":""},{"dropping-particle":"","family":"Baddour","given":"L. M.","non-dropping-particle":"","parse-names":false,"suffix":""}],"container-title":"American Journal of Transplantation","id":"ITEM-1","issue":"4","issued":{"date-parts":[["2009","4","1"]]},"page":"835-843","publisher":"John Wiley &amp; Sons, Ltd","title":"Incidence Rate and Outcome of Gram-Negative Bloodstream Infection in Solid Organ Transplant Recipients","type":"article-journal","volume":"9"},"uris":["http://www.mendeley.com/documents/?uuid=82d88f56-bca7-490d-a929-b932c5374ba5"]}],"mendeley":{"formattedCitation":"(100)","plainTextFormattedCitation":"(100)","previouslyFormattedCitation":"(100)"},"properties":{"noteIndex":0},"schema":"https://github.com/citation-style-language/schema/raw/master/csl-citation.json"}</w:instrText>
      </w:r>
      <w:r>
        <w:fldChar w:fldCharType="separate"/>
      </w:r>
      <w:r w:rsidR="00074217" w:rsidRPr="00074217">
        <w:rPr>
          <w:noProof/>
        </w:rPr>
        <w:t>(100)</w:t>
      </w:r>
      <w:r>
        <w:fldChar w:fldCharType="end"/>
      </w:r>
      <w:r>
        <w:t xml:space="preserve">. Karaciğer </w:t>
      </w:r>
      <w:r w:rsidRPr="00B1498C">
        <w:t>nakil hastalarında,</w:t>
      </w:r>
      <w:r>
        <w:t xml:space="preserve"> </w:t>
      </w:r>
      <w:r w:rsidRPr="00B1498C">
        <w:t>peritoneal kavite açıldığı için enterobakterler ile enfe</w:t>
      </w:r>
      <w:r>
        <w:t>ksiyon riski oldukça yüksektir.</w:t>
      </w:r>
    </w:p>
    <w:p w14:paraId="1C8DCB9D" w14:textId="5C8B67CD" w:rsidR="0027460D" w:rsidRPr="005A0648" w:rsidRDefault="005A0648" w:rsidP="005A0648">
      <w:pPr>
        <w:rPr>
          <w:rFonts w:eastAsia="TimesNewRomanPSMT"/>
        </w:rPr>
      </w:pPr>
      <w:r>
        <w:t>Yaptığımız bu çalışmada</w:t>
      </w:r>
      <w:r w:rsidR="0027460D" w:rsidRPr="005A0648">
        <w:t xml:space="preserve"> kan, solunum yolu ve batın içi örneklemelerdeki kültürlerde </w:t>
      </w:r>
      <w:r>
        <w:t>daha önceki çalışmalara</w:t>
      </w:r>
      <w:r w:rsidRPr="005A0648">
        <w:t xml:space="preserve"> benzer </w:t>
      </w:r>
      <w:r>
        <w:t>şekilde</w:t>
      </w:r>
      <w:r w:rsidRPr="005A0648">
        <w:t xml:space="preserve"> </w:t>
      </w:r>
      <w:r w:rsidRPr="005A0648">
        <w:rPr>
          <w:i/>
          <w:iCs/>
        </w:rPr>
        <w:t xml:space="preserve">S. aureus, Candida </w:t>
      </w:r>
      <w:r w:rsidRPr="005A0648">
        <w:rPr>
          <w:i/>
        </w:rPr>
        <w:t>spp</w:t>
      </w:r>
      <w:r w:rsidRPr="005A0648">
        <w:rPr>
          <w:i/>
          <w:iCs/>
        </w:rPr>
        <w:t xml:space="preserve">, Pseudomonas </w:t>
      </w:r>
      <w:r w:rsidRPr="005A0648">
        <w:rPr>
          <w:i/>
        </w:rPr>
        <w:t>spp</w:t>
      </w:r>
      <w:r w:rsidRPr="005A0648">
        <w:t xml:space="preserve">, </w:t>
      </w:r>
      <w:r w:rsidRPr="005A0648">
        <w:rPr>
          <w:i/>
          <w:iCs/>
        </w:rPr>
        <w:t xml:space="preserve">Klebsiella </w:t>
      </w:r>
      <w:r w:rsidRPr="005A0648">
        <w:rPr>
          <w:i/>
        </w:rPr>
        <w:t>spp,</w:t>
      </w:r>
      <w:r w:rsidRPr="005A0648">
        <w:t xml:space="preserve"> </w:t>
      </w:r>
      <w:r w:rsidRPr="005A0648">
        <w:rPr>
          <w:i/>
          <w:iCs/>
        </w:rPr>
        <w:t xml:space="preserve">Acinetobacter </w:t>
      </w:r>
      <w:r w:rsidRPr="005A0648">
        <w:rPr>
          <w:i/>
        </w:rPr>
        <w:t>spp</w:t>
      </w:r>
      <w:r w:rsidRPr="005A0648">
        <w:t xml:space="preserve">, </w:t>
      </w:r>
      <w:r w:rsidRPr="005A0648">
        <w:rPr>
          <w:i/>
          <w:iCs/>
        </w:rPr>
        <w:t xml:space="preserve">Enterobacter </w:t>
      </w:r>
      <w:r w:rsidRPr="005A0648">
        <w:rPr>
          <w:i/>
        </w:rPr>
        <w:t>spp</w:t>
      </w:r>
      <w:r>
        <w:t xml:space="preserve">, </w:t>
      </w:r>
      <w:r w:rsidRPr="005A0648">
        <w:rPr>
          <w:i/>
        </w:rPr>
        <w:t xml:space="preserve">enterekoklar, viridans streptekoklar ve stafilokoklar </w:t>
      </w:r>
      <w:r w:rsidRPr="005A0648">
        <w:t>gibi</w:t>
      </w:r>
      <w:r>
        <w:t xml:space="preserve"> </w:t>
      </w:r>
      <w:r w:rsidR="0027460D" w:rsidRPr="005A0648">
        <w:t>mikroorganizmalar üredi.</w:t>
      </w:r>
      <w:r w:rsidR="0027460D" w:rsidRPr="0027460D">
        <w:t xml:space="preserve"> Batın içi enf</w:t>
      </w:r>
      <w:r w:rsidR="00B0144B">
        <w:t>eksiyon gelişmiş hastaların %25’</w:t>
      </w:r>
      <w:r w:rsidR="0027460D" w:rsidRPr="0027460D">
        <w:t xml:space="preserve">inde retransplantasyon yapılmıştır. Tüm bölgelerden alınan kültürlerde üreme olup olmamasına göre kıyaslandığında iki grup arasında retransplantasyon oranı anlamlı olarak farklıydı. Üreme olan hastalara retransplantasyon daha az yapılmıştır (p=0.046). </w:t>
      </w:r>
      <w:r w:rsidR="00917BB4">
        <w:t>B</w:t>
      </w:r>
      <w:r w:rsidR="0027460D" w:rsidRPr="0027460D">
        <w:t>akteriyemi tablos</w:t>
      </w:r>
      <w:r w:rsidR="00917BB4">
        <w:t>u retransplantasyon yapılmasında kontrendikedir.</w:t>
      </w:r>
    </w:p>
    <w:p w14:paraId="2DF0ADB7" w14:textId="56F53136" w:rsidR="00917BB4" w:rsidRDefault="0027460D" w:rsidP="00917BB4">
      <w:pPr>
        <w:rPr>
          <w:shd w:val="clear" w:color="auto" w:fill="FFFFFF"/>
        </w:rPr>
      </w:pPr>
      <w:r w:rsidRPr="00F636C5">
        <w:t>Sepsis ile ilişkili karaciğer fonksiyon bozukluğu</w:t>
      </w:r>
      <w:r w:rsidR="00917BB4">
        <w:t xml:space="preserve"> gelişebilmekte ve nakledilen greftin prognozu olumsuz etkilenmektedir. Sepsiste</w:t>
      </w:r>
      <w:r w:rsidRPr="00F636C5">
        <w:t xml:space="preserve"> spesifik bir terapötik yaklaşım mevcut </w:t>
      </w:r>
      <w:r w:rsidR="00917BB4">
        <w:t>olmadığından t</w:t>
      </w:r>
      <w:r w:rsidRPr="00F636C5">
        <w:t xml:space="preserve">emel olarak altta yatan enfeksiyonun ortadan kaldırılmasına ve şiddetli sepsisin tedavisine odaklanılmaktadır </w:t>
      </w:r>
      <w:r w:rsidRPr="00F636C5">
        <w:fldChar w:fldCharType="begin" w:fldLock="1"/>
      </w:r>
      <w:r>
        <w:instrText>ADDIN CSL_CITATION {"citationItems":[{"id":"ITEM-1","itemData":{"id":"ITEM-1","issued":{"date-parts":[["0"]]},"title":"Dellinger RP, Levy MM, Rhodes A, et al. Surviving sepsis campaign: international guidelines for management of severe sepsis and septic shock: 2012. Crit Care Med 2013; 41:580","type":"article-journal"},"uris":["http://www.mendeley.com/documents/?uuid=ad1740b6-f0d0-4188-a515-670630ae25f1"]}],"mendeley":{"formattedCitation":"(29)","plainTextFormattedCitation":"(29)","previouslyFormattedCitation":"(29)"},"properties":{"noteIndex":0},"schema":"https://github.com/citation-style-language/schema/raw/master/csl-citation.json"}</w:instrText>
      </w:r>
      <w:r w:rsidRPr="00F636C5">
        <w:fldChar w:fldCharType="separate"/>
      </w:r>
      <w:r w:rsidRPr="0085653B">
        <w:rPr>
          <w:noProof/>
        </w:rPr>
        <w:t>(29)</w:t>
      </w:r>
      <w:r w:rsidRPr="00F636C5">
        <w:fldChar w:fldCharType="end"/>
      </w:r>
      <w:r w:rsidRPr="00F636C5">
        <w:t>.</w:t>
      </w:r>
      <w:r w:rsidR="00917BB4">
        <w:rPr>
          <w:color w:val="2A2A2A"/>
          <w:sz w:val="23"/>
          <w:szCs w:val="23"/>
          <w:shd w:val="clear" w:color="auto" w:fill="FFFFFF"/>
        </w:rPr>
        <w:t xml:space="preserve"> </w:t>
      </w:r>
      <w:r>
        <w:t xml:space="preserve">Bu </w:t>
      </w:r>
      <w:r w:rsidRPr="00C51DF3">
        <w:t>enfeksiyonlarda ateş</w:t>
      </w:r>
      <w:r>
        <w:t xml:space="preserve"> </w:t>
      </w:r>
      <w:r w:rsidRPr="00C51DF3">
        <w:t>yüksekliği ve lökositoz gibi parametreler immünsüpresyon nedeniyle baskılanacağından</w:t>
      </w:r>
      <w:r>
        <w:t xml:space="preserve"> </w:t>
      </w:r>
      <w:r w:rsidRPr="00C51DF3">
        <w:t xml:space="preserve">tanı koymak son derece zordur ve tek yolu rutin kültürlerin alınmasıdır </w:t>
      </w:r>
      <w:r>
        <w:fldChar w:fldCharType="begin" w:fldLock="1"/>
      </w:r>
      <w:r w:rsidR="00074217">
        <w:instrText>ADDIN CSL_CITATION {"citationItems":[{"id":"ITEM-1","itemData":{"DOI":"10.1111/j.1600-6143.2009.02890.x","ISSN":"16006135","author":[{"dropping-particle":"","family":"Delden","given":"C.","non-dropping-particle":"Van","parse-names":false,"suffix":""},{"dropping-particle":"","family":"Blumberg","given":"E. A.","non-dropping-particle":"","parse-names":false,"suffix":""}],"container-title":"American Journal of Transplantation","id":"ITEM-1","issue":"SUPPL. 4","issued":{"date-parts":[["2009","12"]]},"title":"Multidrug resistant gram-negative bacteria in solid organ transplant recipients","type":"article","volume":"9"},"uris":["http://www.mendeley.com/documents/?uuid=aa1a77a7-78f5-4a82-bf62-a20f813455c0"]}],"mendeley":{"formattedCitation":"(101)","plainTextFormattedCitation":"(101)","previouslyFormattedCitation":"(101)"},"properties":{"noteIndex":0},"schema":"https://github.com/citation-style-language/schema/raw/master/csl-citation.json"}</w:instrText>
      </w:r>
      <w:r>
        <w:fldChar w:fldCharType="separate"/>
      </w:r>
      <w:r w:rsidR="00074217" w:rsidRPr="00074217">
        <w:rPr>
          <w:noProof/>
        </w:rPr>
        <w:t>(101)</w:t>
      </w:r>
      <w:r>
        <w:fldChar w:fldCharType="end"/>
      </w:r>
      <w:r w:rsidRPr="00C51DF3">
        <w:t>.</w:t>
      </w:r>
      <w:r>
        <w:t xml:space="preserve"> </w:t>
      </w:r>
      <w:r w:rsidR="00917BB4" w:rsidRPr="00FA28BF">
        <w:rPr>
          <w:shd w:val="clear" w:color="auto" w:fill="FFFFFF"/>
        </w:rPr>
        <w:t>Hastalarımıza re</w:t>
      </w:r>
      <w:r w:rsidR="008A1F60">
        <w:rPr>
          <w:shd w:val="clear" w:color="auto" w:fill="FFFFFF"/>
        </w:rPr>
        <w:t>laparot</w:t>
      </w:r>
      <w:r w:rsidR="00917BB4" w:rsidRPr="00FA28BF">
        <w:rPr>
          <w:shd w:val="clear" w:color="auto" w:fill="FFFFFF"/>
        </w:rPr>
        <w:t>omi yapılarak mevcut sepsis kaynağı ortaya koyulup, etiyolojik nedenler cerrahi müdahale ile kontrol altına alınmaya çalışılmıştır. Kültürde üreyen etken veya olası etkenlere göre uygun</w:t>
      </w:r>
      <w:r w:rsidR="003B1EAA">
        <w:rPr>
          <w:shd w:val="clear" w:color="auto" w:fill="FFFFFF"/>
        </w:rPr>
        <w:t xml:space="preserve"> antibiyoterapi</w:t>
      </w:r>
      <w:r w:rsidR="00917BB4">
        <w:rPr>
          <w:shd w:val="clear" w:color="auto" w:fill="FFFFFF"/>
        </w:rPr>
        <w:t xml:space="preserve"> başlanmıştır.</w:t>
      </w:r>
    </w:p>
    <w:p w14:paraId="6840FAF0" w14:textId="054507A5" w:rsidR="0027460D" w:rsidRPr="00917BB4" w:rsidRDefault="0027460D" w:rsidP="00917BB4">
      <w:pPr>
        <w:rPr>
          <w:shd w:val="clear" w:color="auto" w:fill="FFFFFF"/>
        </w:rPr>
      </w:pPr>
      <w:r>
        <w:t>Nakilden sonra</w:t>
      </w:r>
      <w:r w:rsidRPr="00B1498C">
        <w:t xml:space="preserve"> </w:t>
      </w:r>
      <w:r w:rsidR="00917BB4">
        <w:t>profilaktik</w:t>
      </w:r>
      <w:r w:rsidRPr="00B1498C">
        <w:t xml:space="preserve"> antibiyotik kullanımı sebebiyle </w:t>
      </w:r>
      <w:r>
        <w:t>(</w:t>
      </w:r>
      <w:r w:rsidRPr="00B1498C">
        <w:t xml:space="preserve">sıklıkla 1. veya 2. </w:t>
      </w:r>
      <w:r>
        <w:t>k</w:t>
      </w:r>
      <w:r w:rsidRPr="00B1498C">
        <w:t>uşak sefalosporin</w:t>
      </w:r>
      <w:r>
        <w:t>)</w:t>
      </w:r>
      <w:r w:rsidRPr="00B1498C">
        <w:t xml:space="preserve"> çoklu ilaç dirençli gram</w:t>
      </w:r>
      <w:r>
        <w:t xml:space="preserve"> </w:t>
      </w:r>
      <w:r w:rsidRPr="00B1498C">
        <w:t>pozitif kok ve gram negatif basillere bağlı enfeksiyonlarda son 20 yılda artma eğilimi</w:t>
      </w:r>
      <w:r>
        <w:t xml:space="preserve"> </w:t>
      </w:r>
      <w:r w:rsidRPr="00B1498C">
        <w:t xml:space="preserve">görülmüştür (61). </w:t>
      </w:r>
      <w:r>
        <w:t xml:space="preserve"> </w:t>
      </w:r>
    </w:p>
    <w:p w14:paraId="37D612A5" w14:textId="7AB97B4A" w:rsidR="0027460D" w:rsidRDefault="0027460D" w:rsidP="0027460D">
      <w:r w:rsidRPr="00CA0F1F">
        <w:rPr>
          <w:rFonts w:hint="eastAsia"/>
        </w:rPr>
        <w:t>Ç</w:t>
      </w:r>
      <w:r w:rsidRPr="00CA0F1F">
        <w:t>alışmamızda</w:t>
      </w:r>
      <w:r>
        <w:t xml:space="preserve"> tüm bölgelerden alınan kültürlerde toplamda </w:t>
      </w:r>
      <w:r w:rsidRPr="00CA0F1F">
        <w:t>31 adet üreme gerçekleşti. Bunların; %</w:t>
      </w:r>
      <w:r>
        <w:t>6</w:t>
      </w:r>
      <w:r w:rsidRPr="00CA0F1F">
        <w:t>7</w:t>
      </w:r>
      <w:r>
        <w:t>,7</w:t>
      </w:r>
      <w:r w:rsidR="003B1EAA">
        <w:t>’</w:t>
      </w:r>
      <w:r w:rsidRPr="00CA0F1F">
        <w:t>si gram (-) bakteri,  %19</w:t>
      </w:r>
      <w:r>
        <w:t>,3</w:t>
      </w:r>
      <w:r w:rsidR="003B1EAA">
        <w:t>’</w:t>
      </w:r>
      <w:r>
        <w:t>ü</w:t>
      </w:r>
      <w:r w:rsidRPr="00CA0F1F">
        <w:t xml:space="preserve"> gram (+)</w:t>
      </w:r>
      <w:r>
        <w:t xml:space="preserve"> bakteri ve</w:t>
      </w:r>
      <w:r w:rsidRPr="00CA0F1F">
        <w:t xml:space="preserve"> %12,9</w:t>
      </w:r>
      <w:r w:rsidR="003B1EAA">
        <w:t>’</w:t>
      </w:r>
      <w:r w:rsidRPr="00CA0F1F">
        <w:t xml:space="preserve">u da mantar üremesi </w:t>
      </w:r>
      <w:r>
        <w:t>olarak raporlandı.</w:t>
      </w:r>
      <w:r w:rsidRPr="00CA0F1F">
        <w:t xml:space="preserve"> </w:t>
      </w:r>
    </w:p>
    <w:p w14:paraId="2A962606" w14:textId="7494313A" w:rsidR="0027460D" w:rsidRDefault="0027460D" w:rsidP="0027460D">
      <w:r w:rsidRPr="00B1498C">
        <w:rPr>
          <w:i/>
          <w:iCs/>
        </w:rPr>
        <w:lastRenderedPageBreak/>
        <w:t xml:space="preserve">Pseudomonas </w:t>
      </w:r>
      <w:r w:rsidRPr="00B1498C">
        <w:t>spp</w:t>
      </w:r>
      <w:r w:rsidRPr="00B1498C">
        <w:rPr>
          <w:i/>
          <w:iCs/>
        </w:rPr>
        <w:t>.</w:t>
      </w:r>
      <w:r>
        <w:rPr>
          <w:i/>
          <w:iCs/>
        </w:rPr>
        <w:t xml:space="preserve"> </w:t>
      </w:r>
      <w:r w:rsidRPr="00B1498C">
        <w:t>enfeksiyonları, kadavra organ ile yapılan karaciğer nakilleri sonrasında görülen</w:t>
      </w:r>
      <w:r>
        <w:t xml:space="preserve"> </w:t>
      </w:r>
      <w:r w:rsidRPr="00B1498C">
        <w:t>bakteriyel enfeksiyonların önemli bir sebebidir</w:t>
      </w:r>
      <w:r>
        <w:t xml:space="preserve"> </w:t>
      </w:r>
      <w:r>
        <w:fldChar w:fldCharType="begin" w:fldLock="1"/>
      </w:r>
      <w:r w:rsidR="001C4787">
        <w:instrText>ADDIN CSL_CITATION {"citationItems":[{"id":"ITEM-1","itemData":{"DOI":"10.1016/j.transproceed.2004.03.123","ISSN":"00411345","abstract":"Objective To evaluate the impact of infections caused by multiple-drug-resistant (MDR) bacteria on the clinical outcome of liver transplant recipients. Methods Retrospective study including all episodes of bacterial infection diagnosed in patients undergoing liver transplantation from January 19, 1999, to June 30, 2002. The diagnosis of bacterial infection required microbiological documentation. Mortality associated with episodes of infection by MDR bacteria was compared to that observed after antibiotic-susceptible bacterial infections. Results Among 99 patients undergoing liver transplantation during the study period, there were 57 episodes of bacterial infections. Gram-negative bacilli were the predominant etiologic agents (76%) and Pseudomonas aeruginosa was the most frequent bacterial species found in these cases (23 isolates, 28%). Thirty-six episodes of infection (63%) were caused by MDR bacteria. Mean time after transplantation to the diagnosis of infection was 17 days. Mortality associated with episodes of MDR bacterial infections (nine deaths, 25%) was not significantly different from that observed during episodes of antibiotic-susceptible bacteria (five deaths, 24%; P = .92). Conclusion These data suggest that resistance to multiple antimicrobial agents does not have an impact on the mortality associated to bacterial infections in liver transplant recipients.","author":[{"dropping-particle":"","family":"Gouvêa","given":"E. F.","non-dropping-particle":"","parse-names":false,"suffix":""},{"dropping-particle":"","family":"Branco","given":"R. C.","non-dropping-particle":"","parse-names":false,"suffix":""},{"dropping-particle":"","family":"Monteiro","given":"R. C.M.","non-dropping-particle":"","parse-names":false,"suffix":""},{"dropping-particle":"","family":"Halpern","given":"M.","non-dropping-particle":"","parse-names":false,"suffix":""},{"dropping-particle":"","family":"Ribeiro-Filho","given":"J.","non-dropping-particle":"","parse-names":false,"suffix":""},{"dropping-particle":"","family":"Silveira","given":"V. G.","non-dropping-particle":"","parse-names":false,"suffix":""},{"dropping-particle":"","family":"Tavares","given":"G. C.","non-dropping-particle":"","parse-names":false,"suffix":""},{"dropping-particle":"","family":"Rodrigues","given":"M. S.","non-dropping-particle":"","parse-names":false,"suffix":""},{"dropping-particle":"","family":"Coelho","given":"H. S.M.","non-dropping-particle":"","parse-names":false,"suffix":""},{"dropping-particle":"","family":"Basto","given":"S. T.","non-dropping-particle":"","parse-names":false,"suffix":""},{"dropping-particle":"","family":"Santoro-Lopes","given":"G.","non-dropping-particle":"","parse-names":false,"suffix":""}],"container-title":"Transplantation Proceedings","id":"ITEM-1","issue":"4","issued":{"date-parts":[["2004","5","1"]]},"page":"958-960","publisher":"Elsevier","title":"Outcome of infections caused by multiple drug-resistant bacteria in liver transplant recipients","type":"paper-conference","volume":"36"},"uris":["http://www.mendeley.com/documents/?uuid=44af5cf1-884f-3a71-8d3d-bde013f7901f"]}],"mendeley":{"formattedCitation":"(102)","plainTextFormattedCitation":"(102)","previouslyFormattedCitation":"(102)"},"properties":{"noteIndex":0},"schema":"https://github.com/citation-style-language/schema/raw/master/csl-citation.json"}</w:instrText>
      </w:r>
      <w:r>
        <w:fldChar w:fldCharType="separate"/>
      </w:r>
      <w:r w:rsidR="00013FE6" w:rsidRPr="00013FE6">
        <w:rPr>
          <w:noProof/>
        </w:rPr>
        <w:t>(102)</w:t>
      </w:r>
      <w:r>
        <w:fldChar w:fldCharType="end"/>
      </w:r>
      <w:r w:rsidRPr="00B1498C">
        <w:t>.</w:t>
      </w:r>
    </w:p>
    <w:p w14:paraId="5D3D851A" w14:textId="77777777" w:rsidR="0027460D" w:rsidRPr="00D77D79" w:rsidRDefault="0027460D" w:rsidP="0027460D">
      <w:r>
        <w:t>Bizim çalışmamızda</w:t>
      </w:r>
      <w:r w:rsidRPr="00D77D79">
        <w:t xml:space="preserve"> kadaverik nakil yapılan hastada</w:t>
      </w:r>
      <w:r>
        <w:t xml:space="preserve"> gram (-) bakteri olan</w:t>
      </w:r>
      <w:r w:rsidRPr="00D77D79">
        <w:t xml:space="preserve"> </w:t>
      </w:r>
      <w:r w:rsidRPr="00D77D79">
        <w:rPr>
          <w:i/>
          <w:iCs/>
        </w:rPr>
        <w:t>Rhizobium radiobacter</w:t>
      </w:r>
      <w:r w:rsidRPr="00D77D79">
        <w:t xml:space="preserve"> üredi.</w:t>
      </w:r>
      <w:r w:rsidRPr="00D77D79">
        <w:tab/>
      </w:r>
    </w:p>
    <w:p w14:paraId="490286CF" w14:textId="2ACABCFB" w:rsidR="0027460D" w:rsidRDefault="0027460D" w:rsidP="00917BB4">
      <w:r w:rsidRPr="00486BF5">
        <w:t xml:space="preserve">Karaciğer nakli alıcılarında </w:t>
      </w:r>
      <w:r>
        <w:t xml:space="preserve">mantar enfeksiyonları arasında </w:t>
      </w:r>
      <w:r w:rsidRPr="00486BF5">
        <w:t>en</w:t>
      </w:r>
      <w:r>
        <w:t xml:space="preserve"> </w:t>
      </w:r>
      <w:r w:rsidRPr="00486BF5">
        <w:t xml:space="preserve">sık </w:t>
      </w:r>
      <w:r w:rsidRPr="00825F4B">
        <w:rPr>
          <w:i/>
        </w:rPr>
        <w:t>C</w:t>
      </w:r>
      <w:r w:rsidRPr="00376EFC">
        <w:rPr>
          <w:i/>
        </w:rPr>
        <w:t>andida enfeksiyonları</w:t>
      </w:r>
      <w:r w:rsidRPr="00486BF5">
        <w:t>, ikinci sıklık</w:t>
      </w:r>
      <w:r>
        <w:t>ta</w:t>
      </w:r>
      <w:r w:rsidRPr="00486BF5">
        <w:t xml:space="preserve"> </w:t>
      </w:r>
      <w:r w:rsidRPr="00B3119A">
        <w:rPr>
          <w:i/>
          <w:iCs/>
        </w:rPr>
        <w:t xml:space="preserve">Aspergillus </w:t>
      </w:r>
      <w:r w:rsidRPr="00B3119A">
        <w:rPr>
          <w:i/>
        </w:rPr>
        <w:t>spp</w:t>
      </w:r>
      <w:r w:rsidRPr="00486BF5">
        <w:rPr>
          <w:i/>
          <w:iCs/>
        </w:rPr>
        <w:t xml:space="preserve">. </w:t>
      </w:r>
      <w:r w:rsidRPr="00486BF5">
        <w:t>enfeksiyonları</w:t>
      </w:r>
      <w:r>
        <w:t xml:space="preserve"> </w:t>
      </w:r>
      <w:r w:rsidRPr="00486BF5">
        <w:t xml:space="preserve">görülmektedir </w:t>
      </w:r>
      <w:r>
        <w:fldChar w:fldCharType="begin" w:fldLock="1"/>
      </w:r>
      <w:r w:rsidR="001C4787">
        <w:instrText>ADDIN CSL_CITATION {"citationItems":[{"id":"ITEM-1","itemData":{"DOI":"10.4254/wjh.v3.i4.83","ISSN":"19485182","abstract":"Liver transplantation is a standard life-saving procedure for the treatment of many end-stage liver diseases. The success of this procedure may be limited by infectious complications. In this article, we review the contemporary state of infectious complications during the post-operative period, with particular emphasis on those that occur most commonly during the first 6 mo after liver transplantation. Bacteria, and less commonly Candida infections, remain the predominant pathogens during the immediate post-operative period, especially during the first month, and infections caused by drugresistant strains are emerging. Infections caused by cytomegalovirus and Aspergillus sp. present clinically during the \"opportunistic\" period characterized by intense immunosuppression. As newer potent immunosuppressive therapies with the major aim of reducing allograft rejection are developed, one potential adverse effect is an increase in certain infections. Hence, it is essential for liver transplant centers to have an effective approach to prevention that is based on predicted infection risk, local antimicrobial resistance patterns, and surveillance. A better understanding of the common and most important infectious complications is anticipated to lead to improvements in quality of life and survival of liver transplant recipients. © 2011 Baishideng.","author":[{"dropping-particle":"","family":"Romero","given":"Fabian A.","non-dropping-particle":"","parse-names":false,"suffix":""},{"dropping-particle":"","family":"Razonable","given":"Raymund R.","non-dropping-particle":"","parse-names":false,"suffix":""}],"container-title":"World Journal of Hepatology","id":"ITEM-1","issue":"4","issued":{"date-parts":[["2011"]]},"page":"83-92","publisher":"Baishideng Publishing Group Inc","title":"Infections in liver transplant recipients","type":"article","volume":"3"},"uris":["http://www.mendeley.com/documents/?uuid=911e8f16-c005-360a-ae7c-1ba81bcbe023"]}],"mendeley":{"formattedCitation":"(103)","plainTextFormattedCitation":"(103)","previouslyFormattedCitation":"(103)"},"properties":{"noteIndex":0},"schema":"https://github.com/citation-style-language/schema/raw/master/csl-citation.json"}</w:instrText>
      </w:r>
      <w:r>
        <w:fldChar w:fldCharType="separate"/>
      </w:r>
      <w:r w:rsidR="00013FE6" w:rsidRPr="00013FE6">
        <w:rPr>
          <w:noProof/>
        </w:rPr>
        <w:t>(103)</w:t>
      </w:r>
      <w:r>
        <w:fldChar w:fldCharType="end"/>
      </w:r>
      <w:r w:rsidRPr="00486BF5">
        <w:t xml:space="preserve">. </w:t>
      </w:r>
      <w:r w:rsidRPr="00D77D79">
        <w:t>Bizim çalışma</w:t>
      </w:r>
      <w:r>
        <w:t>mız</w:t>
      </w:r>
      <w:r w:rsidRPr="00D77D79">
        <w:t>da</w:t>
      </w:r>
      <w:r w:rsidR="003B1EAA">
        <w:t xml:space="preserve"> alınan kültürde hastaların %75’</w:t>
      </w:r>
      <w:r>
        <w:t xml:space="preserve">inde </w:t>
      </w:r>
      <w:r w:rsidRPr="00B3119A">
        <w:rPr>
          <w:i/>
        </w:rPr>
        <w:t>Candida</w:t>
      </w:r>
      <w:r w:rsidR="003B1EAA">
        <w:t>, %25’</w:t>
      </w:r>
      <w:r>
        <w:t xml:space="preserve">inde ise </w:t>
      </w:r>
      <w:r w:rsidRPr="00B3119A">
        <w:rPr>
          <w:i/>
        </w:rPr>
        <w:t>Aspergillus</w:t>
      </w:r>
      <w:r>
        <w:t xml:space="preserve"> üremesi gerçekleşti. Mantar üremesi açısından literatürle uyumlu veriler elde edilmiştir.</w:t>
      </w:r>
    </w:p>
    <w:p w14:paraId="0761E822" w14:textId="77777777" w:rsidR="00917BB4" w:rsidRDefault="00917BB4" w:rsidP="00917BB4">
      <w:pPr>
        <w:rPr>
          <w:rStyle w:val="Balk3Char"/>
        </w:rPr>
      </w:pPr>
      <w:r w:rsidRPr="00FA28BF">
        <w:t>Aynı zamanda acil endikasyonlarla yapılan nakillerde üreme açısından, kültür pozitif ve</w:t>
      </w:r>
      <w:r>
        <w:t xml:space="preserve"> negatif gruplarda farklılık görülmedi</w:t>
      </w:r>
      <w:r w:rsidRPr="00FA28BF">
        <w:t>.</w:t>
      </w:r>
    </w:p>
    <w:p w14:paraId="00FAA193" w14:textId="77777777" w:rsidR="0027460D" w:rsidRDefault="0027460D" w:rsidP="0027460D">
      <w:pPr>
        <w:rPr>
          <w:rFonts w:eastAsia="TimesNewRomanPSMT" w:cstheme="majorBidi"/>
          <w:b/>
          <w:color w:val="000000" w:themeColor="text1"/>
          <w:szCs w:val="26"/>
          <w:highlight w:val="yellow"/>
        </w:rPr>
      </w:pPr>
    </w:p>
    <w:p w14:paraId="373F19CE" w14:textId="53E19689" w:rsidR="005724D0" w:rsidRDefault="005724D0" w:rsidP="005724D0">
      <w:r>
        <w:t>Bizim çalışmamızdaki hastaların %33,3</w:t>
      </w:r>
      <w:r w:rsidR="003B1EAA">
        <w:t>’ünde safra kaçağı, %25’</w:t>
      </w:r>
      <w:r>
        <w:t>inde intestinal ve</w:t>
      </w:r>
      <w:r w:rsidR="003B1EAA">
        <w:t>ya kolonik perforasyon ve %20,8’</w:t>
      </w:r>
      <w:r>
        <w:t>inde ise HAT mevcuttu. HAT gelişen hastalara tedavi olarak retrans yapıldı. Bu hastaların preoperatif radyolojik görüntülemelerinde iskemi, bilioma ve perihepatik enfekte mayi görülmüştür.</w:t>
      </w:r>
    </w:p>
    <w:p w14:paraId="30B7AAE4" w14:textId="3575BDAE" w:rsidR="005724D0" w:rsidRDefault="005724D0" w:rsidP="005724D0">
      <w:pPr>
        <w:spacing w:after="160"/>
      </w:pPr>
      <w:r>
        <w:t>İntrahepatik apseler postoperatif</w:t>
      </w:r>
      <w:r w:rsidRPr="00B1498C">
        <w:t xml:space="preserve"> </w:t>
      </w:r>
      <w:r>
        <w:t xml:space="preserve">ilk </w:t>
      </w:r>
      <w:r w:rsidRPr="00B1498C">
        <w:t xml:space="preserve">1-2 ay içinde, safra </w:t>
      </w:r>
      <w:r>
        <w:t xml:space="preserve">yollarında </w:t>
      </w:r>
      <w:r w:rsidRPr="00B1498C">
        <w:t>kaça</w:t>
      </w:r>
      <w:r>
        <w:t>k</w:t>
      </w:r>
      <w:r w:rsidRPr="00B1498C">
        <w:t xml:space="preserve"> ve tıkanıkl</w:t>
      </w:r>
      <w:r>
        <w:t xml:space="preserve">ık gibi cerrahi komplikasyonlara bağlı oluşmakta olup </w:t>
      </w:r>
      <w:r w:rsidRPr="00B1498C">
        <w:t>genellikle hepatik arter trombozu</w:t>
      </w:r>
      <w:r>
        <w:t xml:space="preserve"> (HAT)</w:t>
      </w:r>
      <w:r w:rsidRPr="00B1498C">
        <w:t xml:space="preserve"> ile </w:t>
      </w:r>
      <w:r>
        <w:t xml:space="preserve">de </w:t>
      </w:r>
      <w:r w:rsidRPr="00B1498C">
        <w:t xml:space="preserve">ilişkilidir </w:t>
      </w:r>
      <w:r>
        <w:fldChar w:fldCharType="begin" w:fldLock="1"/>
      </w:r>
      <w:r w:rsidR="001C4787">
        <w:instrText>ADDIN CSL_CITATION {"citationItems":[{"id":"ITEM-1","itemData":{"DOI":"10.1093/CLINIDS/21.5.1077","ISSN":"1058-4838","PMID":"8589125","author":[{"dropping-particle":"","family":"DJ","given":"Winston","non-dropping-particle":"","parse-names":false,"suffix":""},{"dropping-particle":"","family":"C","given":"Emmanouilides","non-dropping-particle":"","parse-names":false,"suffix":""},{"dropping-particle":"","family":"RW","given":"Busuttil","non-dropping-particle":"","parse-names":false,"suffix":""}],"container-title":"Clinical infectious diseases : an official publication of the Infectious Diseases Society of America","id":"ITEM-1","issue":"5","issued":{"date-parts":[["1995"]]},"publisher":"Clin Infect Dis","title":"Infections in Liver Transplant Recipients","type":"article-journal","volume":"21"},"uris":["http://www.mendeley.com/documents/?uuid=7bc75a24-d7a4-3ef3-b7d8-0bc10fa2214d"]},{"id":"ITEM-2","itemData":{"DOI":"10.1128/cmr.10.1.86","ISSN":"09517375","PMID":"8993860","abstract":"Delineation of the pathogenic potential and assessment of the efficacy of newer therapeutic modalities for a number of viruses have been among the more notable developments in solid organ transplant infections within the past year. Infection caused by the novel herpesvirus, human herpesvirus-6, was proposed to be a significant cause of fever of unknown origin and a predictor of subsequent cytomegalovirus infection. Interleukin-2-primed isologous T lymphocytes led to the complete regression of Epstein-Barr virus-positive post-transplant lymphoproliferative disorder. Although interferon-alpha alone was shown to be largely ineffective as prophylaxis and treatment for hepatitis C virus hepatitis, the combination of interferon-alpha and ribavirin appeared promising. Documentation within the past year, however, of lamivudine and famciclovir resistance in hepatitis B virus, ganciclovir resistance in cytomegalovirus, and azole resistance in Candida, is a sobering reminder that antimicrobial prophylaxis must be utilized rationally and selectively.","author":[{"dropping-particle":"","family":"Singh","given":"Nina","non-dropping-particle":"","parse-names":false,"suffix":""}],"container-title":"Current Opinion in Infectious Diseases","id":"ITEM-2","issue":"4","issued":{"date-parts":[["1998","1","1"]]},"page":"411-417","publisher":"American Society for Microbiology Journals","title":"Infections in solid organ transplant recipients","type":"article","volume":"11"},"uris":["http://www.mendeley.com/documents/?uuid=17802625-a7ac-4f33-84bd-1a9119421728"]}],"mendeley":{"formattedCitation":"(104,105)","plainTextFormattedCitation":"(104,105)","previouslyFormattedCitation":"(104,105)"},"properties":{"noteIndex":0},"schema":"https://github.com/citation-style-language/schema/raw/master/csl-citation.json"}</w:instrText>
      </w:r>
      <w:r>
        <w:fldChar w:fldCharType="separate"/>
      </w:r>
      <w:r w:rsidR="00013FE6" w:rsidRPr="00013FE6">
        <w:rPr>
          <w:noProof/>
        </w:rPr>
        <w:t>(104,105)</w:t>
      </w:r>
      <w:r>
        <w:fldChar w:fldCharType="end"/>
      </w:r>
      <w:r w:rsidRPr="00B1498C">
        <w:t xml:space="preserve">. </w:t>
      </w:r>
      <w:r w:rsidRPr="00B01A58">
        <w:t>Biliyer sisteme kan akışı</w:t>
      </w:r>
      <w:r>
        <w:t>,</w:t>
      </w:r>
      <w:r w:rsidRPr="00B01A58">
        <w:t xml:space="preserve"> esas olarak hepatik arter akışına bağlıdır, bu nedenle HAT meydana geldiğinde intrahepatik kanallarda </w:t>
      </w:r>
      <w:r>
        <w:t xml:space="preserve">yetersiz perfüzyona bağlı bilioma ve apse oluşabilir.  </w:t>
      </w:r>
      <w:r w:rsidRPr="00B1498C">
        <w:t>Kolanjit</w:t>
      </w:r>
      <w:r>
        <w:t xml:space="preserve"> tablosu ise</w:t>
      </w:r>
      <w:r w:rsidRPr="00B1498C">
        <w:t>, safra yolu veya T-tüp obstrüksiyonu</w:t>
      </w:r>
      <w:r>
        <w:t>na bağlı ortaya çıkmaktadır</w:t>
      </w:r>
      <w:r w:rsidRPr="00B1498C">
        <w:t>. Karaciğer</w:t>
      </w:r>
      <w:r>
        <w:t xml:space="preserve"> </w:t>
      </w:r>
      <w:r w:rsidRPr="00B1498C">
        <w:t>naklinde biliyer ve intestinal kanallara girilmesi bakteriyel kontaminasyon için yüksek</w:t>
      </w:r>
      <w:r>
        <w:t xml:space="preserve"> </w:t>
      </w:r>
      <w:r w:rsidRPr="00B1498C">
        <w:t xml:space="preserve">risk oluşturmaktadır </w:t>
      </w:r>
      <w:r>
        <w:fldChar w:fldCharType="begin" w:fldLock="1"/>
      </w:r>
      <w:r w:rsidR="001C4787">
        <w:instrText>ADDIN CSL_CITATION {"citationItems":[{"id":"ITEM-1","itemData":{"DOI":"10.1111/j.1399-0012.2006.00608.x","ISSN":"09020063","abstract":"Advances in surgical techniques and immunosuppression (IS) have led to an appreciable reduction in postoperative complications following transplantation. However, wound complications as probably the most common type of post-transplantation surgical complication can still limit these improved outcomes and result in prolonged hospitalization, hospital readmission, and reoperation, consequently increasing overall transplant cost. Our aim was to review the literature to delineate the evidence-based risk factors for wound complications following kidney and liver transplantation (KTx, LTx), and to present the preventive and therapeutic modalities for this bothersome morbidity. Generally, wound complications are categorized as superficial and deep wound dehiscences, perigraft fluid collections and seroma, superficial and deep wound infections, cellulitis, lymphocele and wound drainage. The results of several studies showed that the most important risk factors for wound complications are IS and obesity. Additionally, there are surgical and/ or technical factors, including type of incision, reoperation, and surgeon's expertise, as well as comorbidities such as advanced age, diabetes mellitus, malnutrition, and uremia. Preventive management of wound complications necessitates defining their etiological factors so that their detrimental effects on healing processes can be addressed and reduced. IS modalities and agents, especially sirolimus (SRL), and steroids (ST) should be adjusted according to the patient's co-existing risk factors. SRL should be administered three months after transplantation and ST should be tapered as soon as possible. A body mass index (BMI) lower than 30 kg/m 2 is advisable for inclusion in a transplantation program, but higher BMIs do not exclude recipients. Surgical risk factors can be prevented by applying precise surgical techniques. Therapeutic modalities must focus on the most efficient and cost-effective medications and/or interventions to facilitate and improve wound healing. © 2006 Blackwell Munksgaard.","author":[{"dropping-particle":"","family":"Mehrabi","given":"Arianeb","non-dropping-particle":"","parse-names":false,"suffix":""},{"dropping-particle":"","family":"Fonouni","given":"H.","non-dropping-particle":"","parse-names":false,"suffix":""},{"dropping-particle":"","family":"Wente","given":"M.","non-dropping-particle":"","parse-names":false,"suffix":""},{"dropping-particle":"","family":"Sadeghi","given":"M.","non-dropping-particle":"","parse-names":false,"suffix":""},{"dropping-particle":"","family":"Eisenbach","given":"C.","non-dropping-particle":"","parse-names":false,"suffix":""},{"dropping-particle":"","family":"Encke","given":"J.","non-dropping-particle":"","parse-names":false,"suffix":""},{"dropping-particle":"","family":"Schmied","given":"B. M.","non-dropping-particle":"","parse-names":false,"suffix":""},{"dropping-particle":"","family":"Libicher","given":"M.","non-dropping-particle":"","parse-names":false,"suffix":""},{"dropping-particle":"","family":"Zeier","given":"M.","non-dropping-particle":"","parse-names":false,"suffix":""},{"dropping-particle":"","family":"Weitz","given":"J.","non-dropping-particle":"","parse-names":false,"suffix":""},{"dropping-particle":"","family":"Büchler","given":"M. W.","non-dropping-particle":"","parse-names":false,"suffix":""},{"dropping-particle":"","family":"Schmidt","given":"J.","non-dropping-particle":"","parse-names":false,"suffix":""}],"container-title":"Clinical Transplantation","id":"ITEM-1","issue":"SUPPL. 17","issued":{"date-parts":[["2006","12"]]},"page":"97-110","publisher":"John Wiley &amp; Sons, Ltd","title":"Wound complications following kidney and liver transplantation","type":"article","volume":"20"},"uris":["http://www.mendeley.com/documents/?uuid=5943b369-7684-3242-b2ab-23b350c0f2b5"]}],"mendeley":{"formattedCitation":"(95)","plainTextFormattedCitation":"(95)","previouslyFormattedCitation":"(95)"},"properties":{"noteIndex":0},"schema":"https://github.com/citation-style-language/schema/raw/master/csl-citation.json"}</w:instrText>
      </w:r>
      <w:r>
        <w:fldChar w:fldCharType="separate"/>
      </w:r>
      <w:r w:rsidR="00013FE6" w:rsidRPr="00013FE6">
        <w:rPr>
          <w:noProof/>
        </w:rPr>
        <w:t>(95)</w:t>
      </w:r>
      <w:r>
        <w:fldChar w:fldCharType="end"/>
      </w:r>
      <w:r w:rsidRPr="00B1498C">
        <w:t xml:space="preserve">. </w:t>
      </w:r>
      <w:r>
        <w:t xml:space="preserve">İntrahepatik apse için başlıca predispozan faktörler; </w:t>
      </w:r>
      <w:r w:rsidRPr="00B1498C">
        <w:t xml:space="preserve">koledokojejunostomi, hepatik arter trombozu ve </w:t>
      </w:r>
      <w:r w:rsidR="00F41A53" w:rsidRPr="00B1498C">
        <w:t>arteriel</w:t>
      </w:r>
      <w:r w:rsidRPr="00B1498C">
        <w:t xml:space="preserve"> stenozdur </w:t>
      </w:r>
      <w:r>
        <w:fldChar w:fldCharType="begin" w:fldLock="1"/>
      </w:r>
      <w:r w:rsidR="001C4787">
        <w:instrText>ADDIN CSL_CITATION {"citationItems":[{"id":"ITEM-1","itemData":{"DOI":"10.1111/j.1600-6143.2010.03126.x","ISSN":"16006143","PMID":"20486907","abstract":"Although mortality rates following liver transplantation (LT) are well described, there is a lack of detailed, prospective studies determining patterns of and risk factors for long-term mortality. We analyzed the multicenter, prospectively obtained The National Institute of Diabetes and Digestive and Kidney Diseases LT Database of 798 transplant recipients from 1990 to 1994 (follow-up 2003). Overall, 327 recipients died. Causes of death &gt;1 year: 28% hepatic, 22% malignancy, 11% cardiovascular, 9% infection, 6% renal failure. Renal-related death increased dramatically over time. Risk factors for death &gt;1 year (univariate): male gender, agedecade, pre-LT diabetes, post-LT diabetes, post-LT hypertension, post-LT renal insufficiency, retransplantation &gt;1 year, pre-LT malignancy, alcoholic disease (ALD) and metabolic liver disease, with similar risks noted for death &gt;5 years. Hepatitis C, retransplantation, post-LT diabetes, hypertension and renal insufficiency were significant risk factors for liver-related death. Cardiac deaths associated with age, male gender, ALD, cryptogenic disease, pre-LT hypertension and post-LT renal insufficiency. In summary, the leading causes of late deaths after transplant were graft failure, malignancy, cardiovascular disease and renal failure. Older age, diabetes and renal insufficiency identified patients at highest risk of poor survival overall. Diligent management of modifiable post-LT factors including diabetes, hypertension and renal insufficiency may impact long-term mortality. © 2010 The American Society of Transplantation and the American Society of Transplant Surgeons.","author":[{"dropping-particle":"","family":"Watt","given":"K. D.S.","non-dropping-particle":"","parse-names":false,"suffix":""},{"dropping-particle":"","family":"Pedersen","given":"R. A.","non-dropping-particle":"","parse-names":false,"suffix":""},{"dropping-particle":"","family":"Kremers","given":"W. K.","non-dropping-particle":"","parse-names":false,"suffix":""},{"dropping-particle":"","family":"Heimbach","given":"J. K.","non-dropping-particle":"","parse-names":false,"suffix":""},{"dropping-particle":"","family":"Charlton","given":"M. R.","non-dropping-particle":"","parse-names":false,"suffix":""}],"container-title":"American Journal of Transplantation","id":"ITEM-1","issue":"6","issued":{"date-parts":[["2010","6","1"]]},"page":"1420-1427","publisher":"Blackwell Publishing Ltd","title":"Evolution of causes and risk factors for mortality post-liver transplant: Results of the NIDDK long-term follow-up study","type":"article-journal","volume":"10"},"uris":["http://www.mendeley.com/documents/?uuid=f1758ac1-c9a9-343c-bb15-1d5e0a897133"]}],"mendeley":{"formattedCitation":"(106)","plainTextFormattedCitation":"(106)","previouslyFormattedCitation":"(106)"},"properties":{"noteIndex":0},"schema":"https://github.com/citation-style-language/schema/raw/master/csl-citation.json"}</w:instrText>
      </w:r>
      <w:r>
        <w:fldChar w:fldCharType="separate"/>
      </w:r>
      <w:r w:rsidR="00013FE6" w:rsidRPr="00013FE6">
        <w:rPr>
          <w:noProof/>
        </w:rPr>
        <w:t>(106)</w:t>
      </w:r>
      <w:r>
        <w:fldChar w:fldCharType="end"/>
      </w:r>
      <w:r>
        <w:t xml:space="preserve">.  Karaciğer transplantasyonundan sonraki ilk 21 günde HAT gelişmesi erken HAT sınıfında değerlendirilir </w:t>
      </w:r>
      <w:r>
        <w:fldChar w:fldCharType="begin" w:fldLock="1"/>
      </w:r>
      <w:r w:rsidR="001C4787">
        <w:instrText>ADDIN CSL_CITATION {"citationItems":[{"id":"ITEM-1","itemData":{"author":[{"dropping-particle":"","family":"Tachopoulou","given":"OA","non-dropping-particle":"","parse-names":false,"suffix":""},{"dropping-particle":"","family":"Vogt","given":"DP","non-dropping-particle":"","parse-names":false,"suffix":""},{"dropping-particle":"","family":"…","given":"JM Henderson -","non-dropping-particle":"","parse-names":false,"suffix":""},{"dropping-particle":"","family":"2003","given":"undefined","non-dropping-particle":"","parse-names":false,"suffix":""}],"container-title":"journals.lww.com","id":"ITEM-1","issued":{"date-parts":[["0"]]},"title":"Hepatic abscess after liver transplantation: 1990–2000","type":"article-journal"},"uris":["http://www.mendeley.com/documents/?uuid=3f061494-526d-33f4-8f53-0cc688893524"]}],"mendeley":{"formattedCitation":"(107)","plainTextFormattedCitation":"(107)","previouslyFormattedCitation":"(107)"},"properties":{"noteIndex":0},"schema":"https://github.com/citation-style-language/schema/raw/master/csl-citation.json"}</w:instrText>
      </w:r>
      <w:r>
        <w:fldChar w:fldCharType="separate"/>
      </w:r>
      <w:r w:rsidR="00013FE6" w:rsidRPr="00013FE6">
        <w:rPr>
          <w:noProof/>
        </w:rPr>
        <w:t>(107)</w:t>
      </w:r>
      <w:r>
        <w:fldChar w:fldCharType="end"/>
      </w:r>
      <w:r>
        <w:t xml:space="preserve">.  </w:t>
      </w:r>
    </w:p>
    <w:p w14:paraId="78A3AEEF" w14:textId="635C0697" w:rsidR="005724D0" w:rsidRDefault="005724D0" w:rsidP="005724D0">
      <w:pPr>
        <w:spacing w:after="160"/>
      </w:pPr>
      <w:r w:rsidRPr="00FA28BF">
        <w:t>Hastalarımızda HAT gelişme süresi ortanca 7. (2-20) günde idi.  HAT gelişen 6 hastanın hepsi retransplantasyon ile tedavi edildi. Bu has</w:t>
      </w:r>
      <w:r w:rsidR="00B0144B">
        <w:t>taların %</w:t>
      </w:r>
      <w:r>
        <w:t>66</w:t>
      </w:r>
      <w:r w:rsidR="003B1EAA">
        <w:t>’</w:t>
      </w:r>
      <w:r>
        <w:t>sında üreme yoktu.</w:t>
      </w:r>
    </w:p>
    <w:p w14:paraId="27254589" w14:textId="4D0A1110" w:rsidR="004D641E" w:rsidRPr="00D259F9" w:rsidRDefault="004D641E" w:rsidP="004D641E">
      <w:pPr>
        <w:rPr>
          <w:color w:val="FF0000"/>
        </w:rPr>
      </w:pPr>
      <w:r>
        <w:t>Karaciğer yetmezliği tablosundaki hastalarda destek tedavisi olarak ve retrans ihtiyacı olan durumlarda operasyon zamanına kadar köprü tedavisi amacıyla plazmaferez veya MARS işlemleri yapılmaktadır. Septik hastalarda MARS ve plazmaferez işleminin mortaliteyi azalttığına dair veriler bildirilmiştir</w:t>
      </w:r>
      <w:r w:rsidR="00074217">
        <w:t xml:space="preserve"> </w:t>
      </w:r>
      <w:r w:rsidR="00074217">
        <w:fldChar w:fldCharType="begin" w:fldLock="1"/>
      </w:r>
      <w:r w:rsidR="00074217">
        <w:instrText>ADDIN CSL_CITATION {"citationItems":[{"id":"ITEM-1","itemData":{"DOI":"10.1007/s00134-002-1410-7","ISSN":"03424642","PMID":"12373468","abstract":"Objective: To determine the therapeutic efficacy and safety of plasmapheresis in the treatment of patients with severe sepsis and septic shock. Design: Prospective, randomised, clinical trial with a planned, midstudy, interim analysis. Setting: Intensive care unit in a university hospital in Archangels, Russia. Patients: Consecutive patients with severe sepsis or septic shock. Interventions: One hundred and six patients were randomised to receive either standard therapy or an add-on treatment with plasmapheresis. Measurements and results: The primary endpoint was 28-day survival. Septic shock was diagnosed in 57% of the plasmapheresis-treated patients and 54% of the control patients. Mean APACHE III score at entry was 56.4 in the plasmapheresis group and 53.5 in the control group. The 28-day, all-cause mortality rate was 33.3% (18/54) in the plasmapheresis group and 53.8% (28/52) in the control group. This represents a relative risk for fatal outcome in the plasmapheresis group of 0.61, an absolute risk reduction of 20.5% and a number of patients needed to treat of 4.9. Apart from six transient episodes of hypotension and one allergic reaction to fresh frozen plasma, no adverse reactions were attributable to the plasmapheresis treatment in this study. Conclusions: Plasmapheresis may be an important adjuvant to conventional treatment to reduce mortality in patients with severe sepsis or septic shock. Plasmapheresis is a safe procedure in the treatment of septic patients. A prospective randomised multicentre trial is warranted to confirm our results and to determine which subgroups of septic patients will benefit most from this treatment modality.","author":[{"dropping-particle":"","family":"Busund","given":"Rolf","non-dropping-particle":"","parse-names":false,"suffix":""},{"dropping-particle":"","family":"Koukline","given":"Vladimir","non-dropping-particle":"","parse-names":false,"suffix":""},{"dropping-particle":"","family":"Utrobin","given":"Uri","non-dropping-particle":"","parse-names":false,"suffix":""},{"dropping-particle":"","family":"Nedashkovsky","given":"Edvard","non-dropping-particle":"","parse-names":false,"suffix":""}],"container-title":"Intensive Care Medicine","id":"ITEM-1","issue":"10","issued":{"date-parts":[["2002"]]},"page":"1434-1439","publisher":"Springer Verlag","title":"Plasmapheresis in severe sepsis and septic shock: A prospective, randomised, controlled trial","type":"article-journal","volume":"28"},"uris":["http://www.mendeley.com/documents/?uuid=4012349c-14ce-3265-88af-6a081c2182f1"]}],"mendeley":{"formattedCitation":"(108)","plainTextFormattedCitation":"(108)","previouslyFormattedCitation":"(108)"},"properties":{"noteIndex":0},"schema":"https://github.com/citation-style-language/schema/raw/master/csl-citation.json"}</w:instrText>
      </w:r>
      <w:r w:rsidR="00074217">
        <w:fldChar w:fldCharType="separate"/>
      </w:r>
      <w:r w:rsidR="00074217" w:rsidRPr="00074217">
        <w:rPr>
          <w:noProof/>
        </w:rPr>
        <w:t>(108)</w:t>
      </w:r>
      <w:r w:rsidR="00074217">
        <w:fldChar w:fldCharType="end"/>
      </w:r>
      <w:r>
        <w:t xml:space="preserve">. </w:t>
      </w:r>
      <w:r w:rsidRPr="00EA582A">
        <w:t>Ekstrakorporeal tedavilerle tedavi edilen hastalarda laktat, interlökin IL-6 ve TNF</w:t>
      </w:r>
      <w:r>
        <w:t>-α</w:t>
      </w:r>
      <w:r w:rsidRPr="00EA582A">
        <w:t xml:space="preserve"> ölçü</w:t>
      </w:r>
      <w:r>
        <w:t>mlerinin anlamlı derecede iyileştiği bildirilmiştir</w:t>
      </w:r>
      <w:r w:rsidRPr="00EA582A">
        <w:t xml:space="preserve"> </w:t>
      </w:r>
      <w:r>
        <w:fldChar w:fldCharType="begin" w:fldLock="1"/>
      </w:r>
      <w:r w:rsidR="001C4787">
        <w:instrText>ADDIN CSL_CITATION {"citationItems":[{"id":"ITEM-1","itemData":{"DOI":"10.1097/CCM.0b013e31828cf412","ISSN":"00903493","PMID":"23860248","abstract":"Objectives:: Although blood purification improves outcomes in animal studies of sepsis, results of clinical trials have been mixed. We conducted a systematic review and meta-analysis of randomized trials to determine the association between various blood purification techniques and all-cause mortality in humans with sepsis. DATA Sources:: We searched for relevant studies in MEDLINE, EMBASE, and the Cochrane Library database from January 1966 to May 2012. STUDY Selection:: Inclusion required a diagnosis of sepsis and comparison of blood purification techniques including hemofiltration, hemoperfusion, plasma exchange, or hemodialysis with no blood purification (control group). DATA Extraction:: Two authors independently selected studies and extracted data. Summary statistics, risk ratios, and CIs were calculated using random-effects modeling. Study quality was assessed using Jadad score, and publication bias was assessed using funnel plots and Egger's statistic. DATA Synthesis:: Overall, blood purification decreased mortality compared with no blood purification (35.7% vs 50.1%; risk ratio, 0.69 [95% CI, 0.56-0.84]; p &lt; 0.001; 16 trials, n = 827). However, these results were driven mainly by hemoperfusion (risk ratio, 0.63 [95% CI, 0.50-0.80]; p &lt; 0.001; 10 trials, n = 557) and plasma exchange (risk ratio, 0.63 [95% CI, 0.42-0.96]; p = 0.03; two trials, n = 128). Pooling of all trials of blood purification for treatment of sepsis was no longer associated with lower mortality (risk ratio, 0.89 [95% CI, 0.71-1.13]; p = 0.36; eight trials, n = 457) after excluding trials using polymyxin B hemoperfusion. Conclusions:: Blood purification techniques including hemoperfusion, plasma exchange, and hemofiltration with hemoperfusion were associated with lower mortality in patients with sepsis. These results were mainly influenced by studies using polymyxin B hemoperfusion from Japan. Copyright © 2013 by the Society of Critical Care Medicine and Lippincott Williams &amp; Wilkins.","author":[{"dropping-particle":"","family":"Zhou","given":"Feihu","non-dropping-particle":"","parse-names":false,"suffix":""},{"dropping-particle":"","family":"Peng","given":"Zhiyong","non-dropping-particle":"","parse-names":false,"suffix":""},{"dropping-particle":"","family":"Murugan","given":"Raghavan","non-dropping-particle":"","parse-names":false,"suffix":""},{"dropping-particle":"","family":"Kellum","given":"John A.","non-dropping-particle":"","parse-names":false,"suffix":""}],"container-title":"Critical Care Medicine","id":"ITEM-1","issue":"9","issued":{"date-parts":[["2013","9"]]},"page":"2209-2220","publisher":"NIH Public Access","title":"Blood purification and mortality in sepsis: A meta-analysis of randomized trials","type":"article","volume":"41"},"uris":["http://www.mendeley.com/documents/?uuid=bc26e6a4-9d71-3c70-9d4f-60bf01a256d6"]},{"id":"ITEM-2","itemData":{"DOI":"10.1007/s00134-002-1410-7","ISSN":"03424642","PMID":"12373468","abstract":"Objective: To determine the therapeutic efficacy and safety of plasmapheresis in the treatment of patients with severe sepsis and septic shock. Design: Prospective, randomised, clinical trial with a planned, midstudy, interim analysis. Setting: Intensive care unit in a university hospital in Archangels, Russia. Patients: Consecutive patients with severe sepsis or septic shock. Interventions: One hundred and six patients were randomised to receive either standard therapy or an add-on treatment with plasmapheresis. Measurements and results: The primary endpoint was 28-day survival. Septic shock was diagnosed in 57% of the plasmapheresis-treated patients and 54% of the control patients. Mean APACHE III score at entry was 56.4 in the plasmapheresis group and 53.5 in the control group. The 28-day, all-cause mortality rate was 33.3% (18/54) in the plasmapheresis group and 53.8% (28/52) in the control group. This represents a relative risk for fatal outcome in the plasmapheresis group of 0.61, an absolute risk reduction of 20.5% and a number of patients needed to treat of 4.9. Apart from six transient episodes of hypotension and one allergic reaction to fresh frozen plasma, no adverse reactions were attributable to the plasmapheresis treatment in this study. Conclusions: Plasmapheresis may be an important adjuvant to conventional treatment to reduce mortality in patients with severe sepsis or septic shock. Plasmapheresis is a safe procedure in the treatment of septic patients. A prospective randomised multicentre trial is warranted to confirm our results and to determine which subgroups of septic patients will benefit most from this treatment modality.","author":[{"dropping-particle":"","family":"Busund","given":"Rolf","non-dropping-particle":"","parse-names":false,"suffix":""},{"dropping-particle":"","family":"Koukline","given":"Vladimir","non-dropping-particle":"","parse-names":false,"suffix":""},{"dropping-particle":"","family":"Utrobin","given":"Uri","non-dropping-particle":"","parse-names":false,"suffix":""},{"dropping-particle":"","family":"Nedashkovsky","given":"Edvard","non-dropping-particle":"","parse-names":false,"suffix":""}],"container-title":"Intensive Care Medicine","id":"ITEM-2","issue":"10","issued":{"date-parts":[["2002"]]},"page":"1434-1439","publisher":"Springer Verlag","title":"Plasmapheresis in severe sepsis and septic shock: A prospective, randomised, controlled trial","type":"article-journal","volume":"28"},"uris":["http://www.mendeley.com/documents/?uuid=4012349c-14ce-3265-88af-6a081c2182f1"]}],"mendeley":{"formattedCitation":"(108,109)","plainTextFormattedCitation":"(108,109)","previouslyFormattedCitation":"(108,109)"},"properties":{"noteIndex":0},"schema":"https://github.com/citation-style-language/schema/raw/master/csl-citation.json"}</w:instrText>
      </w:r>
      <w:r>
        <w:fldChar w:fldCharType="separate"/>
      </w:r>
      <w:r w:rsidR="00013FE6" w:rsidRPr="00013FE6">
        <w:rPr>
          <w:noProof/>
        </w:rPr>
        <w:t>(108,109)</w:t>
      </w:r>
      <w:r>
        <w:fldChar w:fldCharType="end"/>
      </w:r>
      <w:r>
        <w:t xml:space="preserve">. Ancak çalışmamızda mortalite gelişen grupta MARS ve </w:t>
      </w:r>
      <w:r>
        <w:lastRenderedPageBreak/>
        <w:t xml:space="preserve">plazmaferez işlemleri daha fazla yapılmıştır. </w:t>
      </w:r>
      <w:r w:rsidRPr="00FA28BF">
        <w:t>Bu açıdan sepsise bağlı karaciğer yetmezliğinde plazmaferez veya MARS işl</w:t>
      </w:r>
      <w:r>
        <w:t>eminin etkinliği sorgulanabilir.</w:t>
      </w:r>
      <w:r>
        <w:rPr>
          <w:color w:val="FF0000"/>
        </w:rPr>
        <w:t xml:space="preserve"> </w:t>
      </w:r>
      <w:r>
        <w:t>Mars ve plazmaferez oranlarımız kültür pozitif ve kültür negatif hastalarda anlamlı olarak farklı değildi.</w:t>
      </w:r>
    </w:p>
    <w:p w14:paraId="7AF08F27" w14:textId="77777777" w:rsidR="004D641E" w:rsidRDefault="004D641E" w:rsidP="004D641E">
      <w:pPr>
        <w:spacing w:after="160"/>
      </w:pPr>
      <w:r>
        <w:t xml:space="preserve">Üreme olan grupta retransın daha az yapıldığı görüldü. Muhtemelen bu grupta da retrans ihtiyacı olmasına rağmen var olan bakteriyemi tablosu ikinci bir naklin olmasını zorlaştırmaktadır.  </w:t>
      </w:r>
    </w:p>
    <w:p w14:paraId="3B9951D7" w14:textId="77777777" w:rsidR="002E3AB9" w:rsidRPr="002E3AB9" w:rsidRDefault="002E3AB9" w:rsidP="002E3AB9"/>
    <w:p w14:paraId="311D1214" w14:textId="29EDDA83" w:rsidR="002E3AB9" w:rsidRPr="00FA28BF" w:rsidRDefault="002E3AB9" w:rsidP="002E3AB9">
      <w:r w:rsidRPr="004F10EF">
        <w:t xml:space="preserve">Axel Bouchon ve </w:t>
      </w:r>
      <w:r w:rsidR="003B1EAA">
        <w:t xml:space="preserve">ark. </w:t>
      </w:r>
      <w:r>
        <w:t>tarafından</w:t>
      </w:r>
      <w:r w:rsidRPr="004F10EF">
        <w:t>, enfeksiyonu olan hastalardan alınan doku örnekleri</w:t>
      </w:r>
      <w:r>
        <w:t>nde</w:t>
      </w:r>
      <w:r w:rsidRPr="004F10EF">
        <w:t xml:space="preserve"> TREM-1 ekspresyonunun, hem hücre kültüründe hem de </w:t>
      </w:r>
      <w:hyperlink r:id="rId24" w:tooltip="Learn more about Peritoneal Dialysis Fluid from ScienceDirect's AI-generated Topic Pages" w:history="1">
        <w:r w:rsidRPr="004F10EF">
          <w:rPr>
            <w:rStyle w:val="Kpr"/>
            <w:color w:val="auto"/>
            <w:szCs w:val="24"/>
            <w:u w:val="none"/>
          </w:rPr>
          <w:t>periton lavaj sıvısında</w:t>
        </w:r>
      </w:hyperlink>
      <w:hyperlink r:id="rId25" w:tooltip="ScienceDirect'in AI tarafından oluşturulan Konu Sayfalarından Pseudomonas aeruginosa hakkında daha fazla bilgi edinin" w:history="1">
        <w:r w:rsidRPr="004F10EF">
          <w:rPr>
            <w:rStyle w:val="Kpr"/>
            <w:i/>
            <w:iCs/>
            <w:color w:val="auto"/>
            <w:szCs w:val="24"/>
            <w:u w:val="none"/>
          </w:rPr>
          <w:t> Pseudomonas aeruginosa</w:t>
        </w:r>
      </w:hyperlink>
      <w:r w:rsidRPr="004F10EF">
        <w:t> veya </w:t>
      </w:r>
      <w:hyperlink r:id="rId26" w:tooltip="ScienceDirect'in AI tarafından oluşturulan Konu Sayfalarından Staphylococcus Aureus hakkında daha fazla bilgi edinin" w:history="1">
        <w:r w:rsidRPr="004F10EF">
          <w:rPr>
            <w:rStyle w:val="Kpr"/>
            <w:i/>
            <w:iCs/>
            <w:color w:val="auto"/>
            <w:szCs w:val="24"/>
            <w:u w:val="none"/>
          </w:rPr>
          <w:t>Staphylococcus aureus</w:t>
        </w:r>
      </w:hyperlink>
      <w:r w:rsidRPr="004F10EF">
        <w:t xml:space="preserve"> gibi hücre dışı bakterilerin varlığında büyük ölçüde </w:t>
      </w:r>
      <w:r>
        <w:t xml:space="preserve">ekspresyonunun arttığı gösterilmiştir </w:t>
      </w:r>
      <w:r w:rsidRPr="00FA28BF">
        <w:fldChar w:fldCharType="begin" w:fldLock="1"/>
      </w:r>
      <w:r w:rsidR="001C4787">
        <w:instrText>ADDIN CSL_CITATION {"citationItems":[{"id":"ITEM-1","itemData":{"DOI":"10.1038/35074114","ISSN":"00280836","abstract":"Host innate responses to bacterial infections are primarily mediated by neutrophils and monocytes/macrophages1,2. These cells express pattern recognition receptors (PRRs) that bind conserved molecular structures shared by groups of micro-organisms3,4. Stimulation of PRR signalling pathways initiates secretion of proinflammatory mediators3,4, which promote the elimination of infectious agents and the induction of tissue repair. Excessive inflammation owing to bacterial infections can lead to tissue damage and septic shock5-9. Here we show that inflammatory responses to microbial products are amplified by a pathway mediated by triggering receptor expressed on myeloid cells (TREM)-I. TREM-1 is an activating receptor expressed at high levels on neutrophils and monocytes that infiltrate human tissues infected with bacteria. Furthermore, it is upregulated on peritoneal neutrophils of patients with microbial sepsis and mice with experimental lipopolysaccaride (LPS)-induced shock. Notably, blockade of TREM-1 protects mice against LPS-induced shock, as well as microbial sepsis caused by live Escherichia coli or caecal ligation and puncture. These results demonstrate a critical function of TREM-1 in acute inflammatory responses to bacteria and implicate TREM-1 as a potential therapeutic target for septic shock.","author":[{"dropping-particle":"","family":"Bouchon","given":"Axel","non-dropping-particle":"","parse-names":false,"suffix":""},{"dropping-particle":"","family":"Facchetti","given":"Fabio","non-dropping-particle":"","parse-names":false,"suffix":""},{"dropping-particle":"","family":"Weigand","given":"Markus A.","non-dropping-particle":"","parse-names":false,"suffix":""},{"dropping-particle":"","family":"Colonna","given":"Marco","non-dropping-particle":"","parse-names":false,"suffix":""}],"container-title":"Nature","id":"ITEM-1","issue":"6832","issued":{"date-parts":[["2001","4","26"]]},"page":"1103-1107","publisher":"Nature Publishing Group","title":"TREM-1 amplifies inflammation and is a crucial mediator of septic shock","type":"article-journal","volume":"410"},"uris":["http://www.mendeley.com/documents/?uuid=10648257-1912-431b-aa2d-c5ea1eec9bbe"]}],"mendeley":{"formattedCitation":"(110)","plainTextFormattedCitation":"(110)","previouslyFormattedCitation":"(110)"},"properties":{"noteIndex":0},"schema":"https://github.com/citation-style-language/schema/raw/master/csl-citation.json"}</w:instrText>
      </w:r>
      <w:r w:rsidRPr="00FA28BF">
        <w:fldChar w:fldCharType="separate"/>
      </w:r>
      <w:r w:rsidR="00013FE6" w:rsidRPr="00013FE6">
        <w:rPr>
          <w:noProof/>
        </w:rPr>
        <w:t>(110)</w:t>
      </w:r>
      <w:r w:rsidRPr="00FA28BF">
        <w:fldChar w:fldCharType="end"/>
      </w:r>
      <w:r w:rsidRPr="00FA28BF">
        <w:t>.   Bütün hastalarımızda TREM-1 değeri yüksek</w:t>
      </w:r>
      <w:r>
        <w:t xml:space="preserve"> olmakla birlikte k</w:t>
      </w:r>
      <w:r w:rsidRPr="00FA28BF">
        <w:t>ültür</w:t>
      </w:r>
      <w:r>
        <w:t>de üreme olan</w:t>
      </w:r>
      <w:r w:rsidRPr="00FA28BF">
        <w:t xml:space="preserve"> </w:t>
      </w:r>
      <w:r>
        <w:t>hast</w:t>
      </w:r>
      <w:r w:rsidR="00F41A53">
        <w:t>a</w:t>
      </w:r>
      <w:r>
        <w:t>larda</w:t>
      </w:r>
      <w:r w:rsidRPr="00FA28BF">
        <w:t>, kültür</w:t>
      </w:r>
      <w:r>
        <w:t>de</w:t>
      </w:r>
      <w:r w:rsidRPr="00FA28BF">
        <w:t xml:space="preserve"> </w:t>
      </w:r>
      <w:r>
        <w:t>üreme olmayan</w:t>
      </w:r>
      <w:r w:rsidRPr="00FA28BF">
        <w:t xml:space="preserve"> gruba göre </w:t>
      </w:r>
      <w:r>
        <w:t xml:space="preserve">istatistiksel olarak </w:t>
      </w:r>
      <w:r w:rsidRPr="00FA28BF">
        <w:t xml:space="preserve">anlamlı fark </w:t>
      </w:r>
      <w:r>
        <w:t>gözlendi</w:t>
      </w:r>
      <w:r w:rsidRPr="00FA28BF">
        <w:t xml:space="preserve"> (p=0.027). </w:t>
      </w:r>
    </w:p>
    <w:p w14:paraId="1D94C139" w14:textId="50472FA5" w:rsidR="002E3AB9" w:rsidRPr="00B71620" w:rsidRDefault="002E3AB9" w:rsidP="002E3AB9">
      <w:pPr>
        <w:rPr>
          <w:b/>
          <w:sz w:val="28"/>
          <w:szCs w:val="24"/>
          <w:highlight w:val="yellow"/>
        </w:rPr>
      </w:pPr>
      <w:r>
        <w:t>Kültürde üreme olan gruba kıyasla</w:t>
      </w:r>
      <w:r>
        <w:rPr>
          <w:b/>
          <w:sz w:val="28"/>
          <w:szCs w:val="24"/>
        </w:rPr>
        <w:t xml:space="preserve"> </w:t>
      </w:r>
      <w:r w:rsidRPr="00950CDA">
        <w:t xml:space="preserve">AST ve ALT nin ortanca </w:t>
      </w:r>
      <w:r>
        <w:t xml:space="preserve">değerleri üreme olmayan grupta </w:t>
      </w:r>
      <w:r w:rsidRPr="00950CDA">
        <w:t>istatistiksel olarak anlamlı der</w:t>
      </w:r>
      <w:r>
        <w:t>e</w:t>
      </w:r>
      <w:r w:rsidRPr="00950CDA">
        <w:t xml:space="preserve">cede </w:t>
      </w:r>
      <w:r>
        <w:t>fazlaydı (p=0.03 ve p=0.004)</w:t>
      </w:r>
      <w:r w:rsidRPr="00950CDA">
        <w:t xml:space="preserve">. Sepsiste KCFT değerlerinin yükseldiğini biliyoruz. Ancak literatürde kültürde üreme olup olmamasına göre </w:t>
      </w:r>
      <w:r>
        <w:t>KCFT fonksiyonlarında</w:t>
      </w:r>
      <w:r w:rsidRPr="00950CDA">
        <w:t xml:space="preserve"> değişikliğe dair veri</w:t>
      </w:r>
      <w:r>
        <w:t>ye ulaşamadık</w:t>
      </w:r>
      <w:r w:rsidRPr="00950CDA">
        <w:t>.</w:t>
      </w:r>
      <w:r>
        <w:t xml:space="preserve"> </w:t>
      </w:r>
    </w:p>
    <w:p w14:paraId="26CAC258" w14:textId="7712064A" w:rsidR="002E3AB9" w:rsidRPr="00FA28BF" w:rsidRDefault="002E3AB9" w:rsidP="002E3AB9">
      <w:r w:rsidRPr="00FA28BF">
        <w:t>Üreme olmayan grupta KCFT yüksekliğinin iki sebebe bağlı olduğunu düşünmekteyiz. İlk olarak etiyolojide %50 oranında HAT mevcut idi. Hepatik arter trombozuna bağlı olarak iskemiye sekonder KCFT yükselir. Bir diğer düşüncemiz; kültürde üremenin varlığı mikrobiyal ajanın konsantrasyonuyla alakalıdır, düşük konsantrasyonlarda kültürde üretemeyebiliriz.  Üreme varlığının hayatta kalıma olumsuz etkisi vardır.</w:t>
      </w:r>
      <w:r>
        <w:t xml:space="preserve"> </w:t>
      </w:r>
      <w:r w:rsidRPr="00FA28BF">
        <w:t>HAT, hasta kohortundan çıkarıldığında üreme negatif olan grupta ALT yüksekliği</w:t>
      </w:r>
      <w:r>
        <w:t xml:space="preserve"> anlamlı şekilde devam ediyordu</w:t>
      </w:r>
      <w:r w:rsidRPr="00FA28BF">
        <w:t xml:space="preserve"> (Bu veriler belirtilmemiştir)</w:t>
      </w:r>
      <w:r>
        <w:t>.</w:t>
      </w:r>
      <w:r w:rsidRPr="00FA28BF">
        <w:t xml:space="preserve"> İkinci muhtemel sebep olarak sepsisin sistemik hipotansiyon yapma etkisine bağlı olarak düşük perfüzyona sekonder gelişen iskemiye de bağlı olabilir </w:t>
      </w:r>
      <w:r w:rsidRPr="00FA28BF">
        <w:fldChar w:fldCharType="begin" w:fldLock="1"/>
      </w:r>
      <w:r w:rsidR="001C4787">
        <w:instrText>ADDIN CSL_CITATION {"citationItems":[{"id":"ITEM-1","itemData":{"DOI":"10.1053/j.sempedsurg.2017.07.014","ISSN":"15329453","abstract":"Considerable strides have been made over the last several decades toward improving outcomes in pediatric liver transplantation. Refinements in surgical technique has allowed for the use of living donor and deceased donor split-liver grafts, thus expanding the pool of available organs and reducing waitlist mortality. The use of a multidisciplinary team continues to be paramount in the care of the transplant recipient. With improvements in overall graft and survival, indications for liver transplantation have also broadened. Currently, pediatric transplant patients have a 5-year survival of over 85%. Long-term morbidity is mainly associated with complications from immunosuppression and chronic rejection. Here we review indications for liver transplantation in children, surgical considerations, post-operative complications, and long-term outcomes.","author":[{"dropping-particle":"","family":"Cuenca","given":"Alex G.","non-dropping-particle":"","parse-names":false,"suffix":""},{"dropping-particle":"","family":"Kim","given":"Heung Bae","non-dropping-particle":"","parse-names":false,"suffix":""},{"dropping-particle":"","family":"Vakili","given":"Khashayar","non-dropping-particle":"","parse-names":false,"suffix":""}],"container-title":"Seminars in Pediatric Surgery","id":"ITEM-1","issue":"4","issued":{"date-parts":[["2017","8","1"]]},"page":"217-223","publisher":"W.B. Saunders","title":"Pediatric liver transplantation","type":"article-journal","volume":"26"},"uris":["http://www.mendeley.com/documents/?uuid=8f7d8a2a-a6cd-3afe-820f-b8d45bd33e65"]}],"mendeley":{"formattedCitation":"(111)","plainTextFormattedCitation":"(111)","previouslyFormattedCitation":"(111)"},"properties":{"noteIndex":0},"schema":"https://github.com/citation-style-language/schema/raw/master/csl-citation.json"}</w:instrText>
      </w:r>
      <w:r w:rsidRPr="00FA28BF">
        <w:fldChar w:fldCharType="separate"/>
      </w:r>
      <w:r w:rsidR="00013FE6" w:rsidRPr="00013FE6">
        <w:rPr>
          <w:noProof/>
        </w:rPr>
        <w:t>(111)</w:t>
      </w:r>
      <w:r w:rsidRPr="00FA28BF">
        <w:fldChar w:fldCharType="end"/>
      </w:r>
      <w:r w:rsidRPr="00FA28BF">
        <w:t>.</w:t>
      </w:r>
    </w:p>
    <w:p w14:paraId="0D37A009" w14:textId="798F487F" w:rsidR="004D1BAE" w:rsidRPr="00482305" w:rsidRDefault="004D1BAE" w:rsidP="004D1BAE">
      <w:bookmarkStart w:id="581" w:name="_Toc46154361"/>
      <w:r w:rsidRPr="008529F6">
        <w:rPr>
          <w:color w:val="000000"/>
          <w:szCs w:val="24"/>
        </w:rPr>
        <w:t>Yapılan bir çalışmada enfeksiyon hastalarında IL-6 değerinin enfeksiyon</w:t>
      </w:r>
      <w:r w:rsidRPr="008529F6">
        <w:rPr>
          <w:color w:val="000000"/>
        </w:rPr>
        <w:br/>
      </w:r>
      <w:r w:rsidRPr="008529F6">
        <w:rPr>
          <w:color w:val="000000"/>
          <w:szCs w:val="24"/>
        </w:rPr>
        <w:t xml:space="preserve">göstergesi olarak kullanışlı bir belirteç olacağı belirtilmektedir </w:t>
      </w:r>
      <w:r w:rsidRPr="008529F6">
        <w:rPr>
          <w:color w:val="000000"/>
          <w:szCs w:val="24"/>
        </w:rPr>
        <w:fldChar w:fldCharType="begin" w:fldLock="1"/>
      </w:r>
      <w:r>
        <w:rPr>
          <w:color w:val="000000"/>
          <w:szCs w:val="24"/>
        </w:rPr>
        <w:instrText>ADDIN CSL_CITATION {"citationItems":[{"id":"ITEM-1","itemData":{"DOI":"10.1086/315214","ISSN":"0022-1899","abstract":"Serum concentrations of the proinflammatory cytokines tumor necrosis factor-alpha (TNF-alpha), interleukin (IL)-1beta, and IL-6, and the anti-inflammatory cytokine Il-10, and IL-1 receptor antagonists (IL-1ra) and soluble TNF receptors (sTNFRs) were measured in 65 patients with severe sepsis. All patients were evaluated clinically and microbiologically and were followed up for clinical outcome. Levels of both pro- and anti-inflammatory cytokines were significantly elevated in patients with sepsis. Elevated serum IL-10 and TNF-alpha levels and a high IL-10 to TNF-alpha ratio were associated with death, whereas higher levels of TNF-alpha, IL-6, IL-1ra, and sTNFR were detected in patients with an early hemodynamic deterioration. Interleukin-10 and IL-10:TNF-alpha ratio remained higher in nonsurvivors, whereas IL-10 paralleled the sepsis score. Although both the inflammatory and anti-inflammatory response is profoundly augmented in patients with severe sepsis, the sustained overproduction of the anti-inflammatory cytokine IL-10 is the main predictor of severity and fatal outcome.","author":[{"dropping-particle":"","family":"Gogos","given":"Charalambos A.","non-dropping-particle":"","parse-names":false,"suffix":""},{"dropping-particle":"","family":"Drosou","given":"Eugenia","non-dropping-particle":"","parse-names":false,"suffix":""},{"dropping-particle":"","family":"Bassaris","given":"Harry P.","non-dropping-particle":"","parse-names":false,"suffix":""},{"dropping-particle":"","family":"Skoutelis","given":"Athanassios","non-dropping-particle":"","parse-names":false,"suffix":""}],"container-title":"The Journal of Infectious Diseases","id":"ITEM-1","issue":"1","issued":{"date-parts":[["2000","1","1"]]},"page":"176-180","publisher":"Oxford University Press (OUP)","title":"Pro</w:instrText>
      </w:r>
      <w:r>
        <w:rPr>
          <w:rFonts w:ascii="Cambria Math" w:hAnsi="Cambria Math" w:cs="Cambria Math"/>
          <w:color w:val="000000"/>
          <w:szCs w:val="24"/>
        </w:rPr>
        <w:instrText>‐</w:instrText>
      </w:r>
      <w:r>
        <w:rPr>
          <w:color w:val="000000"/>
          <w:szCs w:val="24"/>
        </w:rPr>
        <w:instrText xml:space="preserve"> versus Anti</w:instrText>
      </w:r>
      <w:r>
        <w:rPr>
          <w:rFonts w:ascii="Cambria Math" w:hAnsi="Cambria Math" w:cs="Cambria Math"/>
          <w:color w:val="000000"/>
          <w:szCs w:val="24"/>
        </w:rPr>
        <w:instrText>‐</w:instrText>
      </w:r>
      <w:r>
        <w:rPr>
          <w:color w:val="000000"/>
          <w:szCs w:val="24"/>
        </w:rPr>
        <w:instrText>inflammatory Cytokine Profile in Patients with Severe Sepsis: A Marker for Prognosis and Future Therapeutic Options","type":"article-journal","volume":"181"},"uris":["http://www.mendeley.com/documents/?uuid=b05eba3b-65e6-3c9b-b79c-d9592dfc5392"]}],"mendeley":{"formattedCitation":"(58)","plainTextFormattedCitation":"(58)","previouslyFormattedCitation":"(58)"},"properties":{"noteIndex":0},"schema":"https://github.com/citation-style-language/schema/raw/master/csl-citation.json"}</w:instrText>
      </w:r>
      <w:r w:rsidRPr="008529F6">
        <w:rPr>
          <w:color w:val="000000"/>
          <w:szCs w:val="24"/>
        </w:rPr>
        <w:fldChar w:fldCharType="separate"/>
      </w:r>
      <w:r w:rsidRPr="0085653B">
        <w:rPr>
          <w:noProof/>
          <w:color w:val="000000"/>
          <w:szCs w:val="24"/>
        </w:rPr>
        <w:t>(58)</w:t>
      </w:r>
      <w:r w:rsidRPr="008529F6">
        <w:rPr>
          <w:color w:val="000000"/>
          <w:szCs w:val="24"/>
        </w:rPr>
        <w:fldChar w:fldCharType="end"/>
      </w:r>
      <w:r w:rsidRPr="008529F6">
        <w:rPr>
          <w:color w:val="000000"/>
          <w:szCs w:val="24"/>
        </w:rPr>
        <w:t xml:space="preserve">. </w:t>
      </w:r>
      <w:r w:rsidRPr="008529F6">
        <w:t xml:space="preserve">Yoshiaki ve </w:t>
      </w:r>
      <w:r w:rsidR="003B1EAA">
        <w:t xml:space="preserve">ark. </w:t>
      </w:r>
      <w:r w:rsidRPr="008529F6">
        <w:t xml:space="preserve">yaptığı bir çalışmada 30 sağlıklı gönüllüden alınan IL-6'nın normal ortalama değeri 18 ± 34 </w:t>
      </w:r>
      <w:r w:rsidR="00CE1309">
        <w:t>pg/ml</w:t>
      </w:r>
      <w:r w:rsidRPr="008529F6">
        <w:t xml:space="preserve"> (dağılım 0-158 </w:t>
      </w:r>
      <w:r w:rsidR="00CE1309">
        <w:t>pg/ml</w:t>
      </w:r>
      <w:r w:rsidR="00B0144B">
        <w:t>) idi. Yirmi bir (%</w:t>
      </w:r>
      <w:r w:rsidRPr="008529F6">
        <w:t xml:space="preserve">70) hastada seviye saptanamadı (&lt;10 </w:t>
      </w:r>
      <w:r w:rsidR="00CE1309">
        <w:t>pg/ml</w:t>
      </w:r>
      <w:r w:rsidRPr="008529F6">
        <w:t>).</w:t>
      </w:r>
      <w:r>
        <w:t xml:space="preserve"> </w:t>
      </w:r>
      <w:r w:rsidR="00B0144B">
        <w:t>Otuz hastanın 2’sinde (%</w:t>
      </w:r>
      <w:r w:rsidRPr="008529F6">
        <w:t xml:space="preserve">7) 86 </w:t>
      </w:r>
      <w:r w:rsidR="00CE1309">
        <w:t>pg/ml</w:t>
      </w:r>
      <w:r w:rsidRPr="008529F6">
        <w:t xml:space="preserve">'den daha yüksek IL-6 seviyeleri vardı </w:t>
      </w:r>
      <w:r w:rsidRPr="008529F6">
        <w:fldChar w:fldCharType="begin" w:fldLock="1"/>
      </w:r>
      <w:r w:rsidR="001C4787">
        <w:instrText>ADDIN CSL_CITATION {"citationItems":[{"id":"ITEM-1","itemData":{"DOI":"10.1097/00007890-199404150-00009","ISSN":"00411337","PMID":"8165699","abstract":"Control serum levels of IL-6 measured by ELISA in 30 healthy blood donors or volunteers were 18±34 pg/ml (mean ± SD). Pretransplant serum levels of IL-6 in 169 adult candidates for liver transplantation were significantly higher than control in those with fulminant hepatitis (203±232 pg/ml), alcoholic cirrhosis (116±257 pg/ml), and hepatocellular carcinoma (82± 105 pg/ml). With these data as background, plasma or serum levels of IL-6 were monitored in 24 adult patients after first OLT and correlated with the clinical courses and the histopathological diagnosis of rejection. Serum or plasma levels of IL-6 decreased after transplantation regardless of pretransplant value. Four patients with infection subsequently developed continuously high IL-6 values. In the 20 of 24 patients who did not have infection, significantly higher levels of IL-6 were consistently found 0-4 days before histopathological diagnosis of rejection (131±78 pg/ml) compared with significantly lower values in patients without rejection episodes (40±21 pg/ml). The elevations of IL-6 were spike shaped, did not correlate well with the histopathological grades of rejection, and were highly responsive to augmented immunosuppression. These 20 cases were classified as: Group 1, no spikes of IL-6 after liver transplantation; group 2, single spike of IL-6 after liver transplantation; and group 3, multiple spikes of IL-6 after liver transplantation. The combined early and late graft loss of each group was 0% (group 1), 25% (group 2), and 67% (group 3). We conclude that daily monitored serum or plasma IL-6 levels can be a good premonitor of liver allograft rejection and also a useful predictor of long-term graft outcome. © 1994 by Williams &amp; Wilkins.","author":[{"dropping-particle":"","family":"Kita","given":"Yoshiaki","non-dropping-particle":"","parse-names":false,"suffix":""},{"dropping-particle":"","family":"Iwaki","given":"Yuichi","non-dropping-particle":"","parse-names":false,"suffix":""},{"dropping-particle":"","family":"Demetris","given":"Anthony J.","non-dropping-particle":"","parse-names":false,"suffix":""},{"dropping-particle":"","family":"Starzl","given":"Thomas E.","non-dropping-particle":"","parse-names":false,"suffix":""}],"container-title":"Transplantation","id":"ITEM-1","issue":"7","issued":{"date-parts":[["1994"]]},"page":"1037-1041","publisher":"NIH Public Access","title":"Evaluation of sequential serum interleukin-6 levels in liver allograft recipients","type":"article-journal","volume":"57"},"uris":["http://www.mendeley.com/documents/?uuid=9651c8b6-0ad6-37ae-a154-6116293e7f99"]}],"mendeley":{"formattedCitation":"(112)","plainTextFormattedCitation":"(112)","previouslyFormattedCitation":"(112)"},"properties":{"noteIndex":0},"schema":"https://github.com/citation-style-language/schema/raw/master/csl-citation.json"}</w:instrText>
      </w:r>
      <w:r w:rsidRPr="008529F6">
        <w:fldChar w:fldCharType="separate"/>
      </w:r>
      <w:r w:rsidR="00013FE6" w:rsidRPr="00013FE6">
        <w:rPr>
          <w:noProof/>
        </w:rPr>
        <w:t>(112)</w:t>
      </w:r>
      <w:r w:rsidRPr="008529F6">
        <w:fldChar w:fldCharType="end"/>
      </w:r>
      <w:r w:rsidRPr="008529F6">
        <w:t>.</w:t>
      </w:r>
      <w:r>
        <w:t xml:space="preserve"> </w:t>
      </w:r>
      <w:r w:rsidRPr="008529F6">
        <w:rPr>
          <w:shd w:val="clear" w:color="auto" w:fill="FFFFFF"/>
        </w:rPr>
        <w:t xml:space="preserve">Enfeksiyonu olmayan, stabil ve greftleri iyi çalışan hastaların, nakil öncesi değerler ne </w:t>
      </w:r>
      <w:r w:rsidRPr="008529F6">
        <w:rPr>
          <w:shd w:val="clear" w:color="auto" w:fill="FFFFFF"/>
        </w:rPr>
        <w:lastRenderedPageBreak/>
        <w:t>olursa olsun serum veya plazma IL-6 seviyeleri normal aralıkta kalmıştır.</w:t>
      </w:r>
      <w:r>
        <w:rPr>
          <w:shd w:val="clear" w:color="auto" w:fill="FFFFFF"/>
        </w:rPr>
        <w:t xml:space="preserve"> </w:t>
      </w:r>
      <w:r w:rsidRPr="008529F6">
        <w:rPr>
          <w:shd w:val="clear" w:color="auto" w:fill="FFFFFF"/>
        </w:rPr>
        <w:t xml:space="preserve">Klinik uygulamada, IL-6 rejeksiyon sırasında </w:t>
      </w:r>
      <w:r>
        <w:rPr>
          <w:shd w:val="clear" w:color="auto" w:fill="FFFFFF"/>
        </w:rPr>
        <w:t xml:space="preserve">da </w:t>
      </w:r>
      <w:r w:rsidRPr="008529F6">
        <w:rPr>
          <w:shd w:val="clear" w:color="auto" w:fill="FFFFFF"/>
        </w:rPr>
        <w:t xml:space="preserve">yükselir. Ancak, bakteriyel enfeksiyonun neden olduğu IL-6 artışında serum seviyeleri, genellikle 1000 pg/ml üzerinde olağanüstü yükselir </w:t>
      </w:r>
      <w:r w:rsidRPr="008529F6">
        <w:rPr>
          <w:shd w:val="clear" w:color="auto" w:fill="FFFFFF"/>
        </w:rPr>
        <w:fldChar w:fldCharType="begin" w:fldLock="1"/>
      </w:r>
      <w:r w:rsidR="001C4787">
        <w:rPr>
          <w:shd w:val="clear" w:color="auto" w:fill="FFFFFF"/>
        </w:rPr>
        <w:instrText>ADDIN CSL_CITATION {"citationItems":[{"id":"ITEM-1","itemData":{"DOI":"10.1097/00007890-199404150-00009","ISSN":"00411337","PMID":"8165699","abstract":"Control serum levels of IL-6 measured by ELISA in 30 healthy blood donors or volunteers were 18±34 pg/ml (mean ± SD). Pretransplant serum levels of IL-6 in 169 adult candidates for liver transplantation were significantly higher than control in those with fulminant hepatitis (203±232 pg/ml), alcoholic cirrhosis (116±257 pg/ml), and hepatocellular carcinoma (82± 105 pg/ml). With these data as background, plasma or serum levels of IL-6 were monitored in 24 adult patients after first OLT and correlated with the clinical courses and the histopathological diagnosis of rejection. Serum or plasma levels of IL-6 decreased after transplantation regardless of pretransplant value. Four patients with infection subsequently developed continuously high IL-6 values. In the 20 of 24 patients who did not have infection, significantly higher levels of IL-6 were consistently found 0-4 days before histopathological diagnosis of rejection (131±78 pg/ml) compared with significantly lower values in patients without rejection episodes (40±21 pg/ml). The elevations of IL-6 were spike shaped, did not correlate well with the histopathological grades of rejection, and were highly responsive to augmented immunosuppression. These 20 cases were classified as: Group 1, no spikes of IL-6 after liver transplantation; group 2, single spike of IL-6 after liver transplantation; and group 3, multiple spikes of IL-6 after liver transplantation. The combined early and late graft loss of each group was 0% (group 1), 25% (group 2), and 67% (group 3). We conclude that daily monitored serum or plasma IL-6 levels can be a good premonitor of liver allograft rejection and also a useful predictor of long-term graft outcome. © 1994 by Williams &amp; Wilkins.","author":[{"dropping-particle":"","family":"Kita","given":"Yoshiaki","non-dropping-particle":"","parse-names":false,"suffix":""},{"dropping-particle":"","family":"Iwaki","given":"Yuichi","non-dropping-particle":"","parse-names":false,"suffix":""},{"dropping-particle":"","family":"Demetris","given":"Anthony J.","non-dropping-particle":"","parse-names":false,"suffix":""},{"dropping-particle":"","family":"Starzl","given":"Thomas E.","non-dropping-particle":"","parse-names":false,"suffix":""}],"container-title":"Transplantation","id":"ITEM-1","issue":"7","issued":{"date-parts":[["1994"]]},"page":"1037-1041","publisher":"NIH Public Access","title":"Evaluation of sequential serum interleukin-6 levels in liver allograft recipients","type":"article-journal","volume":"57"},"uris":["http://www.mendeley.com/documents/?uuid=9651c8b6-0ad6-37ae-a154-6116293e7f99"]}],"mendeley":{"formattedCitation":"(112)","plainTextFormattedCitation":"(112)","previouslyFormattedCitation":"(112)"},"properties":{"noteIndex":0},"schema":"https://github.com/citation-style-language/schema/raw/master/csl-citation.json"}</w:instrText>
      </w:r>
      <w:r w:rsidRPr="008529F6">
        <w:rPr>
          <w:shd w:val="clear" w:color="auto" w:fill="FFFFFF"/>
        </w:rPr>
        <w:fldChar w:fldCharType="separate"/>
      </w:r>
      <w:r w:rsidR="00013FE6" w:rsidRPr="00013FE6">
        <w:rPr>
          <w:noProof/>
          <w:shd w:val="clear" w:color="auto" w:fill="FFFFFF"/>
        </w:rPr>
        <w:t>(112)</w:t>
      </w:r>
      <w:r w:rsidRPr="008529F6">
        <w:rPr>
          <w:shd w:val="clear" w:color="auto" w:fill="FFFFFF"/>
        </w:rPr>
        <w:fldChar w:fldCharType="end"/>
      </w:r>
      <w:r w:rsidRPr="008529F6">
        <w:rPr>
          <w:shd w:val="clear" w:color="auto" w:fill="FFFFFF"/>
        </w:rPr>
        <w:t>. </w:t>
      </w:r>
      <w:r>
        <w:t xml:space="preserve">Bizim çalışmamızda </w:t>
      </w:r>
      <w:r w:rsidRPr="00482305">
        <w:t>IL-6</w:t>
      </w:r>
      <w:r w:rsidR="009F02C6">
        <w:t>’</w:t>
      </w:r>
      <w:r>
        <w:t>nın</w:t>
      </w:r>
      <w:r w:rsidRPr="00482305">
        <w:t xml:space="preserve"> median değerini</w:t>
      </w:r>
      <w:r>
        <w:t xml:space="preserve"> 237,2 pg/ml (14,6 – 5000</w:t>
      </w:r>
      <w:r w:rsidRPr="00482305">
        <w:t>) olarak tespit ettik. Bu anlamda IL-6 karaciğer nakli olmuş hastalarda enfeksiyon göstergesi olarak kullanılabilecek bir parametredir.</w:t>
      </w:r>
    </w:p>
    <w:bookmarkEnd w:id="581"/>
    <w:p w14:paraId="1C810918" w14:textId="59ED634F" w:rsidR="005724D0" w:rsidRPr="0046459C" w:rsidRDefault="005724D0" w:rsidP="005724D0">
      <w:pPr>
        <w:rPr>
          <w:color w:val="000000"/>
          <w:szCs w:val="24"/>
        </w:rPr>
      </w:pPr>
      <w:r w:rsidRPr="0046459C">
        <w:rPr>
          <w:color w:val="000000"/>
          <w:szCs w:val="24"/>
        </w:rPr>
        <w:t xml:space="preserve">Yapılan bir çalışmada sepsis tanısında CRP ve PCT değerleri kan kültüründe üreme olan hastalar ile üreme olmayan hastalar arasında karşılaştırıldığında gruplar arasında CRP ve PCT değerleri arasında anlamlı fark saptanmamıştır </w:t>
      </w:r>
      <w:r w:rsidRPr="0046459C">
        <w:rPr>
          <w:color w:val="000000"/>
          <w:szCs w:val="24"/>
        </w:rPr>
        <w:fldChar w:fldCharType="begin" w:fldLock="1"/>
      </w:r>
      <w:r w:rsidR="001C4787">
        <w:rPr>
          <w:color w:val="000000"/>
          <w:szCs w:val="24"/>
        </w:rPr>
        <w:instrText>ADDIN CSL_CITATION {"citationItems":[{"id":"ITEM-1","itemData":{"DOI":"10.1038/jp.2008.207","ISSN":"07438346","abstract":"Objective: The purpose of this study was to determine the role of serum amyloid A (SAA) in diagnosis of neonatal sepsis and evaluation of clinical response to antibiotic therapy. We also aimed to compare the efficiency of SAA with that of C-reactive protein (CRP) and procalcitonin (PCT) in diagnosis and follow-up of neonatal sepsis in preterm infants. Study Design: A total of 163 infants were enrolled in this prospective study. The infants were classified into four groups: group 1 (high probable sepsis), group 2 (probable sepsis), group 3 (possible sepsis) and group 4 (no sepsis, control group). Blood samples for whole blood count, CRP, PCT, SAA and culture were obtained before initiating antibiotic treatment. This procedure was repeated three times at 48h, 7 and 10 days. Result: Initial CRP, PCT and SAA levels were found to be positive in 73.2, 75.6 and 77.2% of all infants, respectively. Sensitivities of CRP, PCT and SAA at 0h were 72.3, 74.8 and 76.4%, respectively. Although it was not statistically significant, SAA was found to be more sensitive than CRP and PCT in diagnosis of neonatal sepsis. The area under the curve (AUC) for CRP, PCT and SAA at 0h were 0.870, 0.870 and 0.875, respectively. Although the AUC for SAA at 0h was higher than PCT and CRP, the difference was not statistically significant. Conclusion: SAA is an accurate and reliable marker for diagnosis and follow-up of neonatal sepsis. It is especially useful at the onset of inflammation for rapid diagnosis of neonatal sepsis and can be safely and accurately used in combination with other sepsis markers such as CRP and PCT in diagnosis and follow-up of neonatal sepsis in preterm infants.","author":[{"dropping-particle":"","family":"Çetinkaya","given":"M.","non-dropping-particle":"","parse-names":false,"suffix":""},{"dropping-particle":"","family":"Özkan","given":"H.","non-dropping-particle":"","parse-names":false,"suffix":""},{"dropping-particle":"","family":"Köksal","given":"N.","non-dropping-particle":"","parse-names":false,"suffix":""},{"dropping-particle":"","family":"Çelebi","given":"S.","non-dropping-particle":"","parse-names":false,"suffix":""},{"dropping-particle":"","family":"Hacimustafaoǧlu","given":"M.","non-dropping-particle":"","parse-names":false,"suffix":""}],"container-title":"Journal of Perinatology","id":"ITEM-1","issue":"3","issued":{"date-parts":[["2009","12","11"]]},"page":"225-231","publisher":"Nature Publishing Group","title":"Comparison of serum amyloid A concentrations with those of C-reactive protein and procalcitonin in diagnosis and follow-up of neonatal sepsis in premature infants","type":"article-journal","volume":"29"},"uris":["http://www.mendeley.com/documents/?uuid=8f5f7b9b-43fc-3404-98de-fb7491fb1797"]}],"mendeley":{"formattedCitation":"(113)","plainTextFormattedCitation":"(113)","previouslyFormattedCitation":"(113)"},"properties":{"noteIndex":0},"schema":"https://github.com/citation-style-language/schema/raw/master/csl-citation.json"}</w:instrText>
      </w:r>
      <w:r w:rsidRPr="0046459C">
        <w:rPr>
          <w:color w:val="000000"/>
          <w:szCs w:val="24"/>
        </w:rPr>
        <w:fldChar w:fldCharType="separate"/>
      </w:r>
      <w:r w:rsidR="00013FE6" w:rsidRPr="00013FE6">
        <w:rPr>
          <w:noProof/>
          <w:color w:val="000000"/>
          <w:szCs w:val="24"/>
        </w:rPr>
        <w:t>(113)</w:t>
      </w:r>
      <w:r w:rsidRPr="0046459C">
        <w:rPr>
          <w:color w:val="000000"/>
          <w:szCs w:val="24"/>
        </w:rPr>
        <w:fldChar w:fldCharType="end"/>
      </w:r>
      <w:r w:rsidRPr="0046459C">
        <w:rPr>
          <w:color w:val="000000"/>
          <w:szCs w:val="24"/>
        </w:rPr>
        <w:t xml:space="preserve">. </w:t>
      </w:r>
    </w:p>
    <w:p w14:paraId="7E2059F8" w14:textId="191E6E52" w:rsidR="005724D0" w:rsidRDefault="005724D0" w:rsidP="005724D0">
      <w:r w:rsidRPr="0046459C">
        <w:rPr>
          <w:color w:val="000000"/>
          <w:szCs w:val="24"/>
        </w:rPr>
        <w:t>Başka bir çalışmada ise kültür pozitif grupta, negatif olan gruba göre PCT düzeyinin anlamlı olarak yüksek olduğu, CRP</w:t>
      </w:r>
      <w:r w:rsidRPr="00D06874">
        <w:rPr>
          <w:color w:val="000000"/>
          <w:szCs w:val="24"/>
        </w:rPr>
        <w:t xml:space="preserve"> değerlerinin ise her iki grup arasında</w:t>
      </w:r>
      <w:r>
        <w:rPr>
          <w:color w:val="000000"/>
          <w:szCs w:val="24"/>
        </w:rPr>
        <w:t xml:space="preserve"> </w:t>
      </w:r>
      <w:r w:rsidRPr="00D06874">
        <w:rPr>
          <w:color w:val="000000"/>
          <w:szCs w:val="24"/>
        </w:rPr>
        <w:t>farklı olmadığı bulunmu</w:t>
      </w:r>
      <w:r>
        <w:rPr>
          <w:color w:val="000000"/>
          <w:szCs w:val="24"/>
        </w:rPr>
        <w:t>ş</w:t>
      </w:r>
      <w:r w:rsidRPr="00D06874">
        <w:rPr>
          <w:color w:val="000000"/>
          <w:szCs w:val="24"/>
        </w:rPr>
        <w:t xml:space="preserve">tur </w:t>
      </w:r>
      <w:r>
        <w:rPr>
          <w:color w:val="000000"/>
          <w:szCs w:val="24"/>
        </w:rPr>
        <w:fldChar w:fldCharType="begin" w:fldLock="1"/>
      </w:r>
      <w:r w:rsidR="001C4787">
        <w:rPr>
          <w:color w:val="000000"/>
          <w:szCs w:val="24"/>
        </w:rPr>
        <w:instrText>ADDIN CSL_CITATION {"citationItems":[{"id":"ITEM-1","itemData":{"DOI":"10.1177/0310057x0903700102","ISSN":"0310057X","abstract":"Serial procalcitonin is reported to be useful to titrate duration of antibiotic therapy in the non critically ill patient with pneumonia. The aim of this study was to examine the relationship between antibiotic therapy and serial serum procalcitonin concentrations in a cohort of critically ill septic patients and examine for any differences between culture positive (CP) and culture negative (CN) sepsis. Seventy-five critically ill patients with suspected sepsis were enrolled in this prospective observational study. Serial procalcitonin and C-reactive protein assays were measured on days one, three, five, seven, 10 and 14. The mean duration of antibiotic therapy was similar in the two groups (10.4±5.1 (CP) vs. 8.4±5.1 (CN) days, P=0.09). Serum procalcitonin concentrations were significantly higher at baseline in the CP than the CN group (14.9±22.9 vs. 6.8±21.5 ng/ml, P=0.04). During the study period, serum concentrations of procalcitonin and C-reactive protein declined in both groups. Serum procalcitonin consistently remained higher in the CP group (P&lt;0.05) and did not return to normal values. In the CN group, procalcitonin concentrations fell below 0.5 only on day 10. There was no significant difference in C-reactive protein profile between the two groups. Four patients in the CP group (11%) had relapse of sepsis. The mean procalcitonins in the relapsed subgroup were lower than those in the remission subgroup (P=0.02). Therapy for proven or presumed infections was associated with declining serum procalcitonin and C-reactive protein in critically ill septic patients. The marked variability and overlap in plasma profile of these markers between CP and CN sepsis makes it difficult to define a nadir plasma concentration at which one can recommend discontinuation of antibiotic therapy.","author":[{"dropping-particle":"","family":"Venkatesh","given":"B.","non-dropping-particle":"","parse-names":false,"suffix":""},{"dropping-particle":"","family":"Kennedy","given":"P.","non-dropping-particle":"","parse-names":false,"suffix":""},{"dropping-particle":"","family":"Kruger","given":"P. S.","non-dropping-particle":"","parse-names":false,"suffix":""},{"dropping-particle":"","family":"Looke","given":"D.","non-dropping-particle":"","parse-names":false,"suffix":""},{"dropping-particle":"","family":"Jones","given":"M.","non-dropping-particle":"","parse-names":false,"suffix":""},{"dropping-particle":"","family":"Hal","given":"J.","non-dropping-particle":"","parse-names":false,"suffix":""},{"dropping-particle":"","family":"Ray Barruel","given":"G.","non-dropping-particle":"","parse-names":false,"suffix":""}],"container-title":"Anaesthesia and Intensive Care","id":"ITEM-1","issue":"1","issued":{"date-parts":[["2009","1","1"]]},"page":"20-26","publisher":"SAGE PublicationsSage UK: London, England","title":"Changes in serum procalcitonin and C-reactive protein following antimicrobial therapy as a guide to antibiotic duration in the critically ill: A prospective evaluation","type":"article-journal","volume":"37"},"uris":["http://www.mendeley.com/documents/?uuid=d6c7b51b-a92e-39bd-a4aa-70d18db40dd6"]}],"mendeley":{"formattedCitation":"(114)","plainTextFormattedCitation":"(114)","previouslyFormattedCitation":"(114)"},"properties":{"noteIndex":0},"schema":"https://github.com/citation-style-language/schema/raw/master/csl-citation.json"}</w:instrText>
      </w:r>
      <w:r>
        <w:rPr>
          <w:color w:val="000000"/>
          <w:szCs w:val="24"/>
        </w:rPr>
        <w:fldChar w:fldCharType="separate"/>
      </w:r>
      <w:r w:rsidR="00013FE6" w:rsidRPr="00013FE6">
        <w:rPr>
          <w:noProof/>
          <w:color w:val="000000"/>
          <w:szCs w:val="24"/>
        </w:rPr>
        <w:t>(114)</w:t>
      </w:r>
      <w:r>
        <w:rPr>
          <w:color w:val="000000"/>
          <w:szCs w:val="24"/>
        </w:rPr>
        <w:fldChar w:fldCharType="end"/>
      </w:r>
      <w:r>
        <w:rPr>
          <w:color w:val="000000"/>
          <w:szCs w:val="24"/>
        </w:rPr>
        <w:t>.</w:t>
      </w:r>
      <w:r w:rsidR="00074217">
        <w:rPr>
          <w:color w:val="000000"/>
          <w:szCs w:val="24"/>
        </w:rPr>
        <w:t xml:space="preserve"> </w:t>
      </w:r>
      <w:r w:rsidRPr="009E03EB">
        <w:t>Çalışmamızda CRP ve PCT değeri</w:t>
      </w:r>
      <w:r>
        <w:t xml:space="preserve"> her iki grupta artmış olmasına karşın</w:t>
      </w:r>
      <w:r w:rsidRPr="009E03EB">
        <w:t xml:space="preserve"> kültür negatif ve kültür pozitif grup</w:t>
      </w:r>
      <w:r>
        <w:t xml:space="preserve">lar </w:t>
      </w:r>
      <w:r w:rsidRPr="009E03EB">
        <w:t>karşılaştırıldığında gruplar arasında anlamlı farklılık görülmedi (</w:t>
      </w:r>
      <w:r>
        <w:t>p=</w:t>
      </w:r>
      <w:r w:rsidRPr="009E03EB">
        <w:t xml:space="preserve">0.38 ve </w:t>
      </w:r>
      <w:r>
        <w:t>p=</w:t>
      </w:r>
      <w:r w:rsidRPr="009E03EB">
        <w:t xml:space="preserve">0.65). </w:t>
      </w:r>
      <w:r>
        <w:t xml:space="preserve"> </w:t>
      </w:r>
    </w:p>
    <w:p w14:paraId="0E52E487" w14:textId="7CB769D6" w:rsidR="00F87687" w:rsidRPr="00FA28BF" w:rsidRDefault="00F87687" w:rsidP="00545D7A">
      <w:r>
        <w:t>En son</w:t>
      </w:r>
      <w:r w:rsidRPr="002A63DF">
        <w:t xml:space="preserve"> yayınlanan Sepsis</w:t>
      </w:r>
      <w:r>
        <w:t>-</w:t>
      </w:r>
      <w:r w:rsidRPr="002A63DF">
        <w:t>3 kılavuzunda, izole laktat</w:t>
      </w:r>
      <w:r>
        <w:t xml:space="preserve"> </w:t>
      </w:r>
      <w:r w:rsidRPr="002A63DF">
        <w:t>yüksekliğinin ölüm oranı açısından ciddi bir farklılığa yol açmadığı belirtilmiştir.</w:t>
      </w:r>
      <w:r>
        <w:t xml:space="preserve"> </w:t>
      </w:r>
      <w:r w:rsidRPr="002A63DF">
        <w:t>Laktat seviyesinin klinik ağırlığını belirlemede yetersiz olduğu, ancak septik şok</w:t>
      </w:r>
      <w:r>
        <w:t xml:space="preserve"> </w:t>
      </w:r>
      <w:r w:rsidRPr="002A63DF">
        <w:t>kliniğinde bir marker olarak kab</w:t>
      </w:r>
      <w:r>
        <w:t xml:space="preserve">ul edilebileceği vurgulanmıştır </w:t>
      </w:r>
      <w:r>
        <w:fldChar w:fldCharType="begin" w:fldLock="1"/>
      </w:r>
      <w:r>
        <w:instrText>ADDIN CSL_CITATION {"citationItems":[{"id":"ITEM-1","itemData":{"id":"ITEM-1","issued":{"date-parts":[["0"]]},"title":"Singer M, Deutschman CS, Seymour CW, Shankar-Hari M, Annane D, Bauer M, et al. The Third International Consensus Definitions for Sepsis and Septic Shock (Sepsis-3) JAMA. 2016;315(8):801–10","type":"article-journal"},"uris":["http://www.mendeley.com/documents/?uuid=d1a74f50-693e-4a6e-9b3b-e944e2e371ed"]}],"mendeley":{"formattedCitation":"(42)","plainTextFormattedCitation":"(42)","previouslyFormattedCitation":"(42)"},"properties":{"noteIndex":0},"schema":"https://github.com/citation-style-language/schema/raw/master/csl-citation.json"}</w:instrText>
      </w:r>
      <w:r>
        <w:fldChar w:fldCharType="separate"/>
      </w:r>
      <w:r w:rsidRPr="0085653B">
        <w:rPr>
          <w:noProof/>
        </w:rPr>
        <w:t>(42)</w:t>
      </w:r>
      <w:r>
        <w:fldChar w:fldCharType="end"/>
      </w:r>
      <w:r>
        <w:t>.</w:t>
      </w:r>
      <w:r w:rsidR="00074217">
        <w:t xml:space="preserve"> </w:t>
      </w:r>
      <w:r>
        <w:t>Karaciğer nakli yapılmış hastalardaki b</w:t>
      </w:r>
      <w:r w:rsidRPr="0046459C">
        <w:t>ir çalışmada</w:t>
      </w:r>
      <w:r>
        <w:t xml:space="preserve"> </w:t>
      </w:r>
      <w:r w:rsidRPr="0046459C">
        <w:t>enfeksiyonu olan ve olmayan</w:t>
      </w:r>
      <w:r w:rsidR="00074217">
        <w:t xml:space="preserve"> </w:t>
      </w:r>
      <w:r w:rsidRPr="0046459C">
        <w:t>hastalar arasında laktat değer</w:t>
      </w:r>
      <w:r>
        <w:t>ler</w:t>
      </w:r>
      <w:r w:rsidRPr="0046459C">
        <w:t>i kıyaslanmış ve laktat değeri enfeksiyonu olmayan hastalarda</w:t>
      </w:r>
      <w:r>
        <w:t xml:space="preserve"> </w:t>
      </w:r>
      <w:r w:rsidRPr="0046459C">
        <w:t>1.55</w:t>
      </w:r>
      <w:r>
        <w:t xml:space="preserve"> </w:t>
      </w:r>
      <w:r w:rsidRPr="0046459C">
        <w:t>mmol/l iken enfeksiyonu olan hastalarda 1.69 mmol/l olarak bulunmuştur. Enfeksiyon</w:t>
      </w:r>
      <w:r>
        <w:t xml:space="preserve">un varlığı </w:t>
      </w:r>
      <w:r w:rsidRPr="0046459C">
        <w:t xml:space="preserve">açısından </w:t>
      </w:r>
      <w:r>
        <w:t xml:space="preserve">laktat yüksekliğinin </w:t>
      </w:r>
      <w:r w:rsidRPr="0046459C">
        <w:t>anlamsız olduğu tespit e</w:t>
      </w:r>
      <w:r w:rsidRPr="00D06874">
        <w:t>dilmi</w:t>
      </w:r>
      <w:r>
        <w:t>ştir</w:t>
      </w:r>
      <w:r w:rsidRPr="00D06874">
        <w:t xml:space="preserve"> (p&gt;0.05) </w:t>
      </w:r>
      <w:r>
        <w:fldChar w:fldCharType="begin" w:fldLock="1"/>
      </w:r>
      <w:r w:rsidR="001C4787">
        <w:instrText>ADDIN CSL_CITATION {"citationItems":[{"id":"ITEM-1","itemData":{"DOI":"10.1186/cc2877","ISSN":"1466609X","PMID":"15312223","abstract":"INTRODUCTION: Both C-reactive protein (CRP) and procalcitonin (PCT) are accepted sepsis markers. However, there is still some debate concerning the correlation between their serum concentrations and sepsis severity. We hypothesised that PCT and CRP concentrations are different in patients with infection or with no infection at a similar severity of organ dysfunction or of systemic inflammatory response. PATIENTS AND METHODS: One hundred and fifty adult intensive care unit patients were observed consecutively over a period of 10 days. PCT, CRP and infection parameters were compared among the following groups: no systemic inflammatory response syndrome (SIRS) (n = 15), SIRS (n = 15), sepsis/SS (n = 71) (including sepsis, severe sepsis and septic shock [n = 34, n = 22 and n = 15]), and trauma patients (n = 49, no infection). RESULTS: PCT and CRP concentrations were higher in patients in whom infection was diagnosed at comparable levels of organ dysfunction (infected patients, regression of median [ng/ml] PCT = -0.848 + 1.526 sequential organ failure assessment [SOFA] score, median [mg/l] CRP = 105.58 + 0.72 SOFA score; non-infected patients, PCT = 0.27 + 0.02 SOFA score, P &lt; 0.0001; CRP = 84.53 - 0.19 SOFA score, P &lt; 0.005), although correlation with the SOFA score was weak (R = 0.254, P &lt; 0.001 for PCT, and R = 0.292, P &lt; 0.001 for CRP). CRP levels were near their maximum already during lower SOFA scores, whereas maximum PCT concentrations were found at higher score levels (SOFA score &gt; 12).PCT and CRP concentrations were 1.58 ng/ml and 150 mg/l in patients with sepsis, 0.38 ng/ml and 51 mg/l in the SIRS patients (P &lt; 0.05, Mann-Whitney U-test), and 0.14 ng/ml and 72 mg/l in the patients with no SIRS (P &lt; 0.05). The kinetics of both parameters were also different, and PCT concentrations reacted more quickly than CRP. CONCLUSIONS: PCT and CRP levels are related to the severity of organ dysfunction, but concentrations are still higher during infection. Different sensitivities and kinetics indicate a different clinical use for both parameters.","author":[{"dropping-particle":"","family":"Castelli","given":"Gian Paolo","non-dropping-particle":"","parse-names":false,"suffix":""},{"dropping-particle":"","family":"Pognani","given":"Claudio","non-dropping-particle":"","parse-names":false,"suffix":""},{"dropping-particle":"","family":"Meisner","given":"Michael","non-dropping-particle":"","parse-names":false,"suffix":""},{"dropping-particle":"","family":"Stuani","given":"Antonio","non-dropping-particle":"","parse-names":false,"suffix":""},{"dropping-particle":"","family":"Bellomi","given":"Daniela","non-dropping-particle":"","parse-names":false,"suffix":""},{"dropping-particle":"","family":"Sgarbi","given":"Laura","non-dropping-particle":"","parse-names":false,"suffix":""}],"container-title":"Critical care (London, England)","id":"ITEM-1","issue":"4","issued":{"date-parts":[["2004","6","10"]]},"page":"1-9","publisher":"BioMed Central","title":"Procalcitonin and C-reactive protein during systemic inflammatory response syndrome, sepsis and organ dysfunction.","type":"article-journal","volume":"8"},"uris":["http://www.mendeley.com/documents/?uuid=04c94252-3510-3822-becc-27d900dc4ad7"]}],"mendeley":{"formattedCitation":"(115)","plainTextFormattedCitation":"(115)","previouslyFormattedCitation":"(115)"},"properties":{"noteIndex":0},"schema":"https://github.com/citation-style-language/schema/raw/master/csl-citation.json"}</w:instrText>
      </w:r>
      <w:r>
        <w:fldChar w:fldCharType="separate"/>
      </w:r>
      <w:r w:rsidR="00013FE6" w:rsidRPr="00013FE6">
        <w:rPr>
          <w:noProof/>
        </w:rPr>
        <w:t>(115)</w:t>
      </w:r>
      <w:r>
        <w:fldChar w:fldCharType="end"/>
      </w:r>
      <w:r w:rsidRPr="00D06874">
        <w:t xml:space="preserve">. Yapılan </w:t>
      </w:r>
      <w:r>
        <w:t xml:space="preserve">başka </w:t>
      </w:r>
      <w:r w:rsidRPr="00D06874">
        <w:t>bir çalışmada enfeksiyonu olan hastalar ile olmayan hastalar arasındaki</w:t>
      </w:r>
      <w:r>
        <w:t xml:space="preserve"> </w:t>
      </w:r>
      <w:r w:rsidRPr="0046459C">
        <w:t>laktat değeri karşılaştırıldığında laktat değerinin enfeksiyonu göstermede yetersiz</w:t>
      </w:r>
      <w:r>
        <w:t xml:space="preserve"> olduğu gösterilmiş (p=</w:t>
      </w:r>
      <w:r w:rsidRPr="00D06874">
        <w:t xml:space="preserve">0.05) (138). </w:t>
      </w:r>
      <w:r w:rsidRPr="00FA28BF">
        <w:t>Bizim çalışmamızda da kültür p</w:t>
      </w:r>
      <w:r w:rsidR="00F41A53">
        <w:t xml:space="preserve">ozitif grup ile kültür negatif </w:t>
      </w:r>
      <w:r w:rsidRPr="00FA28BF">
        <w:t xml:space="preserve">grup arasında laktat değeri karşılaştırıldığında anlamlı bir farkın </w:t>
      </w:r>
      <w:r w:rsidR="00F41A53" w:rsidRPr="00FA28BF">
        <w:t xml:space="preserve">olmadığı </w:t>
      </w:r>
      <w:r w:rsidR="00F41A53">
        <w:t>görülmekle</w:t>
      </w:r>
      <w:r w:rsidR="00545D7A">
        <w:t xml:space="preserve"> birlikte her iki grupta da artış olduğu </w:t>
      </w:r>
      <w:r w:rsidRPr="00FA28BF">
        <w:t xml:space="preserve">tespit edildi (p=0.41). </w:t>
      </w:r>
    </w:p>
    <w:p w14:paraId="6EC55CC1" w14:textId="449BC469" w:rsidR="002E3AB9" w:rsidRPr="00FA28BF" w:rsidRDefault="002E3AB9" w:rsidP="002E3AB9"/>
    <w:p w14:paraId="49EBBCD3" w14:textId="7E75ECCF" w:rsidR="004D641E" w:rsidRDefault="004D641E" w:rsidP="004D641E">
      <w:r>
        <w:t xml:space="preserve">Halac ve </w:t>
      </w:r>
      <w:r w:rsidR="003B1EAA">
        <w:t>ark.</w:t>
      </w:r>
      <w:r>
        <w:t xml:space="preserve"> yaptığı bir çalışmada 54</w:t>
      </w:r>
      <w:r w:rsidR="009F02C6">
        <w:t>’</w:t>
      </w:r>
      <w:r>
        <w:t>ü sağ lob, 57</w:t>
      </w:r>
      <w:r w:rsidR="009F02C6">
        <w:t>’</w:t>
      </w:r>
      <w:r>
        <w:t xml:space="preserve">si de sol lob nakli yapılan hastaların sepsis ve mortalite oranları karşılaştırılmıştır. Sağ lob vericili grupta sepsise bağlı mortalite oranı %70, sol lob verici grupta mortalite %77 civarında idi. Her iki grupta istatistiksel olarak sonuçlar anlamlı değildi </w:t>
      </w:r>
      <w:r>
        <w:fldChar w:fldCharType="begin" w:fldLock="1"/>
      </w:r>
      <w:r w:rsidR="001C4787">
        <w:instrText>ADDIN CSL_CITATION {"citationItems":[{"id":"ITEM-1","itemData":{"DOI":"10.1002/lt.24338","ISSN":"15276465","abstract":"Grafts from split livers (SLs) constitute an accepted approach to expand the donor pool. Over the last 5 years, most Argentinean centers have shown significant interest in increasing the use of this technique. The purpose of this article is to describe and analyze the outcomes of right-side grafts (RSGs) and left-side grafts (LSGs) from a multicenter study. The multicenter retrospective study included data from 111 recipients of SL grafts from between January 1, 2009 and December 31, 2013. Incidence of surgical complications, patient and graft survival, and factors that affected RSG and LSG survival were analyzed. Grafts types were 57 LSG and 54 RSG. Median follow-up times for LSG and RSG were 46 and 42 months, respectively. The 36-month patient and graft survivals for LSG were 83% and 79%, respectively, and for RSG were 78% and 69%, respectively. Retransplantation rates for LSG and RSG were 3.5% and 11%, respectively. Arterial complications were the most common cause of early retransplantation (less than 12 months). Cold ischemia time (CIT) longer than 10 hours and the use of high-risk donors (age ≥ 40 years or body mass index ≥ 30 kg/m2 or ≥ 5 days intensive care unit stay) were independent factors for diminished graft survival in RSG. None of the analyzed variables were associated with worse graft survival in LSG. Biliary complications were the most frequent complications in both groups (57% in LSG and 33% in RSG). Partial grafts obtained from liver splitting are an excellent option for patients in need of liver transplantation and have the potential to alleviate the organ shortage. Adequate donor selection and reducing CIT are crucial for optimizing results. Liver Transpl 22:63-70, 2016.","author":[{"dropping-particle":"","family":"Halac","given":"Esteban","non-dropping-particle":"","parse-names":false,"suffix":""},{"dropping-particle":"","family":"Dip","given":"Marcelo","non-dropping-particle":"","parse-names":false,"suffix":""},{"dropping-particle":"","family":"Quiñonez","given":"Emilio","non-dropping-particle":"","parse-names":false,"suffix":""},{"dropping-particle":"","family":"Alvarez","given":"Fernando","non-dropping-particle":"","parse-names":false,"suffix":""},{"dropping-particle":"","family":"Espinoza","given":"Johana Leiva","non-dropping-particle":"","parse-names":false,"suffix":""},{"dropping-particle":"","family":"Romero","given":"Pablo","non-dropping-particle":"","parse-names":false,"suffix":""},{"dropping-particle":"","family":"Nievas","given":"Franco","non-dropping-particle":"","parse-names":false,"suffix":""},{"dropping-particle":"","family":"Maurette","given":"Rafael","non-dropping-particle":"","parse-names":false,"suffix":""},{"dropping-particle":"","family":"Luque","given":"Carlos","non-dropping-particle":"","parse-names":false,"suffix":""},{"dropping-particle":"","family":"Matus","given":"Daniel","non-dropping-particle":"","parse-names":false,"suffix":""},{"dropping-particle":"","family":"Surraco","given":"Paz","non-dropping-particle":"","parse-names":false,"suffix":""},{"dropping-particle":"","family":"Fauda","given":"Martin","non-dropping-particle":"","parse-names":false,"suffix":""},{"dropping-particle":"","family":"McCormack","given":"Lucas","non-dropping-particle":"","parse-names":false,"suffix":""},{"dropping-particle":"","family":"Mattera","given":"Francisco J.","non-dropping-particle":"","parse-names":false,"suffix":""},{"dropping-particle":"","family":"Gondolesi","given":"Gabriel","non-dropping-particle":"","parse-names":false,"suffix":""},{"dropping-particle":"","family":"Imventarza","given":"Oscar","non-dropping-particle":"","parse-names":false,"suffix":""}],"container-title":"Liver Transplantation","id":"ITEM-1","issue":"1","issued":{"date-parts":[["2016","1","1"]]},"page":"63-70","publisher":"John Wiley and Sons Ltd","title":"Split liver transplantation: Report of right and left graft outcomes from a multicenter Argentinean group","type":"article-journal","volume":"22"},"uris":["http://www.mendeley.com/documents/?uuid=db2a2929-0a4f-344a-acf7-ee18e2ed89bb"]}],"mendeley":{"formattedCitation":"(116)","plainTextFormattedCitation":"(116)","previouslyFormattedCitation":"(116)"},"properties":{"noteIndex":0},"schema":"https://github.com/citation-style-language/schema/raw/master/csl-citation.json"}</w:instrText>
      </w:r>
      <w:r>
        <w:fldChar w:fldCharType="separate"/>
      </w:r>
      <w:r w:rsidR="00013FE6" w:rsidRPr="00013FE6">
        <w:rPr>
          <w:noProof/>
        </w:rPr>
        <w:t>(116)</w:t>
      </w:r>
      <w:r>
        <w:fldChar w:fldCharType="end"/>
      </w:r>
      <w:r>
        <w:t xml:space="preserve">. </w:t>
      </w:r>
      <w:r w:rsidRPr="00FA28BF">
        <w:t xml:space="preserve">Çalışmamızda greft tipi ve septik mortalite arasında ilişki yoktu (p=0.9). </w:t>
      </w:r>
    </w:p>
    <w:p w14:paraId="6384A3AD" w14:textId="3A5E71C0" w:rsidR="004D641E" w:rsidRDefault="004D641E" w:rsidP="004D641E">
      <w:pPr>
        <w:rPr>
          <w:b/>
          <w:sz w:val="28"/>
          <w:szCs w:val="24"/>
        </w:rPr>
      </w:pPr>
      <w:r>
        <w:lastRenderedPageBreak/>
        <w:t>Retrans yapılan hastaların %33</w:t>
      </w:r>
      <w:r w:rsidR="00B0144B">
        <w:t>’ü yaşayan grupta ve %66’</w:t>
      </w:r>
      <w:r>
        <w:t xml:space="preserve">sı mortalite gelişen grupta idi. Yaşayan gruptaki hastalarda HAT tespit edildikten sonra ilk 2 günde içinde retrans yapıldı. Exitus grubundaki hastalarda </w:t>
      </w:r>
      <w:r w:rsidR="00F41A53">
        <w:t>ise HAT</w:t>
      </w:r>
      <w:r>
        <w:t xml:space="preserve"> geliştikten 0, 1, 20 ve 48. günlerde retrans yapıldı. Retrans zamanının uzaması mortalite ile ilişkili olabilir.</w:t>
      </w:r>
    </w:p>
    <w:p w14:paraId="2CD030C5" w14:textId="77777777" w:rsidR="004D641E" w:rsidRPr="004D641E" w:rsidRDefault="004D641E" w:rsidP="004D641E"/>
    <w:p w14:paraId="4BBF36EB" w14:textId="31DC325A" w:rsidR="00D75FBB" w:rsidRDefault="00D75FBB" w:rsidP="00D75FBB">
      <w:pPr>
        <w:rPr>
          <w:shd w:val="clear" w:color="auto" w:fill="FFFFFF"/>
        </w:rPr>
      </w:pPr>
      <w:r>
        <w:rPr>
          <w:shd w:val="clear" w:color="auto" w:fill="FFFFFF"/>
        </w:rPr>
        <w:t xml:space="preserve">Serum bilirübin düzeyi sepsis sırasında hepatik disfonksiyonu teşhis etmek için en yaygın kullanılan biyobelirteçtir. Birçoğu septik olan yoğun bakım hastalarının yaklaşık %10'unda plazma bilirübinindeki erken artış (&gt; 2 </w:t>
      </w:r>
      <w:r w:rsidR="00742672">
        <w:rPr>
          <w:shd w:val="clear" w:color="auto" w:fill="FFFFFF"/>
        </w:rPr>
        <w:t>mg/dl</w:t>
      </w:r>
      <w:r>
        <w:rPr>
          <w:shd w:val="clear" w:color="auto" w:fill="FFFFFF"/>
        </w:rPr>
        <w:t xml:space="preserve">), mortalite için güçlü bir bağımsız risk faktörüdür </w:t>
      </w:r>
      <w:r>
        <w:rPr>
          <w:shd w:val="clear" w:color="auto" w:fill="FFFFFF"/>
        </w:rPr>
        <w:fldChar w:fldCharType="begin" w:fldLock="1"/>
      </w:r>
      <w:r w:rsidR="001C4787">
        <w:rPr>
          <w:shd w:val="clear" w:color="auto" w:fill="FFFFFF"/>
        </w:rPr>
        <w:instrText>ADDIN CSL_CITATION {"citationItems":[{"id":"ITEM-1","itemData":{"DOI":"10.1111/j.1399-0012.2007.00788.x","ISSN":"09020063","abstract":"Hepatic allograft rejection still remains an important problem following liver transplantation. Early acute rejection, occurring within three months of transplant, is a common event and usually of lesser significance with respect to prognosis than other non-immune-related post-transplant morbidities. However, little is known about late acute rejection (LAR) including factors affecting its occurrence and long-term outcome. In this study, we analyzed LAR including the incidence, clinical risk factors, patient survival, and graft survival. LAR was defined as acute cellular rejection later than six months after liver transplant. Adult patients who had a minimum of 24 months of graft survival were included in this study. A total of 1604 case records of consecutive adult patients (over age 18 yr) who underwent liver transplant between 1985 and 2003 were reviewed. Of the 1604 patients, 305 (19.0%) developed LAR. Patients with primary diagnoses of autoimmune hepatitis, primary biliary cirrhosis, and primary sclerosing cholangitis had higher incidences of LAR, while patients with metabolic disease and retransplant had lower incidence of LAR (p = 0.0024). The LAR group had more female and younger recipients than the no LAR group (p = 0.0026, p = 0.0131, respectively). Patient survival as well as graft survival were significantly lower in the LAR group (p = 0.0083, p = 0.0075, respectively). PTLD was the only significant independent predictor of late rejection. The careful management and treatment of PTLD, especially immunosuppressive management, is important to prevent LAR, which is related to poorer patient survival. © Journal compilation © 2008 Blackwell Munksgaard.","author":[{"dropping-particle":"","family":"Uemura","given":"Tadahiro","non-dropping-particle":"","parse-names":false,"suffix":""},{"dropping-particle":"","family":"Ikegami","given":"Toru","non-dropping-particle":"","parse-names":false,"suffix":""},{"dropping-particle":"","family":"Sanchez","given":"Edmund Q.","non-dropping-particle":"","parse-names":false,"suffix":""},{"dropping-particle":"","family":"Jennings","given":"Linda W.","non-dropping-particle":"","parse-names":false,"suffix":""},{"dropping-particle":"","family":"Narasimhan","given":"Gomathy","non-dropping-particle":"","parse-names":false,"suffix":""},{"dropping-particle":"","family":"McKenna","given":"Greg J.","non-dropping-particle":"","parse-names":false,"suffix":""},{"dropping-particle":"","family":"Randall","given":"Henry B.","non-dropping-particle":"","parse-names":false,"suffix":""},{"dropping-particle":"","family":"Chinnakotla","given":"Srinath","non-dropping-particle":"","parse-names":false,"suffix":""},{"dropping-particle":"","family":"Levy","given":"Marlon F.","non-dropping-particle":"","parse-names":false,"suffix":""},{"dropping-particle":"","family":"Goldstein","given":"Robert M.","non-dropping-particle":"","parse-names":false,"suffix":""},{"dropping-particle":"","family":"Klintmalm","given":"Goran B.","non-dropping-particle":"","parse-names":false,"suffix":""}],"container-title":"Clinical Transplantation","id":"ITEM-1","issue":"3","issued":{"date-parts":[["2008","1","11"]]},"page":"316-323","publisher":"John Wiley &amp; Sons, Ltd","title":"Late acute rejection after liver transplantation impacts patient survival","type":"article-journal","volume":"22"},"uris":["http://www.mendeley.com/documents/?uuid=0d07b954-42b1-38da-88db-db6606d57236"]}],"mendeley":{"formattedCitation":"(117)","plainTextFormattedCitation":"(117)","previouslyFormattedCitation":"(117)"},"properties":{"noteIndex":0},"schema":"https://github.com/citation-style-language/schema/raw/master/csl-citation.json"}</w:instrText>
      </w:r>
      <w:r>
        <w:rPr>
          <w:shd w:val="clear" w:color="auto" w:fill="FFFFFF"/>
        </w:rPr>
        <w:fldChar w:fldCharType="separate"/>
      </w:r>
      <w:r w:rsidR="00013FE6" w:rsidRPr="00013FE6">
        <w:rPr>
          <w:noProof/>
          <w:shd w:val="clear" w:color="auto" w:fill="FFFFFF"/>
        </w:rPr>
        <w:t>(117)</w:t>
      </w:r>
      <w:r>
        <w:rPr>
          <w:shd w:val="clear" w:color="auto" w:fill="FFFFFF"/>
        </w:rPr>
        <w:fldChar w:fldCharType="end"/>
      </w:r>
      <w:r>
        <w:rPr>
          <w:shd w:val="clear" w:color="auto" w:fill="FFFFFF"/>
        </w:rPr>
        <w:t xml:space="preserve">. </w:t>
      </w:r>
    </w:p>
    <w:p w14:paraId="01AAB728" w14:textId="6EDB930F" w:rsidR="00D75FBB" w:rsidRDefault="00D75FBB" w:rsidP="00D75FBB">
      <w:pPr>
        <w:rPr>
          <w:shd w:val="clear" w:color="auto" w:fill="FFFFFF"/>
        </w:rPr>
      </w:pPr>
      <w:r>
        <w:t>Bizim çalışmamızda k</w:t>
      </w:r>
      <w:r w:rsidRPr="00FA28BF">
        <w:t xml:space="preserve">araciğer fonksiyonlarının bozulmasına bağlı olarak bilirubin yüksekliği en çok görülen bulgulardan biriydi. </w:t>
      </w:r>
      <w:r>
        <w:t>Mortalite gelişen grupta b</w:t>
      </w:r>
      <w:r w:rsidRPr="00FA28BF">
        <w:t>ilirubin yüksekliği, Mann-Whitney</w:t>
      </w:r>
      <w:r w:rsidR="009F02C6">
        <w:t xml:space="preserve"> </w:t>
      </w:r>
      <w:r w:rsidRPr="00FA28BF">
        <w:t>U testinde anlamlı iken multivariate analizde anlamlı bulunmadı.</w:t>
      </w:r>
    </w:p>
    <w:p w14:paraId="7EBFC6B6" w14:textId="41E2523A" w:rsidR="00D75FBB" w:rsidRDefault="00D75FBB" w:rsidP="00D75FBB">
      <w:r>
        <w:rPr>
          <w:shd w:val="clear" w:color="auto" w:fill="FFFFFF"/>
        </w:rPr>
        <w:t>Bir çalışmada enfeksiyöz tüm periyot boyunca, ciddi enfeksiyonları olan hastalarda, asemptomatik kolanjitli hastalara ve ameliyat sonrası sorunsuz seyri olan hastalara göre ortalama bilirübin düzeyleri anlamlı olarak daha yüksekti. Daha sonra ölen hastalarda daha yüksek ortalama bilirübin seviyeleri gözlendi</w:t>
      </w:r>
      <w:r w:rsidR="009F02C6">
        <w:rPr>
          <w:shd w:val="clear" w:color="auto" w:fill="FFFFFF"/>
        </w:rPr>
        <w:t xml:space="preserve"> (mortalite gelişenlerde 15.9±</w:t>
      </w:r>
      <w:r>
        <w:rPr>
          <w:shd w:val="clear" w:color="auto" w:fill="FFFFFF"/>
        </w:rPr>
        <w:t xml:space="preserve">1.7 </w:t>
      </w:r>
      <w:r w:rsidR="00742672">
        <w:rPr>
          <w:shd w:val="clear" w:color="auto" w:fill="FFFFFF"/>
        </w:rPr>
        <w:t>mg/dl</w:t>
      </w:r>
      <w:r>
        <w:rPr>
          <w:shd w:val="clear" w:color="auto" w:fill="FFFFFF"/>
        </w:rPr>
        <w:t xml:space="preserve"> vs yaşayanlarda 11.6±2.2 </w:t>
      </w:r>
      <w:r w:rsidR="00742672">
        <w:rPr>
          <w:shd w:val="clear" w:color="auto" w:fill="FFFFFF"/>
        </w:rPr>
        <w:t>mg/dl</w:t>
      </w:r>
      <w:r>
        <w:rPr>
          <w:shd w:val="clear" w:color="auto" w:fill="FFFFFF"/>
        </w:rPr>
        <w:t xml:space="preserve">) </w:t>
      </w:r>
      <w:r>
        <w:rPr>
          <w:shd w:val="clear" w:color="auto" w:fill="FFFFFF"/>
        </w:rPr>
        <w:fldChar w:fldCharType="begin" w:fldLock="1"/>
      </w:r>
      <w:r w:rsidR="001C4787">
        <w:rPr>
          <w:shd w:val="clear" w:color="auto" w:fill="FFFFFF"/>
        </w:rPr>
        <w:instrText>ADDIN CSL_CITATION {"citationItems":[{"id":"ITEM-1","itemData":{"DOI":"10.1097/00007890-199611270-00011","ISSN":"00411337","abstract":"Despite improvements in immunosuppression, rejection occurs in 50% of liver transplant patients and may cause significant morbidity. The most frequent cause of death after liver transplantation is severe infection. Determination of the cytokine network may lead to earlier detection of patients at risk for severe rejection and infection. For this purpose, 81 patients with 85 liver transplants were monitored for cytokines and neopterin on a daily basis. During the first post-operative month, 28 patients (34.6%) developed acute rejection; 14 patients were successfully treated with methylprednisolone (steroid-sensitive rejection), while 14 patients required additional treatment with FK506 and OKT3 (steroid-resistant rejection). Ten patients developed severe infections, and 11 patients experienced asymptomatic cholangitis. Patients with an uneventful postoperative course (n=37) were the control group. One-year patient survival was 88.9%: 1 patient died because of chronic rejection and Pseudomonas urosepsis; a further 4 patients died of aspergillus pneumonia and bacterial sepsis. Soluble TNF- RII, sIL-2R-, and IL-10 levels were significantly elevated 3 days prior to or at the onset of acute steroid-resistant rejection (P≤0.01 versus steroid- sensitive rejection and on uneventful postoperative course). An increase in IL-8, neopterin, and sTNF-RII was indicative of severe infection 3 days prior to onset of infection. In this group of patients, a simultaneous increase in IL-10 indicated a lethal outcome of severe infection. During the second week of acute steroid-resistant rejection and lethal infection, a significant rise in IL-1β, IFN-γ, and IL-6 was observed (P≤0.01 versus control groups). The different patterns in neopterin- and cytokine-increase could differentiate between severe rejection and severe infection. Furthermore, the increase in these parameters indicated severe rejection-i.e., steroid resistance at the onset of acute rejection-which could prompt us to initiate rescue therapy immediately. The ability to detect patients at risk for severe or lethal infection may result in intensified infectious screening and more aggressive antiinfectious treatment. Therefore, routine monitoring of these parameters may lead to changes in therapeutic management of severe acute rejection and infection after liver transplantation.","author":[{"dropping-particle":"","family":"Platz","given":"Klaus Peter","non-dropping-particle":"","parse-names":false,"suffix":""},{"dropping-particle":"","family":"Mueller","given":"Andrea R.","non-dropping-particle":"","parse-names":false,"suffix":""},{"dropping-particle":"","family":"Rossaint","given":"Rolf","non-dropping-particle":"","parse-names":false,"suffix":""},{"dropping-particle":"","family":"Steinmüller","given":"Thomas","non-dropping-particle":"","parse-names":false,"suffix":""},{"dropping-particle":"","family":"Lemmens","given":"H. Peter","non-dropping-particle":"","parse-names":false,"suffix":""},{"dropping-particle":"","family":"Lobeck","given":"Hartmut","non-dropping-particle":"","parse-names":false,"suffix":""},{"dropping-particle":"","family":"Neuhaus","given":"Peter","non-dropping-particle":"","parse-names":false,"suffix":""}],"container-title":"Transplantation","id":"ITEM-1","issue":"10","issued":{"date-parts":[["1996","11","27"]]},"page":"1441-1450","publisher":"Lippincott Williams and Wilkins","title":"Cytokine pattern during rejection and infection after liver transplantation - Improvements in postoperative monitoring?","type":"article-journal","volume":"62"},"uris":["http://www.mendeley.com/documents/?uuid=fb644dfb-71ba-3567-a8d3-d703ee3567fb"]}],"mendeley":{"formattedCitation":"(118)","plainTextFormattedCitation":"(118)","previouslyFormattedCitation":"(118)"},"properties":{"noteIndex":0},"schema":"https://github.com/citation-style-language/schema/raw/master/csl-citation.json"}</w:instrText>
      </w:r>
      <w:r>
        <w:rPr>
          <w:shd w:val="clear" w:color="auto" w:fill="FFFFFF"/>
        </w:rPr>
        <w:fldChar w:fldCharType="separate"/>
      </w:r>
      <w:r w:rsidR="00013FE6" w:rsidRPr="00013FE6">
        <w:rPr>
          <w:noProof/>
          <w:shd w:val="clear" w:color="auto" w:fill="FFFFFF"/>
        </w:rPr>
        <w:t>(118)</w:t>
      </w:r>
      <w:r>
        <w:rPr>
          <w:shd w:val="clear" w:color="auto" w:fill="FFFFFF"/>
        </w:rPr>
        <w:fldChar w:fldCharType="end"/>
      </w:r>
      <w:r>
        <w:rPr>
          <w:shd w:val="clear" w:color="auto" w:fill="FFFFFF"/>
        </w:rPr>
        <w:t xml:space="preserve">. </w:t>
      </w:r>
    </w:p>
    <w:p w14:paraId="441ED639" w14:textId="110B3F4B" w:rsidR="00D75FBB" w:rsidRDefault="00D75FBB" w:rsidP="00D75FBB">
      <w:r>
        <w:rPr>
          <w:shd w:val="clear" w:color="auto" w:fill="FFFFFF"/>
        </w:rPr>
        <w:t xml:space="preserve">Singh ve ark. yaptığı </w:t>
      </w:r>
      <w:r w:rsidR="00F41A53">
        <w:rPr>
          <w:shd w:val="clear" w:color="auto" w:fill="FFFFFF"/>
        </w:rPr>
        <w:t>çalışmada</w:t>
      </w:r>
      <w:r>
        <w:rPr>
          <w:shd w:val="clear" w:color="auto" w:fill="FFFFFF"/>
        </w:rPr>
        <w:t xml:space="preserve"> 59 karaciğer nakli alıcısında, düşük serum albümin düzeyinin bakteriyeminin bir göstergesi olduğunu bildirmişlerdir. Serum bilirübin değerinin  &gt;7,5 </w:t>
      </w:r>
      <w:r w:rsidR="00742672">
        <w:rPr>
          <w:shd w:val="clear" w:color="auto" w:fill="FFFFFF"/>
        </w:rPr>
        <w:t>mg/dl</w:t>
      </w:r>
      <w:r w:rsidR="00F41A53">
        <w:rPr>
          <w:shd w:val="clear" w:color="auto" w:fill="FFFFFF"/>
        </w:rPr>
        <w:t xml:space="preserve"> olması</w:t>
      </w:r>
      <w:r>
        <w:rPr>
          <w:shd w:val="clear" w:color="auto" w:fill="FFFFFF"/>
        </w:rPr>
        <w:t xml:space="preserve"> bakteriyemik hastalarda mortalitenin bir göstergesiydi. Bu veriler, kültür sonuçlarını bekleyen ampirik antibiyotik tedavisini başlatmak için bakteriyemili hastaların belirlenmesinin önemini vurgulamaktadır </w:t>
      </w:r>
      <w:r>
        <w:rPr>
          <w:shd w:val="clear" w:color="auto" w:fill="FFFFFF"/>
        </w:rPr>
        <w:fldChar w:fldCharType="begin" w:fldLock="1"/>
      </w:r>
      <w:r w:rsidR="001C4787">
        <w:rPr>
          <w:shd w:val="clear" w:color="auto" w:fill="FFFFFF"/>
        </w:rPr>
        <w:instrText>ADDIN CSL_CITATION {"citationItems":[{"id":"ITEM-1","itemData":{"DOI":"10.1002/lt.500060112","ISSN":"1527-6465","abstract":"Predictors of bacteremia and mortality in bacteremic liver transplant recipients were prospectively assessed. One hundred eleven consecutive episodes of fever or infections were documented in 59 patients over a 4-year period. Forty-nine percent (29 of 59 patients) of the patients had bacteremia, 39% (23 of 59 patients) had nonbacteremic infections, and 12% (7 of 59 patients) had fever of noninfectious cause. Primary (catheter-related) bacteremia (31%; 9 of 29 patients), pneumonia (24%; 7 of 29 patients), abdominal and/or biliary infections (14%; 4 of 29 patients), and wound infections (10%; 3 of 29 patients) were the predominant sources of bacteremia. Diabetes mellitus (odds ratio, 6.9; P =.03) and serum albumin level less than 3.0 mg/dL (odds ratio, 0.14; P =.02) were independently significant predictors of bacteremia compared with nonbacteremic infections. Mortality at 14 days was 28% (8 of 29 patients) in those with bacteremia compared with 4% (1 of 23 patients) in those with nonbacteremic infections and 0% (0 of 7) in patients with fever of noninfectious cause (P =.03). Intensive care unit stay at the time of bacteremia (100% v 47%; P =.005), absence of chills (0% v 53%; P =.005), lower temperature at the onset of bacteremia (99.2 degrees F v 101.5 degrees F; P =.009), lower maximum temperature during the course of bacteremia (99.3 degrees F v 102 degrees F, P =.008), greater serum bilirubin level (7.6 v 1.5 mg/dL; P =.024), presence of abnormal blood pressure (80% v 16%; P =. 0013), and greater prothrombin time (15.6 v 13.3 seconds; P =.013) were significantly predictive of greater mortality in the bacteremic patients. These data have implications for discerning the likelihood of bacteremia and initiation of empiric antibiotics pending cultures. Lack of febrile response in bacteremic liver transplant recipients portended a poorer outcome.","author":[{"dropping-particle":"","family":"Singh","given":"Nina","non-dropping-particle":"","parse-names":false,"suffix":""},{"dropping-particle":"","family":"Paterson","given":"David L.","non-dropping-particle":"","parse-names":false,"suffix":""},{"dropping-particle":"","family":"Gayowski","given":"Timothy","non-dropping-particle":"","parse-names":false,"suffix":""},{"dropping-particle":"","family":"Wagener","given":"Marilyn M.","non-dropping-particle":"","parse-names":false,"suffix":""},{"dropping-particle":"","family":"Marino","given":"Ignazio R.","non-dropping-particle":"","parse-names":false,"suffix":""}],"container-title":"Liver Transplantation","id":"ITEM-1","issue":"1","issued":{"date-parts":[["2000","1"]]},"page":"54-61","publisher":"Wiley","title":"Predicting bacteremia and bacteremic mortality in liver transplant recipients","type":"article-journal","volume":"6"},"uris":["http://www.mendeley.com/documents/?uuid=e1b88727-60b3-3a83-9f9a-215308e2cd52"]}],"mendeley":{"formattedCitation":"(119)","plainTextFormattedCitation":"(119)","previouslyFormattedCitation":"(119)"},"properties":{"noteIndex":0},"schema":"https://github.com/citation-style-language/schema/raw/master/csl-citation.json"}</w:instrText>
      </w:r>
      <w:r>
        <w:rPr>
          <w:shd w:val="clear" w:color="auto" w:fill="FFFFFF"/>
        </w:rPr>
        <w:fldChar w:fldCharType="separate"/>
      </w:r>
      <w:r w:rsidR="00013FE6" w:rsidRPr="00013FE6">
        <w:rPr>
          <w:noProof/>
          <w:shd w:val="clear" w:color="auto" w:fill="FFFFFF"/>
        </w:rPr>
        <w:t>(119)</w:t>
      </w:r>
      <w:r>
        <w:rPr>
          <w:shd w:val="clear" w:color="auto" w:fill="FFFFFF"/>
        </w:rPr>
        <w:fldChar w:fldCharType="end"/>
      </w:r>
      <w:r>
        <w:rPr>
          <w:shd w:val="clear" w:color="auto" w:fill="FFFFFF"/>
        </w:rPr>
        <w:t>.</w:t>
      </w:r>
      <w:r w:rsidRPr="003034B3">
        <w:rPr>
          <w:shd w:val="clear" w:color="auto" w:fill="FFFFFF"/>
        </w:rPr>
        <w:t xml:space="preserve"> </w:t>
      </w:r>
      <w:r>
        <w:rPr>
          <w:shd w:val="clear" w:color="auto" w:fill="FFFFFF"/>
        </w:rPr>
        <w:t xml:space="preserve">Bizim çalışmamızda ise mortalite gelişen hastaların bilirübin düzeyleri yaşayanlara kıyasla istatistiksel olarak daha yüksekti (18.3 </w:t>
      </w:r>
      <w:r w:rsidR="00742672">
        <w:rPr>
          <w:shd w:val="clear" w:color="auto" w:fill="FFFFFF"/>
        </w:rPr>
        <w:t>mg/dl</w:t>
      </w:r>
      <w:r>
        <w:rPr>
          <w:shd w:val="clear" w:color="auto" w:fill="FFFFFF"/>
        </w:rPr>
        <w:t xml:space="preserve"> vs 5.1</w:t>
      </w:r>
      <w:r w:rsidRPr="00137014">
        <w:rPr>
          <w:shd w:val="clear" w:color="auto" w:fill="FFFFFF"/>
        </w:rPr>
        <w:t xml:space="preserve"> </w:t>
      </w:r>
      <w:r w:rsidR="00742672">
        <w:rPr>
          <w:shd w:val="clear" w:color="auto" w:fill="FFFFFF"/>
        </w:rPr>
        <w:t>mg/dl</w:t>
      </w:r>
      <w:r>
        <w:rPr>
          <w:shd w:val="clear" w:color="auto" w:fill="FFFFFF"/>
        </w:rPr>
        <w:t>; p=0.006).</w:t>
      </w:r>
      <w:r>
        <w:t xml:space="preserve"> </w:t>
      </w:r>
    </w:p>
    <w:p w14:paraId="64303A20" w14:textId="349AE64C" w:rsidR="00D75FBB" w:rsidRDefault="00D75FBB" w:rsidP="00D75FBB">
      <w:pPr>
        <w:rPr>
          <w:shd w:val="clear" w:color="auto" w:fill="FFFFFF"/>
        </w:rPr>
      </w:pPr>
      <w:r>
        <w:rPr>
          <w:shd w:val="clear" w:color="auto" w:fill="FFFFFF"/>
        </w:rPr>
        <w:t>George ve ark. nakilden son</w:t>
      </w:r>
      <w:r w:rsidR="000A36FC">
        <w:rPr>
          <w:shd w:val="clear" w:color="auto" w:fill="FFFFFF"/>
        </w:rPr>
        <w:t>raki 2 hafta içinde serum bilirü</w:t>
      </w:r>
      <w:r>
        <w:rPr>
          <w:shd w:val="clear" w:color="auto" w:fill="FFFFFF"/>
        </w:rPr>
        <w:t xml:space="preserve">bini ≥12 </w:t>
      </w:r>
      <w:r w:rsidR="00742672">
        <w:rPr>
          <w:shd w:val="clear" w:color="auto" w:fill="FFFFFF"/>
        </w:rPr>
        <w:t>mg/dl</w:t>
      </w:r>
      <w:r>
        <w:rPr>
          <w:shd w:val="clear" w:color="auto" w:fill="FFFFFF"/>
        </w:rPr>
        <w:t xml:space="preserve"> olduğunda, herhangi bir bölgede erken bakteriyel enfeksiyon için bir risk faktörü olarak bildirmişlerdir </w:t>
      </w:r>
      <w:r>
        <w:rPr>
          <w:shd w:val="clear" w:color="auto" w:fill="FFFFFF"/>
        </w:rPr>
        <w:fldChar w:fldCharType="begin" w:fldLock="1"/>
      </w:r>
      <w:r w:rsidR="002F1C9D">
        <w:rPr>
          <w:shd w:val="clear" w:color="auto" w:fill="FFFFFF"/>
        </w:rPr>
        <w:instrText>ADDIN CSL_CITATION {"citationItems":[{"id":"ITEM-1","itemData":{"DOI":"10.1093/CLINIDS/13.3.387","ISSN":"0162-0886","PMID":"1866541","author":[{"dropping-particle":"","family":"DL","given":"George","non-dropping-particle":"","parse-names":false,"suffix":""},{"dropping-particle":"","family":"PM","given":"Arnow","non-dropping-particle":"","parse-names":false,"suffix":""},{"dropping-particle":"","family":"AS","given":"Fox","non-dropping-particle":"","parse-names":false,"suffix":""},{"dropping-particle":"","family":"AL","given":"Baker","non-dropping-particle":"","parse-names":false,"suffix":""},{"dropping-particle":"","family":"JR","given":"Thistlethwaite","non-dropping-particle":"","parse-names":false,"suffix":""},{"dropping-particle":"","family":"JC","given":"Emond","non-dropping-particle":"","parse-names":false,"suffix":""},{"dropping-particle":"","family":"PF","given":"Whitington","non-dropping-particle":"","parse-names":false,"suffix":""},{"dropping-particle":"","family":"CE","given":"Broelsch","non-dropping-particle":"","parse-names":false,"suffix":""}],"container-title":"Reviews of infectious diseases","id":"ITEM-1","issue":"3","issued":{"date-parts":[["1991"]]},"publisher":"Rev Infect Dis","title":"Bacterial Infection as a Complication of Liver Transplantation: Epidemiology and Risk Factors","type":"article-journal","volume":"13"},"uris":["http://www.mendeley.com/documents/?uuid=f6586da1-ff95-39e8-9545-e74a43dfcbe3"]}],"mendeley":{"formattedCitation":"(120)","plainTextFormattedCitation":"(120)","previouslyFormattedCitation":"(120)"},"properties":{"noteIndex":0},"schema":"https://github.com/citation-style-language/schema/raw/master/csl-citation.json"}</w:instrText>
      </w:r>
      <w:r>
        <w:rPr>
          <w:shd w:val="clear" w:color="auto" w:fill="FFFFFF"/>
        </w:rPr>
        <w:fldChar w:fldCharType="separate"/>
      </w:r>
      <w:r w:rsidR="0067471B" w:rsidRPr="0067471B">
        <w:rPr>
          <w:noProof/>
          <w:shd w:val="clear" w:color="auto" w:fill="FFFFFF"/>
        </w:rPr>
        <w:t>(120)</w:t>
      </w:r>
      <w:r>
        <w:rPr>
          <w:shd w:val="clear" w:color="auto" w:fill="FFFFFF"/>
        </w:rPr>
        <w:fldChar w:fldCharType="end"/>
      </w:r>
      <w:r>
        <w:rPr>
          <w:shd w:val="clear" w:color="auto" w:fill="FFFFFF"/>
        </w:rPr>
        <w:t>. </w:t>
      </w:r>
    </w:p>
    <w:p w14:paraId="2932B79E" w14:textId="4E305A6A" w:rsidR="00D75FBB" w:rsidRDefault="00D75FBB" w:rsidP="00D75FBB">
      <w:pPr>
        <w:rPr>
          <w:shd w:val="clear" w:color="auto" w:fill="FFFFFF"/>
        </w:rPr>
      </w:pPr>
      <w:r>
        <w:rPr>
          <w:shd w:val="clear" w:color="auto" w:fill="FFFFFF"/>
        </w:rPr>
        <w:t xml:space="preserve">Karaciğer naklinden sonra serumda erken kolestaz belirteçlerinin varlığı, özellikle 2. ve 10. günlerde serum bilirübin düzeyinin  ≥10 </w:t>
      </w:r>
      <w:r w:rsidR="00742672">
        <w:rPr>
          <w:shd w:val="clear" w:color="auto" w:fill="FFFFFF"/>
        </w:rPr>
        <w:t>mg/dl</w:t>
      </w:r>
      <w:r>
        <w:rPr>
          <w:shd w:val="clear" w:color="auto" w:fill="FFFFFF"/>
        </w:rPr>
        <w:t xml:space="preserve"> olması erken ölüm ve sepsisi tahmin edebilir </w:t>
      </w:r>
      <w:r>
        <w:rPr>
          <w:shd w:val="clear" w:color="auto" w:fill="FFFFFF"/>
        </w:rPr>
        <w:fldChar w:fldCharType="begin" w:fldLock="1"/>
      </w:r>
      <w:r w:rsidR="002F1C9D">
        <w:rPr>
          <w:shd w:val="clear" w:color="auto" w:fill="FFFFFF"/>
        </w:rPr>
        <w:instrText>ADDIN CSL_CITATION {"citationItems":[{"id":"ITEM-1","itemData":{"DOI":"10.1046/j.1399-0012.2003.00135.x","ISSN":"0902-0063","abstract":"Background: Early cholestasis is not uncommon after liver transplantation and usually signifies graft dysfunction. The aim of this study was to determine if serum synthetic and cholestatic parameters measured at various time points after transplantation can predict early patient outcome, and graft function. Methods: The charts of 92 patients who underwent 95 liver transplantations at Rabin Medical Center between 1991 and 2000 were reviewed. Findings on liver function tests and levels of serum bilirubin, alkaline phosphatase (ALP), and gamma glutamyl transpeptidase (GGT) on days 2, 10, 30, and 90 after transplantation were measured in order to predict early (6 months) patient outcome (mortality and sepsis) and initial poor functioning graft. Pearson correlation, χ2 test, and Student's t-test were performed for univariate analysis, and logistic regression for multivariate analysis. Results: Univariate analysis. Serum bilirubin ≥10 mg/dL and international normalized ratio (INR) &gt; 1.6 on days 10, 30, and 90, and high serum ALP and low albumin levels on days 30 and 90 were risk factors for 6-month mortality; serum bilirubin ≥10 mg/dL on days 10, 30, and 90, high serum ALP, high GGT, and low serum albumin, on days 30 and 90, and INR ≥1.6 on day 10 were risk factors for sepsis; high serum alanine aminotransferase, INR &gt; 1.6, and bilirubin ≥10 mg/dL on days 2 and 10 were risk factors for poor graft function. The 6-month mortality rate was significantly higher in patients with serum bilirubin ≥10 mg/dL on day 10 than in patients with values of &lt; 10 mg/dL (29.4% vs. 4.0%, p = 0.004). Patients who had sepsis had high mean serum ALP levels on day 30 than patients who did not (364.5 ± 229.9 U/L vs. 70.8 ± 125.6 U/L, p = 0.005). Multivariate analysis. Significant predictors of 6-month mortality were serum bilirubin ≥10 mg/dL [odds ratio (OR) 9.05, 95% confidence intervals (CI) 1.6-49.6] and INR &gt; 1.6 (OR 9.11, CI 1.5-54.8) on day 10; significant predictors were high serum ALP level on day 30 (OR 1.005, 1.001-1.01) and high GGT level on day 90 (OR 1.005, CI 1.001-1.01). None of the variables were able to predict initial poor graft functioning. Conclusion: Several serum cholestasis markers may serve as predictors of early outcome of liver transplantation. The strongest correlation was found between serum bilirubin ≥10 mg/dL on day 10 and early death, sepsis, and poor graft function. Early intervention in patients found to be at high risk may ameliorate the high morbidi…","author":[{"dropping-particle":"","family":"Ben-Ari","given":"Ziv","non-dropping-particle":"","parse-names":false,"suffix":""},{"dropping-particle":"","family":"Weiss-Schmilovitz","given":"Hemda","non-dropping-particle":"","parse-names":false,"suffix":""},{"dropping-particle":"","family":"Sulkes","given":"Jaqueline","non-dropping-particle":"","parse-names":false,"suffix":""},{"dropping-particle":"","family":"Brown","given":"Marius","non-dropping-particle":"","parse-names":false,"suffix":""},{"dropping-particle":"","family":"Bar-Nathan","given":"Nathan","non-dropping-particle":"","parse-names":false,"suffix":""},{"dropping-particle":"","family":"Shaharabani","given":"Ezra","non-dropping-particle":"","parse-names":false,"suffix":""},{"dropping-particle":"","family":"Yussim","given":"Alexander","non-dropping-particle":"","parse-names":false,"suffix":""},{"dropping-particle":"","family":"Shapira","given":"Zaki","non-dropping-particle":"","parse-names":false,"suffix":""},{"dropping-particle":"","family":"Tur-Kaspa","given":"Ran","non-dropping-particle":"","parse-names":false,"suffix":""},{"dropping-particle":"","family":"Mor","given":"Eytan","non-dropping-particle":"","parse-names":false,"suffix":""}],"container-title":"Clinical Transplantation","id":"ITEM-1","issue":"2","issued":{"date-parts":[["2004","4","1"]]},"page":"130-136","publisher":"John Wiley &amp; Sons, Ltd","title":"Serum cholestasis markers as predictors of early outcome after liver transplantation","type":"article-journal","volume":"18"},"uris":["http://www.mendeley.com/documents/?uuid=17d113ae-4f24-4cbf-bcde-de829b3c41bb"]}],"mendeley":{"formattedCitation":"(121)","plainTextFormattedCitation":"(121)","previouslyFormattedCitation":"(121)"},"properties":{"noteIndex":0},"schema":"https://github.com/citation-style-language/schema/raw/master/csl-citation.json"}</w:instrText>
      </w:r>
      <w:r>
        <w:rPr>
          <w:shd w:val="clear" w:color="auto" w:fill="FFFFFF"/>
        </w:rPr>
        <w:fldChar w:fldCharType="separate"/>
      </w:r>
      <w:r w:rsidR="0067471B" w:rsidRPr="0067471B">
        <w:rPr>
          <w:noProof/>
          <w:shd w:val="clear" w:color="auto" w:fill="FFFFFF"/>
        </w:rPr>
        <w:t>(121)</w:t>
      </w:r>
      <w:r>
        <w:rPr>
          <w:shd w:val="clear" w:color="auto" w:fill="FFFFFF"/>
        </w:rPr>
        <w:fldChar w:fldCharType="end"/>
      </w:r>
      <w:r>
        <w:rPr>
          <w:shd w:val="clear" w:color="auto" w:fill="FFFFFF"/>
        </w:rPr>
        <w:t>. </w:t>
      </w:r>
    </w:p>
    <w:p w14:paraId="152D6955" w14:textId="18C9E82E" w:rsidR="00D75FBB" w:rsidRDefault="00D75FBB" w:rsidP="00D75FBB">
      <w:pPr>
        <w:rPr>
          <w:shd w:val="clear" w:color="auto" w:fill="FFFFFF"/>
        </w:rPr>
      </w:pPr>
      <w:r w:rsidRPr="0067471B">
        <w:rPr>
          <w:shd w:val="clear" w:color="auto" w:fill="FFFFFF"/>
        </w:rPr>
        <w:t xml:space="preserve">Sahin ve </w:t>
      </w:r>
      <w:r w:rsidR="003B1EAA">
        <w:rPr>
          <w:shd w:val="clear" w:color="auto" w:fill="FFFFFF"/>
        </w:rPr>
        <w:t>ark.</w:t>
      </w:r>
      <w:r w:rsidRPr="0067471B">
        <w:rPr>
          <w:shd w:val="clear" w:color="auto" w:fill="FFFFFF"/>
        </w:rPr>
        <w:t xml:space="preserve"> yaptığı çalışmada akut karaciğer yetmezliği nedeniyle takipli hastalarda bilirübin düzeyi ölen grupta anlamlı olarak daha yüksek bulunmuştur. Bilirubin seviyeleri 9 </w:t>
      </w:r>
      <w:r w:rsidR="00742672">
        <w:rPr>
          <w:shd w:val="clear" w:color="auto" w:fill="FFFFFF"/>
        </w:rPr>
        <w:t>mg/dl</w:t>
      </w:r>
      <w:r w:rsidRPr="0067471B">
        <w:rPr>
          <w:shd w:val="clear" w:color="auto" w:fill="FFFFFF"/>
        </w:rPr>
        <w:t xml:space="preserve">'nin üzerine çıktığında, ölüm oranının da </w:t>
      </w:r>
      <w:r w:rsidRPr="0067471B">
        <w:rPr>
          <w:shd w:val="clear" w:color="auto" w:fill="FFFFFF"/>
        </w:rPr>
        <w:lastRenderedPageBreak/>
        <w:t xml:space="preserve">yaklaşık 4 kat arttığını bildirmişlerdir </w:t>
      </w:r>
      <w:r w:rsidRPr="0067471B">
        <w:rPr>
          <w:shd w:val="clear" w:color="auto" w:fill="FFFFFF"/>
        </w:rPr>
        <w:fldChar w:fldCharType="begin" w:fldLock="1"/>
      </w:r>
      <w:r w:rsidR="002F1C9D">
        <w:rPr>
          <w:shd w:val="clear" w:color="auto" w:fill="FFFFFF"/>
        </w:rPr>
        <w:instrText>ADDIN CSL_CITATION {"citationItems":[{"id":"ITEM-1","itemData":{"DOI":"10.4103/0259-1162.164678","ISSN":"0259-1162","abstract":"CONTEXT Intra-abdominal sepsis following laparotomy for acute abdomen remains still a challenging condition. The understanding of various perioperative risk factors by anesthesiologists are crucial in optimum management these patients. AIMS The objective of this study is to assess the perioperative risk factors, which predicts the outcome of treatment. SETTINGS AND DESIGN This retrospective observational study of 603 patients who underwent Laparotomies between March 2012 and March 2015 at our University Medical College. Of 603 patients, 52 consecutive patients with intra-abdomen sepsis who underwent surgical procedures and admitted in Intensive Care Unit (ICU) were selected and analyzed for prognostic risk factors in relation to severity of the disease. SUBJECTS AND METHODS 52 consecutive patients who developed intra-abdominal sepsis following laparotomy was allocated one of two groups; Group Sepsis, patients with peritonitis without systemic hypotension (mean arterial pressure [MAP] &gt;60 mm of Hg); and Group septic shock, patients with peritonitis with systemic hypotension (mean arterial pressure [MAP] &lt;60 mm of Hg) and patients were analyzed for prognostic risk factors. STATISTICAL ANALYSIS USED Categorical variables were analyzed by using Fisher's exact (two-tail) test and continuous variable were analyzed by using Mann-Whitney (two-tail) U-test. RESULTS Out of 603 patients who underwent laparotomy 52 patients developed an intra-abdominal septic complication. Of these 52 cases studied 28 patients developed septic shock and required a longer duration of admission in ICU and more inotropic support. Preoperative albumin and hematocrit level were significantly low in septic shock patients as compared to the patients with sepsis without systemic hypotension. PaCO2: FiO2 was also significantly low in these patients. CONCLUSIONS Preoperative low hematocrit, low albumin level, and delay in laparotomy more than 72 h were also associated with adverse outcome in the patients with intra-abdominal sepsis. Clinicians should maintain equipoise on this topic pending prospective randomized clinical trials.","author":[{"dropping-particle":"","family":"Arun Kumar","given":"RV","non-dropping-particle":"","parse-names":false,"suffix":""},{"dropping-particle":"","family":"Channabasappa","given":"ShivakumarM","non-dropping-particle":"","parse-names":false,"suffix":""}],"container-title":"Anesthesia: Essays and Researches","id":"ITEM-1","issue":"1","issued":{"date-parts":[["2016"]]},"page":"50","publisher":"Medknow","title":"A retrospective cohort study of perioperative prognostic factors associated with intra-abdominal sepsis","type":"article-journal","volume":"10"},"uris":["http://www.mendeley.com/documents/?uuid=7914ef6b-73c3-34ee-bd6d-a4636854b924"]}],"mendeley":{"formattedCitation":"(122)","plainTextFormattedCitation":"(122)","previouslyFormattedCitation":"(122)"},"properties":{"noteIndex":0},"schema":"https://github.com/citation-style-language/schema/raw/master/csl-citation.json"}</w:instrText>
      </w:r>
      <w:r w:rsidRPr="0067471B">
        <w:rPr>
          <w:shd w:val="clear" w:color="auto" w:fill="FFFFFF"/>
        </w:rPr>
        <w:fldChar w:fldCharType="separate"/>
      </w:r>
      <w:r w:rsidR="0067471B" w:rsidRPr="0067471B">
        <w:rPr>
          <w:noProof/>
          <w:shd w:val="clear" w:color="auto" w:fill="FFFFFF"/>
        </w:rPr>
        <w:t>(122)</w:t>
      </w:r>
      <w:r w:rsidRPr="0067471B">
        <w:rPr>
          <w:shd w:val="clear" w:color="auto" w:fill="FFFFFF"/>
        </w:rPr>
        <w:fldChar w:fldCharType="end"/>
      </w:r>
      <w:r w:rsidRPr="0067471B">
        <w:rPr>
          <w:shd w:val="clear" w:color="auto" w:fill="FFFFFF"/>
        </w:rPr>
        <w:t xml:space="preserve">. </w:t>
      </w:r>
      <w:r w:rsidRPr="00FA28BF">
        <w:t xml:space="preserve">Bernal ve </w:t>
      </w:r>
      <w:r w:rsidR="003B1EAA">
        <w:t>ark.</w:t>
      </w:r>
      <w:r w:rsidRPr="00FA28BF">
        <w:t xml:space="preserve"> ölen</w:t>
      </w:r>
      <w:r w:rsidRPr="00D7092F">
        <w:rPr>
          <w:shd w:val="clear" w:color="auto" w:fill="FFFFFF"/>
        </w:rPr>
        <w:t xml:space="preserve"> hastalarda bilirubin düzeylerinin hayatta kalanlara göre daha yüksek olduğunu göstermiştir (13.2</w:t>
      </w:r>
      <w:r w:rsidR="009F02C6">
        <w:rPr>
          <w:shd w:val="clear" w:color="auto" w:fill="FFFFFF"/>
        </w:rPr>
        <w:t xml:space="preserve"> vs </w:t>
      </w:r>
      <w:r w:rsidRPr="00D7092F">
        <w:rPr>
          <w:shd w:val="clear" w:color="auto" w:fill="FFFFFF"/>
        </w:rPr>
        <w:t xml:space="preserve">12.3 </w:t>
      </w:r>
      <w:r w:rsidR="00742672">
        <w:rPr>
          <w:shd w:val="clear" w:color="auto" w:fill="FFFFFF"/>
        </w:rPr>
        <w:t>mg/dl</w:t>
      </w:r>
      <w:r w:rsidRPr="00D7092F">
        <w:rPr>
          <w:shd w:val="clear" w:color="auto" w:fill="FFFFFF"/>
        </w:rPr>
        <w:t>). Bernal tarafından yapılan çalışma</w:t>
      </w:r>
      <w:r>
        <w:rPr>
          <w:shd w:val="clear" w:color="auto" w:fill="FFFFFF"/>
        </w:rPr>
        <w:t>da</w:t>
      </w:r>
      <w:r w:rsidRPr="00D7092F">
        <w:rPr>
          <w:shd w:val="clear" w:color="auto" w:fill="FFFFFF"/>
        </w:rPr>
        <w:t xml:space="preserve">, </w:t>
      </w:r>
      <w:r w:rsidR="009F02C6">
        <w:rPr>
          <w:shd w:val="clear" w:color="auto" w:fill="FFFFFF"/>
        </w:rPr>
        <w:t>toplam bilirübin düzeyi</w:t>
      </w:r>
      <w:r w:rsidRPr="00D7092F">
        <w:rPr>
          <w:shd w:val="clear" w:color="auto" w:fill="FFFFFF"/>
        </w:rPr>
        <w:t xml:space="preserve"> hastanın sağkalımının belirlenmesi için bağımsız bir risk faktörü olarak göster</w:t>
      </w:r>
      <w:r w:rsidR="009F02C6">
        <w:rPr>
          <w:shd w:val="clear" w:color="auto" w:fill="FFFFFF"/>
        </w:rPr>
        <w:t>ilmedi</w:t>
      </w:r>
      <w:r>
        <w:rPr>
          <w:shd w:val="clear" w:color="auto" w:fill="FFFFFF"/>
        </w:rPr>
        <w:t xml:space="preserve"> </w:t>
      </w:r>
      <w:r>
        <w:rPr>
          <w:shd w:val="clear" w:color="auto" w:fill="FFFFFF"/>
        </w:rPr>
        <w:fldChar w:fldCharType="begin" w:fldLock="1"/>
      </w:r>
      <w:r w:rsidR="002F1C9D">
        <w:rPr>
          <w:shd w:val="clear" w:color="auto" w:fill="FFFFFF"/>
        </w:rPr>
        <w:instrText>ADDIN CSL_CITATION {"citationItems":[{"id":"ITEM-1","itemData":{"DOI":"10.1016/j.jhep.2013.02.010","ISSN":"01688278","abstract":"Background &amp; Aims: Acute liver failure (ALF) is a rapidly progressive critical illness with high mortality. Complex intensive care unit (ICU) protocols and emergency liver transplantation (ELT) are now often available, but rarity and severity of illness have limited its study and evidence-base for care. We reviewed patients treated over a 35-year period at a specialist high-volume ICU, quantifying changes in disease aetiology, severity and evolution of ICU support and ELT use and outcome. Methods: Review of adult patients admitted during the period 1973-2008, with acute liver dysfunction and coagulopathy with overt hepatic encephalopathy (ALF) and those without (acute liver injury; ALI). Results: 3305 patients fulfilled inclusion criteria, 2095 with ALF. Overall hospital survival increased from 30% in 1973-78 to 76% in 2004-08; in ALF from 17% to 62% (both p &lt;0.0001). In ALF patients treated without ELT, survival rose from 17% to 48% (p &lt;0.0001); in those undergoing ELT (n = 387) from 56% in 1984-88 to 86% in 2004-08 (p &lt;0.01). Coincident with drug sales-restriction, paracetamol-related admissions fell significantly. Viral admissions fell from 56% to 17% of non-paracetamol cases (p &lt;0.0001). Admission markers of liver injury severity fell significantly and the proportion of patients with intracranial hypertension (ICH) fell from 76% in 1984-88 to 20% in 2004-08 (p &lt;0.0001). In those with ICH, mortality fell from 95% to 55% (p &lt;0.0001). Conclusions: The nature and outcome of ALF have transformed over 35 years, with major improvements in survival and a fall in prevalence of cerebral oedema and ICH, likely consequent upon earlier illness recognition, improved ICU care, and use of ELT. © 2013 European Association for the Study of the Liver. Published.","author":[{"dropping-particle":"","family":"Bernal","given":"William","non-dropping-particle":"","parse-names":false,"suffix":""},{"dropping-particle":"","family":"Hyyrylainen","given":"Anna","non-dropping-particle":"","parse-names":false,"suffix":""},{"dropping-particle":"","family":"Gera","given":"Amit","non-dropping-particle":"","parse-names":false,"suffix":""},{"dropping-particle":"","family":"Audimoolam","given":"Vinod K.","non-dropping-particle":"","parse-names":false,"suffix":""},{"dropping-particle":"","family":"McPhail","given":"Mark J.W.","non-dropping-particle":"","parse-names":false,"suffix":""},{"dropping-particle":"","family":"Auzinger","given":"Georg","non-dropping-particle":"","parse-names":false,"suffix":""},{"dropping-particle":"","family":"Rela","given":"Mohammed","non-dropping-particle":"","parse-names":false,"suffix":""},{"dropping-particle":"","family":"Heaton","given":"Nigel","non-dropping-particle":"","parse-names":false,"suffix":""},{"dropping-particle":"","family":"O'Grady","given":"John G.","non-dropping-particle":"","parse-names":false,"suffix":""},{"dropping-particle":"","family":"Wendon","given":"Julia","non-dropping-particle":"","parse-names":false,"suffix":""},{"dropping-particle":"","family":"Williams","given":"Roger","non-dropping-particle":"","parse-names":false,"suffix":""}],"container-title":"Journal of Hepatology","id":"ITEM-1","issue":"1","issued":{"date-parts":[["2013","7"]]},"page":"74-80","publisher":"J Hepatol","title":"Lessons from look-back in acute liver failure? A single centre experience of 3300 patients","type":"article-journal","volume":"59"},"uris":["http://www.mendeley.com/documents/?uuid=ea2ae60c-0ab2-346b-891d-5d996406f337"]}],"mendeley":{"formattedCitation":"(123)","plainTextFormattedCitation":"(123)","previouslyFormattedCitation":"(123)"},"properties":{"noteIndex":0},"schema":"https://github.com/citation-style-language/schema/raw/master/csl-citation.json"}</w:instrText>
      </w:r>
      <w:r>
        <w:rPr>
          <w:shd w:val="clear" w:color="auto" w:fill="FFFFFF"/>
        </w:rPr>
        <w:fldChar w:fldCharType="separate"/>
      </w:r>
      <w:r w:rsidR="0067471B" w:rsidRPr="0067471B">
        <w:rPr>
          <w:noProof/>
          <w:shd w:val="clear" w:color="auto" w:fill="FFFFFF"/>
        </w:rPr>
        <w:t>(123)</w:t>
      </w:r>
      <w:r>
        <w:rPr>
          <w:shd w:val="clear" w:color="auto" w:fill="FFFFFF"/>
        </w:rPr>
        <w:fldChar w:fldCharType="end"/>
      </w:r>
      <w:r w:rsidRPr="00D7092F">
        <w:rPr>
          <w:shd w:val="clear" w:color="auto" w:fill="FFFFFF"/>
        </w:rPr>
        <w:t>.</w:t>
      </w:r>
      <w:r w:rsidR="0067471B">
        <w:rPr>
          <w:shd w:val="clear" w:color="auto" w:fill="FFFFFF"/>
        </w:rPr>
        <w:t xml:space="preserve"> </w:t>
      </w:r>
      <w:r w:rsidRPr="00B5283B">
        <w:t>Bizim çalışma</w:t>
      </w:r>
      <w:r>
        <w:t>mız</w:t>
      </w:r>
      <w:r w:rsidRPr="00B5283B">
        <w:t>daki hastalarda ölen ve yaşayan grup karşılaştırıldığında ölen grupta total bilirübin ve direkt bilirübin anlaml</w:t>
      </w:r>
      <w:r>
        <w:t xml:space="preserve">ı olarak yüksekti. </w:t>
      </w:r>
      <w:r w:rsidRPr="00B5283B">
        <w:t>Aynı zamanda tüm gruptaki hastaların %70,8</w:t>
      </w:r>
      <w:r w:rsidR="009F02C6">
        <w:t>’</w:t>
      </w:r>
      <w:r w:rsidRPr="00B5283B">
        <w:t>inde</w:t>
      </w:r>
      <w:r>
        <w:t xml:space="preserve"> serum bilirübin düzeyi</w:t>
      </w:r>
      <w:r w:rsidRPr="00B5283B">
        <w:t xml:space="preserve"> 3 </w:t>
      </w:r>
      <w:r w:rsidR="00742672">
        <w:t>mg/dl</w:t>
      </w:r>
      <w:r w:rsidR="009F02C6">
        <w:t>’</w:t>
      </w:r>
      <w:r>
        <w:t xml:space="preserve">nin üzerinde idi. </w:t>
      </w:r>
      <w:r>
        <w:rPr>
          <w:shd w:val="clear" w:color="auto" w:fill="FFFFFF"/>
        </w:rPr>
        <w:t xml:space="preserve">Sepsiste mortalite açısından </w:t>
      </w:r>
      <w:r w:rsidRPr="00CE4152">
        <w:rPr>
          <w:shd w:val="clear" w:color="auto" w:fill="FFFFFF"/>
        </w:rPr>
        <w:t>risk faktörleri</w:t>
      </w:r>
      <w:r>
        <w:rPr>
          <w:shd w:val="clear" w:color="auto" w:fill="FFFFFF"/>
        </w:rPr>
        <w:t>nden biri olan</w:t>
      </w:r>
      <w:r w:rsidRPr="00CE4152">
        <w:rPr>
          <w:shd w:val="clear" w:color="auto" w:fill="FFFFFF"/>
        </w:rPr>
        <w:t xml:space="preserve"> serum bilirübin</w:t>
      </w:r>
      <w:r>
        <w:rPr>
          <w:shd w:val="clear" w:color="auto" w:fill="FFFFFF"/>
        </w:rPr>
        <w:t xml:space="preserve"> düzeyinin</w:t>
      </w:r>
      <w:r w:rsidRPr="00CE4152">
        <w:rPr>
          <w:shd w:val="clear" w:color="auto" w:fill="FFFFFF"/>
        </w:rPr>
        <w:t xml:space="preserve"> </w:t>
      </w:r>
      <w:r>
        <w:rPr>
          <w:shd w:val="clear" w:color="auto" w:fill="FFFFFF"/>
        </w:rPr>
        <w:t xml:space="preserve">mortalite gelişen grupta ortanca değeri 18.3 (3.6-31.7) </w:t>
      </w:r>
      <w:r w:rsidR="00742672">
        <w:rPr>
          <w:shd w:val="clear" w:color="auto" w:fill="FFFFFF"/>
        </w:rPr>
        <w:t>mg/dl</w:t>
      </w:r>
      <w:r>
        <w:rPr>
          <w:shd w:val="clear" w:color="auto" w:fill="FFFFFF"/>
        </w:rPr>
        <w:t xml:space="preserve"> olarak tespit edildi</w:t>
      </w:r>
      <w:r w:rsidRPr="00CE4152">
        <w:rPr>
          <w:shd w:val="clear" w:color="auto" w:fill="FFFFFF"/>
        </w:rPr>
        <w:t>.</w:t>
      </w:r>
      <w:r>
        <w:rPr>
          <w:shd w:val="clear" w:color="auto" w:fill="FFFFFF"/>
        </w:rPr>
        <w:t xml:space="preserve"> Bu gözlem aynı zamanda 5.65 </w:t>
      </w:r>
      <w:r w:rsidR="00742672">
        <w:rPr>
          <w:shd w:val="clear" w:color="auto" w:fill="FFFFFF"/>
        </w:rPr>
        <w:t>mg/dl</w:t>
      </w:r>
      <w:r w:rsidRPr="00D7092F">
        <w:rPr>
          <w:shd w:val="clear" w:color="auto" w:fill="FFFFFF"/>
        </w:rPr>
        <w:t xml:space="preserve"> üz</w:t>
      </w:r>
      <w:r w:rsidR="000A36FC">
        <w:rPr>
          <w:shd w:val="clear" w:color="auto" w:fill="FFFFFF"/>
        </w:rPr>
        <w:t>erinde bilirü</w:t>
      </w:r>
      <w:r w:rsidRPr="00D7092F">
        <w:rPr>
          <w:shd w:val="clear" w:color="auto" w:fill="FFFFFF"/>
        </w:rPr>
        <w:t xml:space="preserve">binin azalmış greft sağkalımı üzerinde önemli bir etkisi </w:t>
      </w:r>
      <w:r>
        <w:rPr>
          <w:shd w:val="clear" w:color="auto" w:fill="FFFFFF"/>
        </w:rPr>
        <w:t xml:space="preserve">olduğunu belirten Farmer ve </w:t>
      </w:r>
      <w:r w:rsidR="003B1EAA">
        <w:t xml:space="preserve">ark. </w:t>
      </w:r>
      <w:r w:rsidRPr="00D7092F">
        <w:rPr>
          <w:shd w:val="clear" w:color="auto" w:fill="FFFFFF"/>
        </w:rPr>
        <w:t xml:space="preserve">tarafından </w:t>
      </w:r>
      <w:r>
        <w:rPr>
          <w:shd w:val="clear" w:color="auto" w:fill="FFFFFF"/>
        </w:rPr>
        <w:t xml:space="preserve">da gösterilmiştir </w:t>
      </w:r>
      <w:r>
        <w:rPr>
          <w:shd w:val="clear" w:color="auto" w:fill="FFFFFF"/>
        </w:rPr>
        <w:fldChar w:fldCharType="begin" w:fldLock="1"/>
      </w:r>
      <w:r w:rsidR="002F1C9D">
        <w:rPr>
          <w:shd w:val="clear" w:color="auto" w:fill="FFFFFF"/>
        </w:rPr>
        <w:instrText>ADDIN CSL_CITATION {"citationItems":[{"id":"ITEM-1","itemData":{"DOI":"10.1097/01.SLA.0000064365.54197.9E","ISSN":"0003-4932","author":[{"dropping-particle":"","family":"Farmer","given":"Douglas G.","non-dropping-particle":"","parse-names":false,"suffix":""},{"dropping-particle":"","family":"Anselmo","given":"Dean M.","non-dropping-particle":"","parse-names":false,"suffix":""},{"dropping-particle":"","family":"Ghobrial","given":"R. Mark","non-dropping-particle":"","parse-names":false,"suffix":""},{"dropping-particle":"","family":"Yersiz","given":"Hasan","non-dropping-particle":"","parse-names":false,"suffix":""},{"dropping-particle":"V.","family":"McDiarmid","given":"Suzanne","non-dropping-particle":"","parse-names":false,"suffix":""},{"dropping-particle":"","family":"Cao","given":"Carlos","non-dropping-particle":"","parse-names":false,"suffix":""},{"dropping-particle":"","family":"Weaver","given":"Michael","non-dropping-particle":"","parse-names":false,"suffix":""},{"dropping-particle":"","family":"Figueroa","given":"Jesus","non-dropping-particle":"","parse-names":false,"suffix":""},{"dropping-particle":"","family":"Khan","given":"Khurram","non-dropping-particle":"","parse-names":false,"suffix":""},{"dropping-particle":"","family":"Vargas","given":"Jorge","non-dropping-particle":"","parse-names":false,"suffix":""},{"dropping-particle":"","family":"Saab","given":"Sammy","non-dropping-particle":"","parse-names":false,"suffix":""},{"dropping-particle":"","family":"Han","given":"Steven","non-dropping-particle":"","parse-names":false,"suffix":""},{"dropping-particle":"","family":"Durazo","given":"Francisco","non-dropping-particle":"","parse-names":false,"suffix":""},{"dropping-particle":"","family":"Goldstein","given":"Leonard","non-dropping-particle":"","parse-names":false,"suffix":""},{"dropping-particle":"","family":"Holt","given":"Curtis","non-dropping-particle":"","parse-names":false,"suffix":""},{"dropping-particle":"","family":"Busuttil","given":"Ronald W.","non-dropping-particle":"","parse-names":false,"suffix":""}],"container-title":"Annals of Surgery","id":"ITEM-1","issue":"5","issued":{"date-parts":[["2003","5"]]},"page":"666-676","publisher":"Ann Surg","title":"Liver Transplantation for Fulminant Hepatic Failure","type":"article-journal","volume":"237"},"uris":["http://www.mendeley.com/documents/?uuid=fa1a397a-94e9-3e60-b742-5e3fa20b5bab"]}],"mendeley":{"formattedCitation":"(124)","plainTextFormattedCitation":"(124)","previouslyFormattedCitation":"(124)"},"properties":{"noteIndex":0},"schema":"https://github.com/citation-style-language/schema/raw/master/csl-citation.json"}</w:instrText>
      </w:r>
      <w:r>
        <w:rPr>
          <w:shd w:val="clear" w:color="auto" w:fill="FFFFFF"/>
        </w:rPr>
        <w:fldChar w:fldCharType="separate"/>
      </w:r>
      <w:r w:rsidR="0067471B" w:rsidRPr="0067471B">
        <w:rPr>
          <w:noProof/>
          <w:shd w:val="clear" w:color="auto" w:fill="FFFFFF"/>
        </w:rPr>
        <w:t>(124)</w:t>
      </w:r>
      <w:r>
        <w:rPr>
          <w:shd w:val="clear" w:color="auto" w:fill="FFFFFF"/>
        </w:rPr>
        <w:fldChar w:fldCharType="end"/>
      </w:r>
      <w:r>
        <w:rPr>
          <w:shd w:val="clear" w:color="auto" w:fill="FFFFFF"/>
        </w:rPr>
        <w:t>.</w:t>
      </w:r>
    </w:p>
    <w:p w14:paraId="23A2EF35" w14:textId="134E796D" w:rsidR="0067471B" w:rsidRPr="00FA28BF" w:rsidRDefault="0067471B" w:rsidP="0067471B">
      <w:r>
        <w:t xml:space="preserve">Tsao ve </w:t>
      </w:r>
      <w:r w:rsidR="003B1EAA">
        <w:t>ark.</w:t>
      </w:r>
      <w:r>
        <w:t xml:space="preserve"> yaptığı bir çalışmada h</w:t>
      </w:r>
      <w:r w:rsidRPr="003B5A12">
        <w:t>iperosmolar albümin</w:t>
      </w:r>
      <w:r>
        <w:t>in,</w:t>
      </w:r>
      <w:r w:rsidRPr="003B5A12">
        <w:t xml:space="preserve"> peritonit kaynaklı sepsis </w:t>
      </w:r>
      <w:r>
        <w:t>geçiren</w:t>
      </w:r>
      <w:r w:rsidRPr="003B5A12">
        <w:t xml:space="preserve"> sıçanlarda karaciğer hasarı ve hayatta kalma üzerinde yararlı bir etkiye sahip</w:t>
      </w:r>
      <w:r>
        <w:t xml:space="preserve"> olduğu bildirilmiş</w:t>
      </w:r>
      <w:r w:rsidRPr="003B5A12">
        <w:t>tir</w:t>
      </w:r>
      <w:r>
        <w:t xml:space="preserve"> </w:t>
      </w:r>
      <w:r>
        <w:fldChar w:fldCharType="begin" w:fldLock="1"/>
      </w:r>
      <w:r w:rsidR="002F1C9D">
        <w:instrText>ADDIN CSL_CITATION {"citationItems":[{"id":"ITEM-1","itemData":{"DOI":"10.1097/SHK.0b013e3181f229f8","ISSN":"1073-2322","abstract":"Liver injury/dysfunction developing in patients with sepsis may lead to an increased risk of death. Small-volume resuscitation with hyperoncotic albumin (HA) has been proposed to restore physiologic hemodynamics in hemorrhagic and septic shock. We evaluated whether HA resuscitation could alleviate the development of liver injury/dysfunction in rats with polymicrobial sepsis induced by cecal ligation and puncture (CLP). The male Wistar rats received 0.9% saline or HA (25%, 3 mL/kg intravenously) at 3 h after CLP or sham operation. All hemodynamic and biochemical variables were measured during the 18-h observation. After 18 h of CLP, the septic rats developed circulatory failure (i.e., hypotension, tachycardia, and poor tissue perfusion), liver injury (examined by biochemical variables and histologic studies), and a higher mortality. Hyperoncotic albumin not only ameliorated the deterioration of hemodynamic changes but also attenuated neutrophil infiltration and cell death in the liver of septic animals. The septic rats treated with HA had a higher survival when compared with those with 0.9% saline treatment. Moreover, the increased plasma IL-1β, plasma IL-6, plasma nitrite/nitrate concentrations, liver iNOS expression, and liver superoxide levels in CLP rats were attenuated after administration of HA. Thus, HA may be regarded as a potential therapeutic agent in the early treatment of septic shock to prevent or reduce subsequent liver failure. Copyright © 2011 by the Shock Society.","author":[{"dropping-particle":"","family":"Tsao","given":"Cheng-Ming","non-dropping-particle":"","parse-names":false,"suffix":""},{"dropping-particle":"","family":"Huang","given":"Hsieh-Chou","non-dropping-particle":"","parse-names":false,"suffix":""},{"dropping-particle":"","family":"Chen","given":"Zhen-Feng","non-dropping-particle":"","parse-names":false,"suffix":""},{"dropping-particle":"","family":"Liaw","given":"Wen-Jinn","non-dropping-particle":"","parse-names":false,"suffix":""},{"dropping-particle":"","family":"Lue","given":"Wei-Ming","non-dropping-particle":"","parse-names":false,"suffix":""},{"dropping-particle":"","family":"Chen","given":"Ann","non-dropping-particle":"","parse-names":false,"suffix":""},{"dropping-particle":"","family":"Chen","given":"Shiu-Jen","non-dropping-particle":"","parse-names":false,"suffix":""},{"dropping-particle":"","family":"Wu","given":"Chin-Chen","non-dropping-particle":"","parse-names":false,"suffix":""}],"container-title":"Shock","id":"ITEM-1","issue":"2","issued":{"date-parts":[["2011","2"]]},"page":"210-216","title":"Beneficial Effects of Hyperoncotic Albumin on Liver Injury and Survival in Peritonitis-Induced Sepsis Rats","type":"article-journal","volume":"35"},"uris":["http://www.mendeley.com/documents/?uuid=75c34858-2211-3e65-86c2-cf29e470402e"]}],"mendeley":{"formattedCitation":"(125)","plainTextFormattedCitation":"(125)","previouslyFormattedCitation":"(125)"},"properties":{"noteIndex":0},"schema":"https://github.com/citation-style-language/schema/raw/master/csl-citation.json"}</w:instrText>
      </w:r>
      <w:r>
        <w:fldChar w:fldCharType="separate"/>
      </w:r>
      <w:r w:rsidRPr="0067471B">
        <w:rPr>
          <w:noProof/>
        </w:rPr>
        <w:t>(125)</w:t>
      </w:r>
      <w:r>
        <w:fldChar w:fldCharType="end"/>
      </w:r>
      <w:r w:rsidRPr="003B5A12">
        <w:t>.</w:t>
      </w:r>
      <w:r>
        <w:rPr>
          <w:color w:val="2A2A2A"/>
          <w:sz w:val="23"/>
          <w:szCs w:val="23"/>
          <w:shd w:val="clear" w:color="auto" w:fill="FFFFFF"/>
        </w:rPr>
        <w:t xml:space="preserve"> Bizim çalışmamızda ise m</w:t>
      </w:r>
      <w:r>
        <w:t>ortalite gelişen</w:t>
      </w:r>
      <w:r w:rsidRPr="00FA28BF">
        <w:t xml:space="preserve"> ve yaşayan gruplar kıyaslandığında albümin değer</w:t>
      </w:r>
      <w:r>
        <w:t>leri arasında fark yoktu.</w:t>
      </w:r>
      <w:r w:rsidRPr="00FA28BF">
        <w:t xml:space="preserve"> </w:t>
      </w:r>
      <w:r>
        <w:t>Ayrıca ç</w:t>
      </w:r>
      <w:r w:rsidRPr="00FA28BF">
        <w:t xml:space="preserve">alışmamızda </w:t>
      </w:r>
      <w:r>
        <w:t>mortalite gelişen</w:t>
      </w:r>
      <w:r w:rsidRPr="00FA28BF">
        <w:t xml:space="preserve"> hastalarda albüminin ortanca değeri normal seviyenin altında 2.6 gr/dl (2.3-2.8) olarak ölçüldü.</w:t>
      </w:r>
      <w:r>
        <w:t xml:space="preserve"> </w:t>
      </w:r>
    </w:p>
    <w:p w14:paraId="49CEB6EF" w14:textId="04BBA1A9" w:rsidR="002E3AB9" w:rsidRDefault="002E3AB9" w:rsidP="002E3AB9">
      <w:pPr>
        <w:rPr>
          <w:shd w:val="clear" w:color="auto" w:fill="FFFFFF"/>
        </w:rPr>
      </w:pPr>
      <w:r>
        <w:rPr>
          <w:shd w:val="clear" w:color="auto" w:fill="FFFFFF"/>
        </w:rPr>
        <w:t>Mortalite gelişen ve hayatta kalan gruplar kıyaslandığında m</w:t>
      </w:r>
      <w:r w:rsidRPr="007C56E8">
        <w:rPr>
          <w:shd w:val="clear" w:color="auto" w:fill="FFFFFF"/>
        </w:rPr>
        <w:t xml:space="preserve">ortal seyreden hastalarda fibrinojen düzeyi düşüktü ve PTZ uzamıştı. </w:t>
      </w:r>
      <w:r w:rsidR="002F1C9D">
        <w:rPr>
          <w:shd w:val="clear" w:color="auto" w:fill="FFFFFF"/>
        </w:rPr>
        <w:t xml:space="preserve">Sepsisin ileri evresinde </w:t>
      </w:r>
      <w:r w:rsidR="002F1C9D" w:rsidRPr="007C56E8">
        <w:rPr>
          <w:shd w:val="clear" w:color="auto" w:fill="FFFFFF"/>
        </w:rPr>
        <w:t xml:space="preserve">disfonksiyone karaciğer tablosu </w:t>
      </w:r>
      <w:r w:rsidR="002F1C9D">
        <w:rPr>
          <w:shd w:val="clear" w:color="auto" w:fill="FFFFFF"/>
        </w:rPr>
        <w:t xml:space="preserve">ve </w:t>
      </w:r>
      <w:r w:rsidR="006C3BE3">
        <w:rPr>
          <w:shd w:val="clear" w:color="auto" w:fill="FFFFFF"/>
        </w:rPr>
        <w:t xml:space="preserve">MOY </w:t>
      </w:r>
      <w:r w:rsidR="002F1C9D">
        <w:rPr>
          <w:shd w:val="clear" w:color="auto" w:fill="FFFFFF"/>
        </w:rPr>
        <w:t xml:space="preserve">nedeniyle mortalite artmaktadır. </w:t>
      </w:r>
      <w:r w:rsidRPr="007C56E8">
        <w:rPr>
          <w:shd w:val="clear" w:color="auto" w:fill="FFFFFF"/>
        </w:rPr>
        <w:t>Sepsiste karaciğer disfonksiyonunun altında yatan sebepler; DİC, mikrotrombüs, kollaps, hipotansiyon</w:t>
      </w:r>
      <w:r>
        <w:rPr>
          <w:shd w:val="clear" w:color="auto" w:fill="FFFFFF"/>
        </w:rPr>
        <w:t xml:space="preserve"> olarak sıralanabilir </w:t>
      </w:r>
      <w:r>
        <w:rPr>
          <w:shd w:val="clear" w:color="auto" w:fill="FFFFFF"/>
        </w:rPr>
        <w:fldChar w:fldCharType="begin" w:fldLock="1"/>
      </w:r>
      <w:r w:rsidR="001C4787">
        <w:rPr>
          <w:shd w:val="clear" w:color="auto" w:fill="FFFFFF"/>
        </w:rPr>
        <w:instrText>ADDIN CSL_CITATION {"citationItems":[{"id":"ITEM-1","itemData":{"DOI":"10.1038/s41581-018-0005-7","ISSN":"1759507X","PMID":"29691495","abstract":"Sepsis is a dysregulated immune response to an infection that leads to organ dysfunction. Knowledge of the pathophysiology of organ failure in sepsis is crucial for optimizing the management and treatment of patients and for the development of potential new therapies. In clinical practice, six major organ systems - the cardiovascular (including the microcirculation), respiratory, renal, neurological, haematological and hepatic systems - can be assessed and monitored, whereas others, such as the gut, are less accessible. Over the past 2 decades, considerable amounts of new data have helped improve our understanding of sepsis pathophysiology, including the regulation of inflammatory pathways and the role played by immune suppression during sepsis. The effects of impaired cellular function, including mitochondrial dysfunction and altered cell death mechanisms, on the development of organ dysfunction are also being unravelled. Insights have been gained into interactions between key organs (such as the kidneys and the gut) and organ-organ crosstalk during sepsis. The important role of the microcirculation in sepsis is increasingly apparent, and new techniques have been developed that make it possible to visualize the microcirculation at the bedside, although these techniques are only research tools at present.","author":[{"dropping-particle":"","family":"Lelubre","given":"Christophe","non-dropping-particle":"","parse-names":false,"suffix":""},{"dropping-particle":"","family":"Vincent","given":"Jean Louis","non-dropping-particle":"","parse-names":false,"suffix":""}],"container-title":"Nature Reviews Nephrology","id":"ITEM-1","issue":"7","issued":{"date-parts":[["2018","7","1"]]},"page":"417-427","publisher":"Nature Publishing Group","title":"Mechanisms and treatment of organ failure in sepsis","type":"article","volume":"14"},"uris":["http://www.mendeley.com/documents/?uuid=fb139443-1043-3872-955e-e2c1dcadd588"]}],"mendeley":{"formattedCitation":"(126)","plainTextFormattedCitation":"(126)","previouslyFormattedCitation":"(126)"},"properties":{"noteIndex":0},"schema":"https://github.com/citation-style-language/schema/raw/master/csl-citation.json"}</w:instrText>
      </w:r>
      <w:r>
        <w:rPr>
          <w:shd w:val="clear" w:color="auto" w:fill="FFFFFF"/>
        </w:rPr>
        <w:fldChar w:fldCharType="separate"/>
      </w:r>
      <w:r w:rsidR="00013FE6" w:rsidRPr="00013FE6">
        <w:rPr>
          <w:noProof/>
          <w:shd w:val="clear" w:color="auto" w:fill="FFFFFF"/>
        </w:rPr>
        <w:t>(126)</w:t>
      </w:r>
      <w:r>
        <w:rPr>
          <w:shd w:val="clear" w:color="auto" w:fill="FFFFFF"/>
        </w:rPr>
        <w:fldChar w:fldCharType="end"/>
      </w:r>
      <w:r w:rsidRPr="007C56E8">
        <w:rPr>
          <w:shd w:val="clear" w:color="auto" w:fill="FFFFFF"/>
        </w:rPr>
        <w:t>.</w:t>
      </w:r>
      <w:r>
        <w:rPr>
          <w:shd w:val="clear" w:color="auto" w:fill="FFFFFF"/>
        </w:rPr>
        <w:t xml:space="preserve"> </w:t>
      </w:r>
    </w:p>
    <w:p w14:paraId="1A4CD0E8" w14:textId="61BEE7D8" w:rsidR="002E3AB9" w:rsidRDefault="002E3AB9" w:rsidP="002E3AB9">
      <w:pPr>
        <w:rPr>
          <w:shd w:val="clear" w:color="auto" w:fill="FFFFFF"/>
        </w:rPr>
      </w:pPr>
      <w:r w:rsidRPr="00621A7F">
        <w:t>Fibrinojen klasik bir pozitif akut faz reaktan proteinidir</w:t>
      </w:r>
      <w:r>
        <w:t>.</w:t>
      </w:r>
      <w:r>
        <w:rPr>
          <w:rFonts w:ascii="Arial" w:hAnsi="Arial" w:cs="Arial"/>
          <w:color w:val="333333"/>
          <w:shd w:val="clear" w:color="auto" w:fill="FFFFFF"/>
        </w:rPr>
        <w:t> </w:t>
      </w:r>
      <w:r w:rsidRPr="00621A7F">
        <w:rPr>
          <w:shd w:val="clear" w:color="auto" w:fill="FFFFFF"/>
        </w:rPr>
        <w:t>Sepsiste fibrinojen düşüklüğü beklenir. Fibrinojen</w:t>
      </w:r>
      <w:r>
        <w:rPr>
          <w:shd w:val="clear" w:color="auto" w:fill="FFFFFF"/>
        </w:rPr>
        <w:t>,</w:t>
      </w:r>
      <w:r w:rsidRPr="00621A7F">
        <w:rPr>
          <w:shd w:val="clear" w:color="auto" w:fill="FFFFFF"/>
        </w:rPr>
        <w:t xml:space="preserve"> fibrinin öncüsüdür ve trombositleri bağlayarak trombosit agregasyonunu ve trombini bağlayarak pıhtılaşmayı teşvik eder. </w:t>
      </w:r>
      <w:r>
        <w:rPr>
          <w:shd w:val="clear" w:color="auto" w:fill="FFFFFF"/>
        </w:rPr>
        <w:t>Matsubara ve ark. sepsiste fibrinojen düzeyini değerlendirdikleri bir çalışmada fibrinojendeki azalma ile mortalitede artış arasında anlamlı derecede bir ilişki bulduklarını belirttiler (p=0.011). </w:t>
      </w:r>
      <w:r w:rsidRPr="00621A7F">
        <w:rPr>
          <w:shd w:val="clear" w:color="auto" w:fill="FFFFFF"/>
        </w:rPr>
        <w:t xml:space="preserve"> </w:t>
      </w:r>
      <w:r>
        <w:rPr>
          <w:shd w:val="clear" w:color="auto" w:fill="FFFFFF"/>
        </w:rPr>
        <w:t>Fibrinojen seviyesi</w:t>
      </w:r>
      <w:r w:rsidRPr="002E3AB9">
        <w:rPr>
          <w:shd w:val="clear" w:color="auto" w:fill="FFFFFF"/>
        </w:rPr>
        <w:t>, karaciğer tranplantasyonu sonrasında sepsis ve sepsise bağlı gelişen hepatik yetmezlik ve mortalitenin öngörülmesinde ayrıca</w:t>
      </w:r>
      <w:r>
        <w:rPr>
          <w:shd w:val="clear" w:color="auto" w:fill="FFFFFF"/>
        </w:rPr>
        <w:t xml:space="preserve"> sepsise bağlı gelişen DIC tablosunun öngörülmesinde faydalı olan bir biyobelirteçtir </w:t>
      </w:r>
      <w:r>
        <w:rPr>
          <w:shd w:val="clear" w:color="auto" w:fill="FFFFFF"/>
        </w:rPr>
        <w:fldChar w:fldCharType="begin" w:fldLock="1"/>
      </w:r>
      <w:r w:rsidR="001C4787">
        <w:rPr>
          <w:shd w:val="clear" w:color="auto" w:fill="FFFFFF"/>
        </w:rPr>
        <w:instrText>ADDIN CSL_CITATION {"citationItems":[{"id":"ITEM-1","itemData":{"DOI":"10.1136/jcp.19.4.352","ISSN":"00219746","abstract":"SYNOPSIS Plasma fibrinogen and plasminogen levels were measured in 122 male and 56 female healthy adult subjects and in 64 men with ischaemic heart disease. Plasma fibrinogen levels were found to rise markedly and progressively with age in both male and female healthy subjects; plasmin-ogen showed only a slight rise with age. No sex differences were found for either fibrinogen or plasminogen. The correlation between plasminogen and fibrinogen levels was low, reaching the 5 Y.","author":[{"dropping-particle":"","family":"Ogston","given":"C. M.","non-dropping-particle":"","parse-names":false,"suffix":""},{"dropping-particle":"","family":"Ogston","given":"D.","non-dropping-particle":"","parse-names":false,"suffix":""}],"container-title":"Journal of clinical pathology","id":"ITEM-1","issue":"4","issued":{"date-parts":[["1966","7","1"]]},"page":"352-356","publisher":"BMJ Publishing Group","title":"Plasma fibrinogen and plasminogen levels in health and in ischaemic heart disease.","type":"article-journal","volume":"19"},"uris":["http://www.mendeley.com/documents/?uuid=4b3a329b-aaef-346f-a210-be930132c788"]}],"mendeley":{"formattedCitation":"(127)","plainTextFormattedCitation":"(127)","previouslyFormattedCitation":"(127)"},"properties":{"noteIndex":0},"schema":"https://github.com/citation-style-language/schema/raw/master/csl-citation.json"}</w:instrText>
      </w:r>
      <w:r>
        <w:rPr>
          <w:shd w:val="clear" w:color="auto" w:fill="FFFFFF"/>
        </w:rPr>
        <w:fldChar w:fldCharType="separate"/>
      </w:r>
      <w:r w:rsidR="00013FE6" w:rsidRPr="00013FE6">
        <w:rPr>
          <w:noProof/>
          <w:shd w:val="clear" w:color="auto" w:fill="FFFFFF"/>
        </w:rPr>
        <w:t>(127)</w:t>
      </w:r>
      <w:r>
        <w:rPr>
          <w:shd w:val="clear" w:color="auto" w:fill="FFFFFF"/>
        </w:rPr>
        <w:fldChar w:fldCharType="end"/>
      </w:r>
      <w:r>
        <w:rPr>
          <w:shd w:val="clear" w:color="auto" w:fill="FFFFFF"/>
        </w:rPr>
        <w:t xml:space="preserve">. </w:t>
      </w:r>
    </w:p>
    <w:p w14:paraId="39A582EF" w14:textId="77777777" w:rsidR="002F1C9D" w:rsidRDefault="002E3AB9" w:rsidP="002E3AB9">
      <w:r>
        <w:rPr>
          <w:shd w:val="clear" w:color="auto" w:fill="FFFFFF"/>
        </w:rPr>
        <w:t xml:space="preserve">Çalışmamızda </w:t>
      </w:r>
      <w:r w:rsidRPr="00FA28BF">
        <w:t>fibrinojen düzeyleri erkeklerde anlamlı olarak düşük bulundu (p=0.04). Mo</w:t>
      </w:r>
      <w:r>
        <w:rPr>
          <w:shd w:val="clear" w:color="auto" w:fill="FFFFFF"/>
        </w:rPr>
        <w:t xml:space="preserve">rtalite gelişen </w:t>
      </w:r>
      <w:r w:rsidRPr="00621A7F">
        <w:rPr>
          <w:shd w:val="clear" w:color="auto" w:fill="FFFFFF"/>
        </w:rPr>
        <w:t>erkek hastalar</w:t>
      </w:r>
      <w:r>
        <w:rPr>
          <w:shd w:val="clear" w:color="auto" w:fill="FFFFFF"/>
        </w:rPr>
        <w:t>ımız</w:t>
      </w:r>
      <w:r w:rsidRPr="00621A7F">
        <w:rPr>
          <w:shd w:val="clear" w:color="auto" w:fill="FFFFFF"/>
        </w:rPr>
        <w:t>da fibrinojenin ortanca değeri 94.2 (50.2-222) idi.</w:t>
      </w:r>
      <w:r w:rsidR="002F1C9D">
        <w:rPr>
          <w:shd w:val="clear" w:color="auto" w:fill="FFFFFF"/>
        </w:rPr>
        <w:t xml:space="preserve"> </w:t>
      </w:r>
      <w:r w:rsidRPr="00FA28BF">
        <w:t>Çalışmamızda mortalite gelişen</w:t>
      </w:r>
      <w:r>
        <w:t xml:space="preserve"> grupta</w:t>
      </w:r>
      <w:r w:rsidRPr="00FA28BF">
        <w:t xml:space="preserve"> karaciğer sentez fonksiyonlarının bozulmuş olduğu görüldü. </w:t>
      </w:r>
    </w:p>
    <w:p w14:paraId="168FF6DA" w14:textId="229933F0" w:rsidR="00D75FBB" w:rsidRDefault="00651E86" w:rsidP="002E3AB9">
      <w:r>
        <w:rPr>
          <w:shd w:val="clear" w:color="auto" w:fill="FFFFFF"/>
        </w:rPr>
        <w:lastRenderedPageBreak/>
        <w:t xml:space="preserve">Platz ve </w:t>
      </w:r>
      <w:r w:rsidR="003B1EAA">
        <w:rPr>
          <w:shd w:val="clear" w:color="auto" w:fill="FFFFFF"/>
        </w:rPr>
        <w:t>ark.</w:t>
      </w:r>
      <w:r>
        <w:rPr>
          <w:shd w:val="clear" w:color="auto" w:fill="FFFFFF"/>
        </w:rPr>
        <w:t xml:space="preserve"> karaciğer naklinden sonra enfeksiyon gelişmiş hastalarda sitokin paternlerini araştırdığı ç</w:t>
      </w:r>
      <w:r w:rsidR="002E3AB9">
        <w:rPr>
          <w:shd w:val="clear" w:color="auto" w:fill="FFFFFF"/>
        </w:rPr>
        <w:t>alışma</w:t>
      </w:r>
      <w:r>
        <w:rPr>
          <w:shd w:val="clear" w:color="auto" w:fill="FFFFFF"/>
        </w:rPr>
        <w:t>sın</w:t>
      </w:r>
      <w:r w:rsidR="002E3AB9">
        <w:rPr>
          <w:shd w:val="clear" w:color="auto" w:fill="FFFFFF"/>
        </w:rPr>
        <w:t>da mortalite ile sonuçlanan hastalarda greft fonksiyonundaki bozulmaya bağlı olarak sepsisin geç seyrinde ortalama AST düzeyleri artmıştır (98.7 ± 21.7 U/L vs. 43.6 ± 8.6 U/L). Ortalama ALT düzeyleri, daha sonra ölen hastalarda enfeksiyonun geç seyrinde bir artış dışında her iki grup arasınd</w:t>
      </w:r>
      <w:r>
        <w:rPr>
          <w:shd w:val="clear" w:color="auto" w:fill="FFFFFF"/>
        </w:rPr>
        <w:t>a anlamlı bir farklılık görülmemiştir</w:t>
      </w:r>
      <w:r w:rsidR="002E3AB9">
        <w:rPr>
          <w:shd w:val="clear" w:color="auto" w:fill="FFFFFF"/>
        </w:rPr>
        <w:t xml:space="preserve"> </w:t>
      </w:r>
      <w:r w:rsidR="002E3AB9">
        <w:rPr>
          <w:shd w:val="clear" w:color="auto" w:fill="FFFFFF"/>
        </w:rPr>
        <w:fldChar w:fldCharType="begin" w:fldLock="1"/>
      </w:r>
      <w:r w:rsidR="001C4787">
        <w:rPr>
          <w:shd w:val="clear" w:color="auto" w:fill="FFFFFF"/>
        </w:rPr>
        <w:instrText>ADDIN CSL_CITATION {"citationItems":[{"id":"ITEM-1","itemData":{"DOI":"10.1097/00007890-199611270-00011","ISSN":"00411337","abstract":"Despite improvements in immunosuppression, rejection occurs in 50% of liver transplant patients and may cause significant morbidity. The most frequent cause of death after liver transplantation is severe infection. Determination of the cytokine network may lead to earlier detection of patients at risk for severe rejection and infection. For this purpose, 81 patients with 85 liver transplants were monitored for cytokines and neopterin on a daily basis. During the first post-operative month, 28 patients (34.6%) developed acute rejection; 14 patients were successfully treated with methylprednisolone (steroid-sensitive rejection), while 14 patients required additional treatment with FK506 and OKT3 (steroid-resistant rejection). Ten patients developed severe infections, and 11 patients experienced asymptomatic cholangitis. Patients with an uneventful postoperative course (n=37) were the control group. One-year patient survival was 88.9%: 1 patient died because of chronic rejection and Pseudomonas urosepsis; a further 4 patients died of aspergillus pneumonia and bacterial sepsis. Soluble TNF- RII, sIL-2R-, and IL-10 levels were significantly elevated 3 days prior to or at the onset of acute steroid-resistant rejection (P≤0.01 versus steroid- sensitive rejection and on uneventful postoperative course). An increase in IL-8, neopterin, and sTNF-RII was indicative of severe infection 3 days prior to onset of infection. In this group of patients, a simultaneous increase in IL-10 indicated a lethal outcome of severe infection. During the second week of acute steroid-resistant rejection and lethal infection, a significant rise in IL-1β, IFN-γ, and IL-6 was observed (P≤0.01 versus control groups). The different patterns in neopterin- and cytokine-increase could differentiate between severe rejection and severe infection. Furthermore, the increase in these parameters indicated severe rejection-i.e., steroid resistance at the onset of acute rejection-which could prompt us to initiate rescue therapy immediately. The ability to detect patients at risk for severe or lethal infection may result in intensified infectious screening and more aggressive antiinfectious treatment. Therefore, routine monitoring of these parameters may lead to changes in therapeutic management of severe acute rejection and infection after liver transplantation.","author":[{"dropping-particle":"","family":"Platz","given":"Klaus Peter","non-dropping-particle":"","parse-names":false,"suffix":""},{"dropping-particle":"","family":"Mueller","given":"Andrea R.","non-dropping-particle":"","parse-names":false,"suffix":""},{"dropping-particle":"","family":"Rossaint","given":"Rolf","non-dropping-particle":"","parse-names":false,"suffix":""},{"dropping-particle":"","family":"Steinmüller","given":"Thomas","non-dropping-particle":"","parse-names":false,"suffix":""},{"dropping-particle":"","family":"Lemmens","given":"H. Peter","non-dropping-particle":"","parse-names":false,"suffix":""},{"dropping-particle":"","family":"Lobeck","given":"Hartmut","non-dropping-particle":"","parse-names":false,"suffix":""},{"dropping-particle":"","family":"Neuhaus","given":"Peter","non-dropping-particle":"","parse-names":false,"suffix":""}],"container-title":"Transplantation","id":"ITEM-1","issue":"10","issued":{"date-parts":[["1996","11","27"]]},"page":"1441-1450","publisher":"Lippincott Williams and Wilkins","title":"Cytokine pattern during rejection and infection after liver transplantation - Improvements in postoperative monitoring?","type":"article-journal","volume":"62"},"uris":["http://www.mendeley.com/documents/?uuid=fb644dfb-71ba-3567-a8d3-d703ee3567fb"]}],"mendeley":{"formattedCitation":"(118)","plainTextFormattedCitation":"(118)","previouslyFormattedCitation":"(118)"},"properties":{"noteIndex":0},"schema":"https://github.com/citation-style-language/schema/raw/master/csl-citation.json"}</w:instrText>
      </w:r>
      <w:r w:rsidR="002E3AB9">
        <w:rPr>
          <w:shd w:val="clear" w:color="auto" w:fill="FFFFFF"/>
        </w:rPr>
        <w:fldChar w:fldCharType="separate"/>
      </w:r>
      <w:r w:rsidR="00013FE6" w:rsidRPr="00013FE6">
        <w:rPr>
          <w:noProof/>
          <w:shd w:val="clear" w:color="auto" w:fill="FFFFFF"/>
        </w:rPr>
        <w:t>(118)</w:t>
      </w:r>
      <w:r w:rsidR="002E3AB9">
        <w:rPr>
          <w:shd w:val="clear" w:color="auto" w:fill="FFFFFF"/>
        </w:rPr>
        <w:fldChar w:fldCharType="end"/>
      </w:r>
      <w:r w:rsidR="002E3AB9">
        <w:rPr>
          <w:shd w:val="clear" w:color="auto" w:fill="FFFFFF"/>
        </w:rPr>
        <w:t xml:space="preserve"> . </w:t>
      </w:r>
      <w:r w:rsidR="002F1C9D">
        <w:rPr>
          <w:shd w:val="clear" w:color="auto" w:fill="FFFFFF"/>
        </w:rPr>
        <w:t xml:space="preserve">Çalışmamızdaki </w:t>
      </w:r>
      <w:r w:rsidR="002E3AB9" w:rsidRPr="00950CDA">
        <w:t xml:space="preserve">AST ve </w:t>
      </w:r>
      <w:r w:rsidR="002E3AB9">
        <w:t xml:space="preserve">ALT değerleri </w:t>
      </w:r>
      <w:r w:rsidR="0077135B">
        <w:t>mortalite gelişen</w:t>
      </w:r>
      <w:r w:rsidR="002E3AB9">
        <w:t xml:space="preserve"> grupta daha yüksek tespit edilmesine karşın istatistiksel olarak amlamlı değildi (p=0.09 ve p=0.21).</w:t>
      </w:r>
    </w:p>
    <w:p w14:paraId="771083BE" w14:textId="744B25DA" w:rsidR="002F1C9D" w:rsidRPr="00FA28BF" w:rsidRDefault="002F1C9D" w:rsidP="002F1C9D">
      <w:r>
        <w:t xml:space="preserve">Sepsiste sitokinlerin mortaliteye etkisinin incelendiği bir çalışmada </w:t>
      </w:r>
      <w:r w:rsidR="004D1BAE">
        <w:t xml:space="preserve">aynı zamanda </w:t>
      </w:r>
      <w:r w:rsidR="00C52126">
        <w:t>IL-</w:t>
      </w:r>
      <w:r w:rsidR="004D1BAE">
        <w:t xml:space="preserve">6, </w:t>
      </w:r>
      <w:r w:rsidR="00C52126">
        <w:t>IL-</w:t>
      </w:r>
      <w:r w:rsidR="004D1BAE">
        <w:t xml:space="preserve">10 ve TNF-alfa değerlerini kıyaslanmış olup </w:t>
      </w:r>
      <w:r w:rsidR="00C52126">
        <w:t>IL-</w:t>
      </w:r>
      <w:r w:rsidR="004D1BAE">
        <w:t xml:space="preserve">6 değeri mortalite gelişen hastalarda anlamlı olarak daha yüksek bulunmuştur </w:t>
      </w:r>
      <w:r w:rsidR="004D1BAE">
        <w:fldChar w:fldCharType="begin" w:fldLock="1"/>
      </w:r>
      <w:r w:rsidR="001C4787">
        <w:instrText>ADDIN CSL_CITATION {"citationItems":[{"id":"ITEM-1","itemData":{"DOI":"10.1001/archsurg.133.11.1200","ISSN":"00040010","PMID":"9820351","abstract":"Background: In animal studies, gender differences were related to hormonal and immunologic changes that were associated with an increased susceptibility to sepsis in males. Objective: In a prospective study, gender differences in patients with surgical sepsis were evaluated in terms of survival, sex hormones, and proinflammatory as well as anti-inflammatory mediators. Setting: Surgical intensive care unit of a university hospital. Patients: Fifty-two patients (19 women and 33 men) with surgical sepsis. Measurements and Main Results: In a prospective study, tumor necrosis factor α and interleukin 6 bioactivity and plasma levels of interleukin 10 (using enzyme-linked immunosorbent assay), total testosterone, and 17-β estradiol (using radioimmunoassay) were determined on days 1, 3, 5, 7, 10, and 14 after diagnosis of sepsis. There were no differences in characteristics of patients in age (mean age, 55.4 years for women and 53.1 years for men) or cause and severity of sepsis (Acute Physiology and Chronic Health Evaluation II score, 17.3 for women and 18.5 for men; multiple organ dysfunction score, 9.9 vs 10.8, respectively). Although no difference could be found in the multiple organ dysfunction score from day 1 to day 28, the prognosis of sepsis was significantly different in women compared with men. Hospital-mortality rate was 70% (23 of 33 patients) in male and 26% (5 of 19) in female patients (P&lt;.008, log-rank test). Bioactivity of tumor necrosis factor continuously increased in men after diagnosis of sepsis, with significantly elevated levels on day 10 (P&lt;.05, Mann-Whitney U test with Bonferroni correction), whereas no difference was found for interleukin 6 bioactivity. Women displayed enhanced interleukin 10 levels compared with men from day 1 to day 10 that reached a significant difference on days 3 and 5 (P&lt;.05). Total testosterone levels were below the normal range for men, and estradiol levels were initially increased in both men and postmenopausal women, with higher levels for women. Conclusions: In this prospective study, gender differences were confirmed in human sepsis, with a significantly better prognosis for women, which may be related to increased levels of anti-inflammatory mediators. The hypothetical different ratio of proinflammatory and anti- inflammatory mediators may be important for further therapeutic interventions in sepsis.","author":[{"dropping-particle":"","family":"Schröder","given":"Jörg","non-dropping-particle":"","parse-names":false,"suffix":""},{"dropping-particle":"","family":"Kahlke","given":"Volker","non-dropping-particle":"","parse-names":false,"suffix":""},{"dropping-particle":"","family":"Staubach","given":"Karl Hermann","non-dropping-particle":"","parse-names":false,"suffix":""},{"dropping-particle":"","family":"Zabel","given":"Peter","non-dropping-particle":"","parse-names":false,"suffix":""},{"dropping-particle":"","family":"Stüber","given":"Frank","non-dropping-particle":"","parse-names":false,"suffix":""}],"container-title":"Archives of Surgery","id":"ITEM-1","issue":"11","issued":{"date-parts":[["1998"]]},"page":"1200-1205","publisher":"American Medical Association","title":"Gender differences in human sepsis","type":"article-journal","volume":"133"},"uris":["http://www.mendeley.com/documents/?uuid=d355a7d0-acbb-34c1-ab9e-5ef8881bea64"]}],"mendeley":{"formattedCitation":"(128)","plainTextFormattedCitation":"(128)","previouslyFormattedCitation":"(128)"},"properties":{"noteIndex":0},"schema":"https://github.com/citation-style-language/schema/raw/master/csl-citation.json"}</w:instrText>
      </w:r>
      <w:r w:rsidR="004D1BAE">
        <w:fldChar w:fldCharType="separate"/>
      </w:r>
      <w:r w:rsidR="00013FE6" w:rsidRPr="00013FE6">
        <w:rPr>
          <w:noProof/>
        </w:rPr>
        <w:t>(128)</w:t>
      </w:r>
      <w:r w:rsidR="004D1BAE">
        <w:fldChar w:fldCharType="end"/>
      </w:r>
      <w:r w:rsidR="004D1BAE" w:rsidRPr="004F291E">
        <w:rPr>
          <w:color w:val="000000"/>
          <w:shd w:val="clear" w:color="auto" w:fill="FFFFFF"/>
        </w:rPr>
        <w:t>.</w:t>
      </w:r>
      <w:r w:rsidR="004D1BAE">
        <w:rPr>
          <w:color w:val="000000"/>
          <w:shd w:val="clear" w:color="auto" w:fill="FFFFFF"/>
        </w:rPr>
        <w:t xml:space="preserve"> </w:t>
      </w:r>
      <w:r w:rsidRPr="00FA28BF">
        <w:t>Ancak b</w:t>
      </w:r>
      <w:r>
        <w:t xml:space="preserve">izim çalışmamızda </w:t>
      </w:r>
      <w:r w:rsidRPr="00FA28BF">
        <w:t xml:space="preserve">sitokinlerin mortaliteye etkisi görülmedi. </w:t>
      </w:r>
    </w:p>
    <w:p w14:paraId="381563FB" w14:textId="0B7DE4B4" w:rsidR="004D1BAE" w:rsidRDefault="004D1BAE" w:rsidP="004D1BAE">
      <w:r>
        <w:t xml:space="preserve">Chaudhry ve </w:t>
      </w:r>
      <w:r w:rsidR="003B1EAA">
        <w:t>ark.</w:t>
      </w:r>
      <w:r>
        <w:t xml:space="preserve"> yaptığı çalışmada p</w:t>
      </w:r>
      <w:r w:rsidRPr="00C24AD3">
        <w:t>atojen</w:t>
      </w:r>
      <w:r>
        <w:t>in oluşturduğu</w:t>
      </w:r>
      <w:r w:rsidRPr="00C24AD3">
        <w:t xml:space="preserve"> enfeksiyona yanıt olarak, proinflamatuvar sitokinler</w:t>
      </w:r>
      <w:r>
        <w:t>den;</w:t>
      </w:r>
      <w:r w:rsidRPr="00C24AD3">
        <w:t xml:space="preserve"> IL-6, IL-8, IL-18 ve</w:t>
      </w:r>
      <w:r>
        <w:t xml:space="preserve"> TNF-α</w:t>
      </w:r>
      <w:r w:rsidRPr="00C24AD3">
        <w:t xml:space="preserve"> ve ant</w:t>
      </w:r>
      <w:r>
        <w:t xml:space="preserve">iinflamatuvar sitokin olan IL-10 </w:t>
      </w:r>
      <w:r w:rsidRPr="00C24AD3">
        <w:t>sepsisli hastalarda artmıştır. Önemli olarak, IL-6'da azalma daha iyi bir prognoz ile ilişkili</w:t>
      </w:r>
      <w:r>
        <w:t xml:space="preserve">yken, IL-10'un aşırı üretiminin sepsisin </w:t>
      </w:r>
      <w:r w:rsidRPr="00C24AD3">
        <w:t>şiddet</w:t>
      </w:r>
      <w:r>
        <w:t>i</w:t>
      </w:r>
      <w:r w:rsidRPr="00C24AD3">
        <w:t xml:space="preserve"> ve </w:t>
      </w:r>
      <w:r>
        <w:t>mortalitenin</w:t>
      </w:r>
      <w:r w:rsidRPr="00C24AD3">
        <w:t xml:space="preserve"> ana belirleyicisi olduğu bulunmuştur</w:t>
      </w:r>
      <w:r>
        <w:t xml:space="preserve"> </w:t>
      </w:r>
      <w:r>
        <w:fldChar w:fldCharType="begin" w:fldLock="1"/>
      </w:r>
      <w:r w:rsidR="001C4787">
        <w:instrText>ADDIN CSL_CITATION {"citationItems":[{"id":"ITEM-1","itemData":{"URL":"http://iv.iiarjournals.org/content/27/6/669.short","accessed":{"date-parts":[["2020","7","9"]]},"id":"ITEM-1","issued":{"date-parts":[["0"]]},"title":"Role of Cytokines as a Double-edged Sword in Sepsis","type":"webpage"},"uris":["http://www.mendeley.com/documents/?uuid=68f89f19-c79a-3762-956d-0853ab114a9c"]}],"mendeley":{"formattedCitation":"(129)","plainTextFormattedCitation":"(129)","previouslyFormattedCitation":"(129)"},"properties":{"noteIndex":0},"schema":"https://github.com/citation-style-language/schema/raw/master/csl-citation.json"}</w:instrText>
      </w:r>
      <w:r>
        <w:fldChar w:fldCharType="separate"/>
      </w:r>
      <w:r w:rsidR="00013FE6" w:rsidRPr="00013FE6">
        <w:rPr>
          <w:noProof/>
        </w:rPr>
        <w:t>(129)</w:t>
      </w:r>
      <w:r>
        <w:fldChar w:fldCharType="end"/>
      </w:r>
      <w:r w:rsidRPr="00C24AD3">
        <w:t>.</w:t>
      </w:r>
    </w:p>
    <w:p w14:paraId="27A96CD3" w14:textId="75F7DCD6" w:rsidR="004D1BAE" w:rsidRDefault="004D1BAE" w:rsidP="004D1BAE">
      <w:pPr>
        <w:rPr>
          <w:rFonts w:ascii="Tahoma" w:hAnsi="Tahoma" w:cs="Tahoma"/>
          <w:color w:val="333333"/>
          <w:sz w:val="21"/>
          <w:szCs w:val="21"/>
          <w:shd w:val="clear" w:color="auto" w:fill="FFFFFF"/>
        </w:rPr>
      </w:pPr>
      <w:r>
        <w:t>Başka bir deneysel h</w:t>
      </w:r>
      <w:r w:rsidRPr="003B5A12">
        <w:t xml:space="preserve">ayvan </w:t>
      </w:r>
      <w:r>
        <w:t>çalışmasında</w:t>
      </w:r>
      <w:r w:rsidRPr="003B5A12">
        <w:t>, MCP-1'in inhibisyonunun TNF-α, IL-1β, IL-6 ve diğer enflamatuar faktörlerin makrofaj salınımını azaltabildiğini ve sepsis farelerinin hayatta kalma oranını artırabildiğini gözlemlemiştir</w:t>
      </w:r>
      <w:r>
        <w:t xml:space="preserve"> </w:t>
      </w:r>
      <w:r>
        <w:fldChar w:fldCharType="begin" w:fldLock="1"/>
      </w:r>
      <w:r w:rsidR="001C4787">
        <w:instrText>ADDIN CSL_CITATION {"citationItems":[{"id":"ITEM-1","itemData":{"DOI":"10.1016/j.intimp.2008.01.033","ISSN":"15675769","abstract":"Sepsis is a complex clinical syndrome resulting from a harmful host inflammatory response to infection. Similarly, lipopolysaccharide (LPS) induced endotoxemia is marked by the activation of inflammatory responses, which can lead to shock, multiple organ damage and even death. Inflammatory mediator, chemokines are known to play an important role in the pathogenesis of sepsis and endotoxemia. Monocyte chemoattractant protein (MCP)-1, a prototype of CC chemokines, is a potent chemoattractant and a regulatory mediator involved in a variety of inflammatory diseases. The objective of this study is to investigate the role of MCP-1, by using bindarit, a blocker of MCP-1 synthesis, in murine models of sepsis and endotoxemia. Treatment with bindarit both prophylactically and therapeutically significantly (P &lt; 0.05) reduced MCP-1 levels in the lungs and liver in both sepsis and endotoxemia. In addition, prophylactic and therapeutic treatment with bindarit significantly (P &lt; 0.05) protected mice against sepsis and endotoxemia, as evidenced by the attenuation in lung and liver myeloperoxidase (MPO) activity, an indicator of neutrophil recruitment. The protective effect of bindarit was further confirmed by histological examination of lung and liver sections. Treatment with bindarit reduced lung and liver injury as indicated by decreased thickening of alveolar and neutrophil infiltration in CLP-induced sepsis and LPS-induced endotoxemia. Considering these results, we propose that anti-MCP-1 strategies may be of potential therapeutic value in the treatment of sepsis and endotoxemia. © 2008 Elsevier B.V. All rights reserved.","author":[{"dropping-particle":"","family":"Ramnath","given":"Raina Devi","non-dropping-particle":"","parse-names":false,"suffix":""},{"dropping-particle":"","family":"Ng","given":"Siaw Wei","non-dropping-particle":"","parse-names":false,"suffix":""},{"dropping-particle":"","family":"Guglielmotti","given":"Angelo","non-dropping-particle":"","parse-names":false,"suffix":""},{"dropping-particle":"","family":"Bhatia","given":"Madhav","non-dropping-particle":"","parse-names":false,"suffix":""}],"container-title":"International Immunopharmacology","id":"ITEM-1","issue":"6","issued":{"date-parts":[["2008","6","1"]]},"page":"810-818","publisher":"Elsevier","title":"Role of MCP-1 in endotoxemia and sepsis","type":"article-journal","volume":"8"},"uris":["http://www.mendeley.com/documents/?uuid=b1f5b200-a4bb-3f21-ab1c-d302b644b622"]}],"mendeley":{"formattedCitation":"(130)","plainTextFormattedCitation":"(130)","previouslyFormattedCitation":"(130)"},"properties":{"noteIndex":0},"schema":"https://github.com/citation-style-language/schema/raw/master/csl-citation.json"}</w:instrText>
      </w:r>
      <w:r>
        <w:fldChar w:fldCharType="separate"/>
      </w:r>
      <w:r w:rsidR="00013FE6" w:rsidRPr="00013FE6">
        <w:rPr>
          <w:noProof/>
        </w:rPr>
        <w:t>(130)</w:t>
      </w:r>
      <w:r>
        <w:fldChar w:fldCharType="end"/>
      </w:r>
      <w:r w:rsidRPr="003B5A12">
        <w:t>.</w:t>
      </w:r>
      <w:r>
        <w:rPr>
          <w:rFonts w:ascii="Tahoma" w:hAnsi="Tahoma" w:cs="Tahoma"/>
          <w:color w:val="333333"/>
          <w:sz w:val="21"/>
          <w:szCs w:val="21"/>
          <w:shd w:val="clear" w:color="auto" w:fill="FFFFFF"/>
        </w:rPr>
        <w:t xml:space="preserve"> </w:t>
      </w:r>
    </w:p>
    <w:p w14:paraId="29C0AFEC" w14:textId="2C721622" w:rsidR="004D1BAE" w:rsidRDefault="004D1BAE" w:rsidP="004D1BAE">
      <w:r w:rsidRPr="003F6E72">
        <w:t>Yan ve ark. 17 sitokini değerlendirdikleri bir çalışmada IL-1β, IL-4, IL-6, IL-8</w:t>
      </w:r>
      <w:r w:rsidR="009F02C6">
        <w:t>, MCP-1 ve G-CSF’n</w:t>
      </w:r>
      <w:r>
        <w:t xml:space="preserve">in yüksekliğinin </w:t>
      </w:r>
      <w:r w:rsidRPr="003F6E72">
        <w:t>erken dönem mortalite ile ilişkili olduğunu belirtmişlerdir</w:t>
      </w:r>
      <w:r>
        <w:rPr>
          <w:rFonts w:ascii="Tahoma" w:hAnsi="Tahoma" w:cs="Tahoma"/>
          <w:color w:val="333333"/>
          <w:sz w:val="21"/>
          <w:szCs w:val="21"/>
          <w:shd w:val="clear" w:color="auto" w:fill="FFFFFF"/>
        </w:rPr>
        <w:t xml:space="preserve"> </w:t>
      </w:r>
      <w:r>
        <w:fldChar w:fldCharType="begin" w:fldLock="1"/>
      </w:r>
      <w:r>
        <w:instrText>ADDIN CSL_CITATION {"citationItems":[{"id":"ITEM-1","itemData":{"DOI":"10.3109/08830185.2014.889129","ISSN":"0883-0185","abstract":"Despite the progress made in the clinical management of sepsis, sepsis morbidity and mortality rates remain high. The inflammatory pathogenesis and organ injury leading to death from sepsis are not fully understood for vital organs, especially the liver. Only recently has the role of the liver in sepsis begun to be revealed. Pre-existing liver dysfunction is a risk factor for the progression of infection to sepsis. Liver dysfunction after sepsis is an independent risk factor for multiple organ dysfunction and sepsis-induced death. The liver works as a lymphoid organ in response to sepsis. Acting as a double-edged sword in sepsis, the liver-mediated immune response is responsible for clearing bacteria and toxins but also causes inflammation, immunosuppression, and organ damage. Attenuating liver injury and restoring liver function lowers morbidity and mortality rates in patients with sepsis. This review summarizes the central role of liver in the host immune response to sepsis and in clinical outcomes.","author":[{"dropping-particle":"","family":"Yan","given":"Jun","non-dropping-particle":"","parse-names":false,"suffix":""},{"dropping-particle":"","family":"Li","given":"Song Shulin","non-dropping-particle":"","parse-names":false,"suffix":""},{"dropping-particle":"","family":"Li","given":"Song Shulin","non-dropping-particle":"","parse-names":false,"suffix":""}],"container-title":"International Reviews of Immunology","id":"ITEM-1","issue":"6","issued":{"date-parts":[["2014","11","2"]]},"page":"498-510","publisher":"Informa Healthcare","title":"The Role of the Liver in Sepsis","type":"article-journal","volume":"33"},"uris":["http://www.mendeley.com/documents/?uuid=f23f5444-cc6d-4a9c-bb10-58eb305c6725"]}],"mendeley":{"formattedCitation":"(75)","plainTextFormattedCitation":"(75)","previouslyFormattedCitation":"(75)"},"properties":{"noteIndex":0},"schema":"https://github.com/citation-style-language/schema/raw/master/csl-citation.json"}</w:instrText>
      </w:r>
      <w:r>
        <w:fldChar w:fldCharType="separate"/>
      </w:r>
      <w:r w:rsidRPr="0085653B">
        <w:rPr>
          <w:noProof/>
        </w:rPr>
        <w:t>(75)</w:t>
      </w:r>
      <w:r>
        <w:fldChar w:fldCharType="end"/>
      </w:r>
      <w:r>
        <w:t>.</w:t>
      </w:r>
    </w:p>
    <w:p w14:paraId="6029BF55" w14:textId="5A8DC1FA" w:rsidR="004D1BAE" w:rsidRDefault="004D1BAE" w:rsidP="004D1BAE">
      <w:pPr>
        <w:rPr>
          <w:shd w:val="clear" w:color="auto" w:fill="FFFFFF"/>
        </w:rPr>
      </w:pPr>
      <w:r>
        <w:rPr>
          <w:shd w:val="clear" w:color="auto" w:fill="FFFFFF"/>
        </w:rPr>
        <w:t xml:space="preserve">Platz ve </w:t>
      </w:r>
      <w:r w:rsidR="003B1EAA">
        <w:rPr>
          <w:shd w:val="clear" w:color="auto" w:fill="FFFFFF"/>
        </w:rPr>
        <w:t>ark.</w:t>
      </w:r>
      <w:r>
        <w:rPr>
          <w:shd w:val="clear" w:color="auto" w:fill="FFFFFF"/>
        </w:rPr>
        <w:t xml:space="preserve"> yaptığı bir çalışmada ortalama IL-10 seviyeleri, ciddi enfeksiyonları olan hastalarda artmıştır. IFN-</w:t>
      </w:r>
      <w:r w:rsidRPr="009F5620">
        <w:t>γ</w:t>
      </w:r>
      <w:r>
        <w:rPr>
          <w:shd w:val="clear" w:color="auto" w:fill="FFFFFF"/>
        </w:rPr>
        <w:t>, ölümcül enfeksiyon sırasında önemli ölçüde artmıştır ve tüm kontrol gruplarında normal aralıkta kalmıştır. IFN-</w:t>
      </w:r>
      <w:r w:rsidRPr="00F75AC2">
        <w:t>γ</w:t>
      </w:r>
      <w:r w:rsidR="009F02C6">
        <w:t>’</w:t>
      </w:r>
      <w:r>
        <w:rPr>
          <w:shd w:val="clear" w:color="auto" w:fill="FFFFFF"/>
        </w:rPr>
        <w:t>ye benzer şekilde, IL-6</w:t>
      </w:r>
      <w:r w:rsidR="006D36C8">
        <w:rPr>
          <w:shd w:val="clear" w:color="auto" w:fill="FFFFFF"/>
        </w:rPr>
        <w:t>’</w:t>
      </w:r>
      <w:r>
        <w:rPr>
          <w:shd w:val="clear" w:color="auto" w:fill="FFFFFF"/>
        </w:rPr>
        <w:t xml:space="preserve">da ölümcül enfeksiyonun geç seyrinde artmıştır. IL-4'teki artış her iki olayda da sadece hastaların %50'sinde meydana gelmiştir </w:t>
      </w:r>
      <w:r>
        <w:rPr>
          <w:shd w:val="clear" w:color="auto" w:fill="FFFFFF"/>
        </w:rPr>
        <w:fldChar w:fldCharType="begin" w:fldLock="1"/>
      </w:r>
      <w:r w:rsidR="001C4787">
        <w:rPr>
          <w:shd w:val="clear" w:color="auto" w:fill="FFFFFF"/>
        </w:rPr>
        <w:instrText>ADDIN CSL_CITATION {"citationItems":[{"id":"ITEM-1","itemData":{"DOI":"10.1097/00007890-199611270-00011","ISSN":"00411337","abstract":"Despite improvements in immunosuppression, rejection occurs in 50% of liver transplant patients and may cause significant morbidity. The most frequent cause of death after liver transplantation is severe infection. Determination of the cytokine network may lead to earlier detection of patients at risk for severe rejection and infection. For this purpose, 81 patients with 85 liver transplants were monitored for cytokines and neopterin on a daily basis. During the first post-operative month, 28 patients (34.6%) developed acute rejection; 14 patients were successfully treated with methylprednisolone (steroid-sensitive rejection), while 14 patients required additional treatment with FK506 and OKT3 (steroid-resistant rejection). Ten patients developed severe infections, and 11 patients experienced asymptomatic cholangitis. Patients with an uneventful postoperative course (n=37) were the control group. One-year patient survival was 88.9%: 1 patient died because of chronic rejection and Pseudomonas urosepsis; a further 4 patients died of aspergillus pneumonia and bacterial sepsis. Soluble TNF- RII, sIL-2R-, and IL-10 levels were significantly elevated 3 days prior to or at the onset of acute steroid-resistant rejection (P≤0.01 versus steroid- sensitive rejection and on uneventful postoperative course). An increase in IL-8, neopterin, and sTNF-RII was indicative of severe infection 3 days prior to onset of infection. In this group of patients, a simultaneous increase in IL-10 indicated a lethal outcome of severe infection. During the second week of acute steroid-resistant rejection and lethal infection, a significant rise in IL-1β, IFN-γ, and IL-6 was observed (P≤0.01 versus control groups). The different patterns in neopterin- and cytokine-increase could differentiate between severe rejection and severe infection. Furthermore, the increase in these parameters indicated severe rejection-i.e., steroid resistance at the onset of acute rejection-which could prompt us to initiate rescue therapy immediately. The ability to detect patients at risk for severe or lethal infection may result in intensified infectious screening and more aggressive antiinfectious treatment. Therefore, routine monitoring of these parameters may lead to changes in therapeutic management of severe acute rejection and infection after liver transplantation.","author":[{"dropping-particle":"","family":"Platz","given":"Klaus Peter","non-dropping-particle":"","parse-names":false,"suffix":""},{"dropping-particle":"","family":"Mueller","given":"Andrea R.","non-dropping-particle":"","parse-names":false,"suffix":""},{"dropping-particle":"","family":"Rossaint","given":"Rolf","non-dropping-particle":"","parse-names":false,"suffix":""},{"dropping-particle":"","family":"Steinmüller","given":"Thomas","non-dropping-particle":"","parse-names":false,"suffix":""},{"dropping-particle":"","family":"Lemmens","given":"H. Peter","non-dropping-particle":"","parse-names":false,"suffix":""},{"dropping-particle":"","family":"Lobeck","given":"Hartmut","non-dropping-particle":"","parse-names":false,"suffix":""},{"dropping-particle":"","family":"Neuhaus","given":"Peter","non-dropping-particle":"","parse-names":false,"suffix":""}],"container-title":"Transplantation","id":"ITEM-1","issue":"10","issued":{"date-parts":[["1996","11","27"]]},"page":"1441-1450","publisher":"Lippincott Williams and Wilkins","title":"Cytokine pattern during rejection and infection after liver transplantation - Improvements in postoperative monitoring?","type":"article-journal","volume":"62"},"uris":["http://www.mendeley.com/documents/?uuid=fb644dfb-71ba-3567-a8d3-d703ee3567fb"]}],"mendeley":{"formattedCitation":"(118)","plainTextFormattedCitation":"(118)","previouslyFormattedCitation":"(118)"},"properties":{"noteIndex":0},"schema":"https://github.com/citation-style-language/schema/raw/master/csl-citation.json"}</w:instrText>
      </w:r>
      <w:r>
        <w:rPr>
          <w:shd w:val="clear" w:color="auto" w:fill="FFFFFF"/>
        </w:rPr>
        <w:fldChar w:fldCharType="separate"/>
      </w:r>
      <w:r w:rsidR="00013FE6" w:rsidRPr="00013FE6">
        <w:rPr>
          <w:noProof/>
          <w:shd w:val="clear" w:color="auto" w:fill="FFFFFF"/>
        </w:rPr>
        <w:t>(118)</w:t>
      </w:r>
      <w:r>
        <w:rPr>
          <w:shd w:val="clear" w:color="auto" w:fill="FFFFFF"/>
        </w:rPr>
        <w:fldChar w:fldCharType="end"/>
      </w:r>
      <w:bookmarkStart w:id="582" w:name="_Toc46495224"/>
      <w:r w:rsidR="002E7710">
        <w:t xml:space="preserve">. Yaptığımız </w:t>
      </w:r>
      <w:r w:rsidR="00B21360">
        <w:t>çalışmada</w:t>
      </w:r>
      <w:r w:rsidR="002E7710">
        <w:t>ki</w:t>
      </w:r>
      <w:r w:rsidR="00B21360">
        <w:t xml:space="preserve"> mortalite gelişen </w:t>
      </w:r>
      <w:r w:rsidR="00B21360" w:rsidRPr="00FA28BF">
        <w:t xml:space="preserve">grupta; IL-4, IL-6, IL-10 ve sHLA-G, </w:t>
      </w:r>
      <w:r w:rsidR="002E7710">
        <w:t xml:space="preserve">INR, </w:t>
      </w:r>
      <w:r w:rsidR="00B21360" w:rsidRPr="00FA28BF">
        <w:t>AST, ALT, LDH, amonyak, laktat düzeyleri daha yüksek olmasına rağmen istatistiksel olarak anlamlı değildi</w:t>
      </w:r>
      <w:r w:rsidR="002E7710">
        <w:t xml:space="preserve"> ancak </w:t>
      </w:r>
      <w:bookmarkEnd w:id="582"/>
      <w:r w:rsidR="002E7710">
        <w:t>b</w:t>
      </w:r>
      <w:r w:rsidR="002E7710" w:rsidRPr="00FA28BF">
        <w:t>ilirübin</w:t>
      </w:r>
      <w:r w:rsidR="002E7710">
        <w:t xml:space="preserve"> ve </w:t>
      </w:r>
      <w:r w:rsidR="002E7710" w:rsidRPr="00FA28BF">
        <w:t>PT</w:t>
      </w:r>
      <w:r w:rsidR="006D36C8">
        <w:t>Z</w:t>
      </w:r>
      <w:r w:rsidR="002E7710">
        <w:t xml:space="preserve"> seviyeleri anlamlı olarak yüksekti.</w:t>
      </w:r>
    </w:p>
    <w:p w14:paraId="3C9E0E79" w14:textId="566A505A" w:rsidR="004D1BAE" w:rsidRPr="007C56E8" w:rsidRDefault="004D1BAE" w:rsidP="004D1BAE">
      <w:pPr>
        <w:rPr>
          <w:highlight w:val="yellow"/>
        </w:rPr>
      </w:pPr>
      <w:r w:rsidRPr="007C56E8">
        <w:t>Sitokinler</w:t>
      </w:r>
      <w:r w:rsidR="00B21360">
        <w:t>in salınımı</w:t>
      </w:r>
      <w:r w:rsidRPr="007C56E8">
        <w:t xml:space="preserve"> kaskad şeklinde </w:t>
      </w:r>
      <w:r w:rsidR="00B21360">
        <w:t>olmaktadır</w:t>
      </w:r>
      <w:r w:rsidRPr="007C56E8">
        <w:t xml:space="preserve">. </w:t>
      </w:r>
      <w:r w:rsidR="002E7710">
        <w:t>Enfeksiyon tablosundaki hastada f</w:t>
      </w:r>
      <w:r w:rsidRPr="007C56E8">
        <w:t>arklı zamanlarda</w:t>
      </w:r>
      <w:r w:rsidR="002E7710">
        <w:t xml:space="preserve"> alınan kan </w:t>
      </w:r>
      <w:r w:rsidR="000A36FC">
        <w:t xml:space="preserve">örneklerinde </w:t>
      </w:r>
      <w:r w:rsidR="000A36FC" w:rsidRPr="007C56E8">
        <w:t>farklı</w:t>
      </w:r>
      <w:r w:rsidRPr="007C56E8">
        <w:t xml:space="preserve"> düzeylerde bulunabilirler. </w:t>
      </w:r>
      <w:r w:rsidRPr="00FA28BF">
        <w:t>Sitokinlerin seviyesi inflamasyonun fazına göre değiş</w:t>
      </w:r>
      <w:r w:rsidR="002E7710">
        <w:t>mekted</w:t>
      </w:r>
      <w:r w:rsidRPr="00FA28BF">
        <w:t xml:space="preserve">ir. </w:t>
      </w:r>
      <w:r>
        <w:t xml:space="preserve">Çalışmamızdaki </w:t>
      </w:r>
      <w:r>
        <w:lastRenderedPageBreak/>
        <w:t>h</w:t>
      </w:r>
      <w:r w:rsidRPr="00FA28BF">
        <w:t>astalar</w:t>
      </w:r>
      <w:r w:rsidR="002E7710">
        <w:t xml:space="preserve">ın </w:t>
      </w:r>
      <w:r w:rsidR="000A36FC">
        <w:t xml:space="preserve">hepsi </w:t>
      </w:r>
      <w:r w:rsidR="000A36FC" w:rsidRPr="00FA28BF">
        <w:t>aynı</w:t>
      </w:r>
      <w:r w:rsidRPr="00FA28BF">
        <w:t xml:space="preserve"> sür</w:t>
      </w:r>
      <w:r>
        <w:t>eç içinde operasyona alınmadı ve operasyona karar verilene kadar her hastada farklı miktarda bekleme süresi vardı.</w:t>
      </w:r>
      <w:r w:rsidR="002E7710">
        <w:t xml:space="preserve"> </w:t>
      </w:r>
      <w:r w:rsidRPr="00FA28BF">
        <w:t>Bu durum sitokinlerin seviyelerindeki farklılıkları açıkla</w:t>
      </w:r>
      <w:r>
        <w:t>yabilir.</w:t>
      </w:r>
    </w:p>
    <w:p w14:paraId="169E15B2" w14:textId="257D57A1" w:rsidR="004D1BAE" w:rsidRDefault="004D1BAE" w:rsidP="004D1BAE">
      <w:pPr>
        <w:rPr>
          <w:rStyle w:val="Balk3Char"/>
          <w:rFonts w:cs="Times New Roman"/>
          <w:b w:val="0"/>
          <w:color w:val="FF0000"/>
        </w:rPr>
      </w:pPr>
      <w:bookmarkStart w:id="583" w:name="_Toc46154360"/>
      <w:bookmarkStart w:id="584" w:name="_Toc46495223"/>
      <w:r w:rsidRPr="00FA28BF">
        <w:t>Hastalarımızda biyokimyasal parametrelerin m</w:t>
      </w:r>
      <w:r>
        <w:t xml:space="preserve">ortalite ile ilişkisi incelendiğinde </w:t>
      </w:r>
      <w:r w:rsidRPr="00FA28BF">
        <w:t>PTZ ve bilirübin seviyeleri</w:t>
      </w:r>
      <w:r>
        <w:rPr>
          <w:rStyle w:val="Balk3Char"/>
          <w:b w:val="0"/>
          <w:color w:val="FF0000"/>
        </w:rPr>
        <w:t xml:space="preserve"> </w:t>
      </w:r>
      <w:r w:rsidRPr="00FA28BF">
        <w:t>ölen grupta anlamlı olarak daha yüksekti (p=0.009 ve p=0.006), fibrinojen ise ölen grupta anlamlı olarak düşüktü (p=0.001).</w:t>
      </w:r>
      <w:bookmarkEnd w:id="583"/>
      <w:bookmarkEnd w:id="584"/>
      <w:r>
        <w:rPr>
          <w:rStyle w:val="Balk3Char"/>
          <w:b w:val="0"/>
          <w:color w:val="FF0000"/>
        </w:rPr>
        <w:t xml:space="preserve"> </w:t>
      </w:r>
      <w:r w:rsidRPr="008529F6">
        <w:t>Bu durum hepatik yetmezlikle ilişkilendirilebilir.</w:t>
      </w:r>
      <w:r w:rsidRPr="008529F6">
        <w:rPr>
          <w:rStyle w:val="Balk3Char"/>
          <w:rFonts w:cs="Times New Roman"/>
          <w:b w:val="0"/>
          <w:color w:val="FF0000"/>
        </w:rPr>
        <w:t xml:space="preserve"> </w:t>
      </w:r>
    </w:p>
    <w:p w14:paraId="7495A45B" w14:textId="64FF106B" w:rsidR="004D1BAE" w:rsidRPr="00FA28BF" w:rsidRDefault="004D1BAE" w:rsidP="004D1BAE">
      <w:bookmarkStart w:id="585" w:name="_Toc46495225"/>
      <w:r w:rsidRPr="00FA28BF">
        <w:t>TREM-1, TGF-β, CRP, prokalsitonin, albümin, GGT, ALP, WBC, lenfosit, nötrofil, hematokrit, hemoglobin, , platelet seviyeleri yaşayan hastalarda daha yüksek bulunmasına karşın p değeri anlamlı değildi</w:t>
      </w:r>
      <w:bookmarkStart w:id="586" w:name="_Toc46154363"/>
      <w:r w:rsidRPr="00FA28BF">
        <w:t>. TNF-α, IFN-</w:t>
      </w:r>
      <w:bookmarkEnd w:id="585"/>
      <w:bookmarkEnd w:id="586"/>
      <w:r w:rsidRPr="00FA28BF">
        <w:t xml:space="preserve">γ, IL-17 tüm gruplarda benzer </w:t>
      </w:r>
      <w:r w:rsidR="000A36FC" w:rsidRPr="00FA28BF">
        <w:t>seviyelerde</w:t>
      </w:r>
      <w:r w:rsidRPr="00FA28BF">
        <w:t xml:space="preserve"> bulundu.</w:t>
      </w:r>
    </w:p>
    <w:p w14:paraId="00594259" w14:textId="0769C1BC" w:rsidR="004D641E" w:rsidRPr="00FA28BF" w:rsidRDefault="004D641E" w:rsidP="004D641E">
      <w:r w:rsidRPr="00D259F9">
        <w:t>Kumar</w:t>
      </w:r>
      <w:r>
        <w:t xml:space="preserve"> ve </w:t>
      </w:r>
      <w:r w:rsidR="003B1EAA">
        <w:t>ark.</w:t>
      </w:r>
      <w:r>
        <w:t xml:space="preserve"> preoperatif abdominal sepsisle ilişkili prognostik faktörleri inceledikleri bir çalışmada, </w:t>
      </w:r>
      <w:r>
        <w:rPr>
          <w:color w:val="000000"/>
          <w:shd w:val="clear" w:color="auto" w:fill="FFFFFF"/>
        </w:rPr>
        <w:t xml:space="preserve">albümin ve hematokrit değerlerinin düşük olduğu durumda sistemik hipotansiyon ve sepsis riskinin arttığını </w:t>
      </w:r>
      <w:r>
        <w:t xml:space="preserve">bildirmişlerdir </w:t>
      </w:r>
      <w:r>
        <w:fldChar w:fldCharType="begin" w:fldLock="1"/>
      </w:r>
      <w:r w:rsidR="002F1C9D">
        <w:instrText>ADDIN CSL_CITATION {"citationItems":[{"id":"ITEM-1","itemData":{"DOI":"10.4103/0259-1162.164678","ISSN":"0259-1162","abstract":"CONTEXT Intra-abdominal sepsis following laparotomy for acute abdomen remains still a challenging condition. The understanding of various perioperative risk factors by anesthesiologists are crucial in optimum management these patients. AIMS The objective of this study is to assess the perioperative risk factors, which predicts the outcome of treatment. SETTINGS AND DESIGN This retrospective observational study of 603 patients who underwent Laparotomies between March 2012 and March 2015 at our University Medical College. Of 603 patients, 52 consecutive patients with intra-abdomen sepsis who underwent surgical procedures and admitted in Intensive Care Unit (ICU) were selected and analyzed for prognostic risk factors in relation to severity of the disease. SUBJECTS AND METHODS 52 consecutive patients who developed intra-abdominal sepsis following laparotomy was allocated one of two groups; Group Sepsis, patients with peritonitis without systemic hypotension (mean arterial pressure [MAP] &gt;60 mm of Hg); and Group septic shock, patients with peritonitis with systemic hypotension (mean arterial pressure [MAP] &lt;60 mm of Hg) and patients were analyzed for prognostic risk factors. STATISTICAL ANALYSIS USED Categorical variables were analyzed by using Fisher's exact (two-tail) test and continuous variable were analyzed by using Mann-Whitney (two-tail) U-test. RESULTS Out of 603 patients who underwent laparotomy 52 patients developed an intra-abdominal septic complication. Of these 52 cases studied 28 patients developed septic shock and required a longer duration of admission in ICU and more inotropic support. Preoperative albumin and hematocrit level were significantly low in septic shock patients as compared to the patients with sepsis without systemic hypotension. PaCO2: FiO2 was also significantly low in these patients. CONCLUSIONS Preoperative low hematocrit, low albumin level, and delay in laparotomy more than 72 h were also associated with adverse outcome in the patients with intra-abdominal sepsis. Clinicians should maintain equipoise on this topic pending prospective randomized clinical trials.","author":[{"dropping-particle":"","family":"Arun Kumar","given":"RV","non-dropping-particle":"","parse-names":false,"suffix":""},{"dropping-particle":"","family":"Channabasappa","given":"ShivakumarM","non-dropping-particle":"","parse-names":false,"suffix":""}],"container-title":"Anesthesia: Essays and Researches","id":"ITEM-1","issue":"1","issued":{"date-parts":[["2016"]]},"page":"50","publisher":"Medknow","title":"A retrospective cohort study of perioperative prognostic factors associated with intra-abdominal sepsis","type":"article-journal","volume":"10"},"uris":["http://www.mendeley.com/documents/?uuid=7914ef6b-73c3-34ee-bd6d-a4636854b924"]}],"mendeley":{"formattedCitation":"(122)","plainTextFormattedCitation":"(122)","previouslyFormattedCitation":"(122)"},"properties":{"noteIndex":0},"schema":"https://github.com/citation-style-language/schema/raw/master/csl-citation.json"}</w:instrText>
      </w:r>
      <w:r>
        <w:fldChar w:fldCharType="separate"/>
      </w:r>
      <w:r w:rsidR="0067471B" w:rsidRPr="0067471B">
        <w:rPr>
          <w:noProof/>
        </w:rPr>
        <w:t>(122)</w:t>
      </w:r>
      <w:r>
        <w:fldChar w:fldCharType="end"/>
      </w:r>
      <w:r>
        <w:t>.</w:t>
      </w:r>
      <w:r w:rsidRPr="00824DC4">
        <w:rPr>
          <w:color w:val="000000"/>
          <w:shd w:val="clear" w:color="auto" w:fill="FFFFFF"/>
        </w:rPr>
        <w:t xml:space="preserve"> </w:t>
      </w:r>
      <w:r w:rsidRPr="00FA28BF">
        <w:t>Hastalarımızda hematokrit değeri</w:t>
      </w:r>
      <w:r>
        <w:t>nin</w:t>
      </w:r>
      <w:r w:rsidR="001F7D15">
        <w:t xml:space="preserve"> 24’</w:t>
      </w:r>
      <w:r w:rsidRPr="00FA28BF">
        <w:t xml:space="preserve">ün altında </w:t>
      </w:r>
      <w:r>
        <w:t>olması,</w:t>
      </w:r>
      <w:r w:rsidRPr="00FA28BF">
        <w:t xml:space="preserve"> mortaliteyi 6.8 kat arttıran bağımsız risk faktörü olarak bulundu.</w:t>
      </w:r>
    </w:p>
    <w:p w14:paraId="56974000" w14:textId="10B2B0E1" w:rsidR="005724D0" w:rsidRPr="00255AEF" w:rsidRDefault="005E6A39" w:rsidP="00577AF4">
      <w:pPr>
        <w:rPr>
          <w:shd w:val="clear" w:color="auto" w:fill="FFFFFF"/>
        </w:rPr>
      </w:pPr>
      <w:r>
        <w:rPr>
          <w:shd w:val="clear" w:color="auto" w:fill="FFFFFF"/>
        </w:rPr>
        <w:t xml:space="preserve">Platz ve </w:t>
      </w:r>
      <w:r w:rsidR="003B1EAA">
        <w:rPr>
          <w:shd w:val="clear" w:color="auto" w:fill="FFFFFF"/>
        </w:rPr>
        <w:t>ark.</w:t>
      </w:r>
      <w:r>
        <w:rPr>
          <w:shd w:val="clear" w:color="auto" w:fill="FFFFFF"/>
        </w:rPr>
        <w:t xml:space="preserve"> karaciğer nakli sonrasında enfeksiyon sitokin ilişkisini inceledikleri bir </w:t>
      </w:r>
      <w:r w:rsidR="005724D0">
        <w:rPr>
          <w:shd w:val="clear" w:color="auto" w:fill="FFFFFF"/>
        </w:rPr>
        <w:t>çalışmada ciddi enfeksiyonu olan kolanjitli hastalarla, postoperatif dönemde sorunsuz seyreden hastaların ortalama CRP düzeyleri kıyaslamasında anlamlı bir artış gözlen</w:t>
      </w:r>
      <w:r>
        <w:rPr>
          <w:shd w:val="clear" w:color="auto" w:fill="FFFFFF"/>
        </w:rPr>
        <w:t>miştir</w:t>
      </w:r>
      <w:r w:rsidR="005724D0">
        <w:rPr>
          <w:shd w:val="clear" w:color="auto" w:fill="FFFFFF"/>
        </w:rPr>
        <w:t xml:space="preserve">. Şiddetli enfeksiyonlar nedeniyle ölen hastalarda trombosit sayısında ve </w:t>
      </w:r>
      <w:r w:rsidR="001F7D15">
        <w:rPr>
          <w:shd w:val="clear" w:color="auto" w:fill="FFFFFF"/>
        </w:rPr>
        <w:t>PTZ’de</w:t>
      </w:r>
      <w:r w:rsidR="005724D0">
        <w:rPr>
          <w:shd w:val="clear" w:color="auto" w:fill="FFFFFF"/>
        </w:rPr>
        <w:t xml:space="preserve"> önemli bir azalma geliş</w:t>
      </w:r>
      <w:r>
        <w:rPr>
          <w:shd w:val="clear" w:color="auto" w:fill="FFFFFF"/>
        </w:rPr>
        <w:t>miş</w:t>
      </w:r>
      <w:r w:rsidR="005724D0">
        <w:rPr>
          <w:shd w:val="clear" w:color="auto" w:fill="FFFFFF"/>
        </w:rPr>
        <w:t>ti</w:t>
      </w:r>
      <w:r>
        <w:rPr>
          <w:shd w:val="clear" w:color="auto" w:fill="FFFFFF"/>
        </w:rPr>
        <w:t>r</w:t>
      </w:r>
      <w:r w:rsidR="005724D0">
        <w:rPr>
          <w:shd w:val="clear" w:color="auto" w:fill="FFFFFF"/>
        </w:rPr>
        <w:t xml:space="preserve"> </w:t>
      </w:r>
      <w:r w:rsidR="005724D0">
        <w:rPr>
          <w:shd w:val="clear" w:color="auto" w:fill="FFFFFF"/>
        </w:rPr>
        <w:fldChar w:fldCharType="begin" w:fldLock="1"/>
      </w:r>
      <w:r w:rsidR="001C4787">
        <w:rPr>
          <w:shd w:val="clear" w:color="auto" w:fill="FFFFFF"/>
        </w:rPr>
        <w:instrText>ADDIN CSL_CITATION {"citationItems":[{"id":"ITEM-1","itemData":{"DOI":"10.1097/00007890-199611270-00011","ISSN":"00411337","abstract":"Despite improvements in immunosuppression, rejection occurs in 50% of liver transplant patients and may cause significant morbidity. The most frequent cause of death after liver transplantation is severe infection. Determination of the cytokine network may lead to earlier detection of patients at risk for severe rejection and infection. For this purpose, 81 patients with 85 liver transplants were monitored for cytokines and neopterin on a daily basis. During the first post-operative month, 28 patients (34.6%) developed acute rejection; 14 patients were successfully treated with methylprednisolone (steroid-sensitive rejection), while 14 patients required additional treatment with FK506 and OKT3 (steroid-resistant rejection). Ten patients developed severe infections, and 11 patients experienced asymptomatic cholangitis. Patients with an uneventful postoperative course (n=37) were the control group. One-year patient survival was 88.9%: 1 patient died because of chronic rejection and Pseudomonas urosepsis; a further 4 patients died of aspergillus pneumonia and bacterial sepsis. Soluble TNF- RII, sIL-2R-, and IL-10 levels were significantly elevated 3 days prior to or at the onset of acute steroid-resistant rejection (P≤0.01 versus steroid- sensitive rejection and on uneventful postoperative course). An increase in IL-8, neopterin, and sTNF-RII was indicative of severe infection 3 days prior to onset of infection. In this group of patients, a simultaneous increase in IL-10 indicated a lethal outcome of severe infection. During the second week of acute steroid-resistant rejection and lethal infection, a significant rise in IL-1β, IFN-γ, and IL-6 was observed (P≤0.01 versus control groups). The different patterns in neopterin- and cytokine-increase could differentiate between severe rejection and severe infection. Furthermore, the increase in these parameters indicated severe rejection-i.e., steroid resistance at the onset of acute rejection-which could prompt us to initiate rescue therapy immediately. The ability to detect patients at risk for severe or lethal infection may result in intensified infectious screening and more aggressive antiinfectious treatment. Therefore, routine monitoring of these parameters may lead to changes in therapeutic management of severe acute rejection and infection after liver transplantation.","author":[{"dropping-particle":"","family":"Platz","given":"Klaus Peter","non-dropping-particle":"","parse-names":false,"suffix":""},{"dropping-particle":"","family":"Mueller","given":"Andrea R.","non-dropping-particle":"","parse-names":false,"suffix":""},{"dropping-particle":"","family":"Rossaint","given":"Rolf","non-dropping-particle":"","parse-names":false,"suffix":""},{"dropping-particle":"","family":"Steinmüller","given":"Thomas","non-dropping-particle":"","parse-names":false,"suffix":""},{"dropping-particle":"","family":"Lemmens","given":"H. Peter","non-dropping-particle":"","parse-names":false,"suffix":""},{"dropping-particle":"","family":"Lobeck","given":"Hartmut","non-dropping-particle":"","parse-names":false,"suffix":""},{"dropping-particle":"","family":"Neuhaus","given":"Peter","non-dropping-particle":"","parse-names":false,"suffix":""}],"container-title":"Transplantation","id":"ITEM-1","issue":"10","issued":{"date-parts":[["1996","11","27"]]},"page":"1441-1450","publisher":"Lippincott Williams and Wilkins","title":"Cytokine pattern during rejection and infection after liver transplantation - Improvements in postoperative monitoring?","type":"article-journal","volume":"62"},"uris":["http://www.mendeley.com/documents/?uuid=fb644dfb-71ba-3567-a8d3-d703ee3567fb"]}],"mendeley":{"formattedCitation":"(118)","plainTextFormattedCitation":"(118)","previouslyFormattedCitation":"(118)"},"properties":{"noteIndex":0},"schema":"https://github.com/citation-style-language/schema/raw/master/csl-citation.json"}</w:instrText>
      </w:r>
      <w:r w:rsidR="005724D0">
        <w:rPr>
          <w:shd w:val="clear" w:color="auto" w:fill="FFFFFF"/>
        </w:rPr>
        <w:fldChar w:fldCharType="separate"/>
      </w:r>
      <w:r w:rsidR="00013FE6" w:rsidRPr="00013FE6">
        <w:rPr>
          <w:noProof/>
          <w:shd w:val="clear" w:color="auto" w:fill="FFFFFF"/>
        </w:rPr>
        <w:t>(118)</w:t>
      </w:r>
      <w:r w:rsidR="005724D0">
        <w:rPr>
          <w:shd w:val="clear" w:color="auto" w:fill="FFFFFF"/>
        </w:rPr>
        <w:fldChar w:fldCharType="end"/>
      </w:r>
      <w:r w:rsidR="005724D0">
        <w:rPr>
          <w:shd w:val="clear" w:color="auto" w:fill="FFFFFF"/>
        </w:rPr>
        <w:t>.</w:t>
      </w:r>
      <w:r w:rsidR="00577AF4">
        <w:rPr>
          <w:shd w:val="clear" w:color="auto" w:fill="FFFFFF"/>
        </w:rPr>
        <w:t xml:space="preserve"> Yaptığımız bu ç</w:t>
      </w:r>
      <w:r w:rsidR="00577AF4">
        <w:t>alışmad</w:t>
      </w:r>
      <w:r w:rsidR="005724D0">
        <w:t>a</w:t>
      </w:r>
      <w:r w:rsidR="00577AF4">
        <w:t>,</w:t>
      </w:r>
      <w:r w:rsidR="005724D0">
        <w:t xml:space="preserve"> mortalite gelişen ve yaşayan hastalarda</w:t>
      </w:r>
      <w:r w:rsidR="00577AF4">
        <w:t>,</w:t>
      </w:r>
      <w:r w:rsidR="005724D0">
        <w:t xml:space="preserve"> p</w:t>
      </w:r>
      <w:r w:rsidR="005724D0" w:rsidRPr="00255AEF">
        <w:rPr>
          <w:shd w:val="clear" w:color="auto" w:fill="FFFFFF"/>
        </w:rPr>
        <w:t>latelet değer</w:t>
      </w:r>
      <w:r w:rsidR="00577AF4">
        <w:rPr>
          <w:shd w:val="clear" w:color="auto" w:fill="FFFFFF"/>
        </w:rPr>
        <w:t>leri</w:t>
      </w:r>
      <w:r w:rsidR="005724D0" w:rsidRPr="00255AEF">
        <w:rPr>
          <w:shd w:val="clear" w:color="auto" w:fill="FFFFFF"/>
        </w:rPr>
        <w:t xml:space="preserve"> </w:t>
      </w:r>
      <w:r w:rsidR="005724D0">
        <w:rPr>
          <w:shd w:val="clear" w:color="auto" w:fill="FFFFFF"/>
        </w:rPr>
        <w:t xml:space="preserve">normal sınırlara göre düşüktü ancak gruplar arasında </w:t>
      </w:r>
      <w:r w:rsidR="00577AF4">
        <w:rPr>
          <w:shd w:val="clear" w:color="auto" w:fill="FFFFFF"/>
        </w:rPr>
        <w:t xml:space="preserve">istatistiksel olarak </w:t>
      </w:r>
      <w:r w:rsidR="005724D0">
        <w:rPr>
          <w:shd w:val="clear" w:color="auto" w:fill="FFFFFF"/>
        </w:rPr>
        <w:t xml:space="preserve">anlamlı farklılık görülmedi (p=0.14). </w:t>
      </w:r>
      <w:r w:rsidR="00577AF4">
        <w:rPr>
          <w:shd w:val="clear" w:color="auto" w:fill="FFFFFF"/>
        </w:rPr>
        <w:t>Bizim elde ettiğimiz verilerde PTZ değeri yukarda</w:t>
      </w:r>
      <w:r w:rsidR="00794B7D">
        <w:rPr>
          <w:shd w:val="clear" w:color="auto" w:fill="FFFFFF"/>
        </w:rPr>
        <w:t>ki literatürün aksine uzamış</w:t>
      </w:r>
      <w:r w:rsidR="001F7D15">
        <w:rPr>
          <w:shd w:val="clear" w:color="auto" w:fill="FFFFFF"/>
        </w:rPr>
        <w:t>tı.</w:t>
      </w:r>
      <w:r w:rsidR="00794B7D">
        <w:rPr>
          <w:shd w:val="clear" w:color="auto" w:fill="FFFFFF"/>
        </w:rPr>
        <w:t xml:space="preserve"> PTZ değerleri </w:t>
      </w:r>
      <w:r w:rsidR="00577AF4">
        <w:rPr>
          <w:shd w:val="clear" w:color="auto" w:fill="FFFFFF"/>
        </w:rPr>
        <w:t>mortalite gelişen</w:t>
      </w:r>
      <w:r w:rsidR="005724D0">
        <w:rPr>
          <w:shd w:val="clear" w:color="auto" w:fill="FFFFFF"/>
        </w:rPr>
        <w:t xml:space="preserve"> gr</w:t>
      </w:r>
      <w:r w:rsidR="00577AF4">
        <w:rPr>
          <w:shd w:val="clear" w:color="auto" w:fill="FFFFFF"/>
        </w:rPr>
        <w:t xml:space="preserve">upta daha yüksek tespit edildi ve </w:t>
      </w:r>
      <w:r w:rsidR="005724D0">
        <w:rPr>
          <w:shd w:val="clear" w:color="auto" w:fill="FFFFFF"/>
        </w:rPr>
        <w:t xml:space="preserve">istatistiksel olarak anlamlı </w:t>
      </w:r>
      <w:r w:rsidR="00577AF4">
        <w:rPr>
          <w:shd w:val="clear" w:color="auto" w:fill="FFFFFF"/>
        </w:rPr>
        <w:t xml:space="preserve">görüldü </w:t>
      </w:r>
      <w:r w:rsidR="005724D0">
        <w:rPr>
          <w:shd w:val="clear" w:color="auto" w:fill="FFFFFF"/>
        </w:rPr>
        <w:t xml:space="preserve">(p=0.009). </w:t>
      </w:r>
    </w:p>
    <w:p w14:paraId="4F1B3B97" w14:textId="39F89D28" w:rsidR="002E3AB9" w:rsidRPr="005A1E29" w:rsidRDefault="001F7D15" w:rsidP="002E3AB9">
      <w:r>
        <w:t>Kadın-</w:t>
      </w:r>
      <w:r w:rsidR="002E3AB9">
        <w:t xml:space="preserve">erkek arasında yaş dağılımı benzerdi. Erkeklerde daha fazla primer non-fonksiyon görüldü. HAT ve perforasyon erkeklerde çocuklara daha </w:t>
      </w:r>
      <w:r w:rsidR="000A36FC">
        <w:t>sık görülmektedir</w:t>
      </w:r>
      <w:r w:rsidR="002E3AB9">
        <w:t xml:space="preserve">.  Erkek gruptaki hastalar daha çok çocuk yaşta idi ve çocuklarda nakile bağlı iskemi, perforasyon daha sık görülür. Perforasyonun sebebi çocuk yaş olması idi </w:t>
      </w:r>
      <w:r w:rsidR="002E3AB9">
        <w:fldChar w:fldCharType="begin" w:fldLock="1"/>
      </w:r>
      <w:r w:rsidR="001C4787">
        <w:instrText>ADDIN CSL_CITATION {"citationItems":[{"id":"ITEM-1","itemData":{"DOI":"10.5223/pghn.2013.16.4.207","ISSN":"22348840","abstract":"Long term outcomes after liver transplantation are major determinants of quality of life and of the value of this heroic treatment. As short term outcomes are excellent, our community is turning to take a harder look at long term outcomes. The purpose of this paper is to review these outcomes, and highlight proposed treatments, as well as pressing topics needing to be studied. A systemic review of the English literature was carried in PubMed, covering all papers addressing long term outcomes in pediatric liver transplant from 2000-2013. Late outcomes after pediatric liver transplant affect the liver graft in the form of chronic liver dysfunction. The causes include rejection particularly humoral rejection, but also de novo autoimmune hepatitis, and recurrent disease. The metabolic syndrome is a major factor in long term cardiovascular complication risk. Secondary infections, kidney dysfunction and malignancy remain a reality of those patients. There is growing evidence of late cognitive and executive function delays affecting daily life productivity as well as likely adherence. Finally, despite a good health status, quality of life measures are comparable to those of children with chronic diseases. Long term outcomes are the new frontier in pediatric liver transplantation. Much is needed to improve graft survival, but also to avoid systemic morbidities from long term immunosuppression. Quality of life is a new inclusive measure that will require interventions and innovative approaches respectful not only on the patients but also of their social circle.","author":[{"dropping-particle":"","family":"Yazigi","given":"Nada A.","non-dropping-particle":"","parse-names":false,"suffix":""}],"container-title":"Pediatric Gastroenterology, Hepatology and Nutrition","id":"ITEM-1","issue":"4","issued":{"date-parts":[["2013","12","1"]]},"page":"207-218","publisher":"Korean Society of Pediartic Gastroenterology, Hepatology and Nutrition","title":"Long term outcomes after pediatric liver transplantation","type":"article","volume":"16"},"uris":["http://www.mendeley.com/documents/?uuid=b913985d-ecdb-3eca-a8f7-9d21ea192f0f"]},{"id":"ITEM-2","itemData":{"DOI":"10.1111/j.1399-3046.2007.00829.x","ISSN":"13973142","abstract":"Bowel perforation is one of the causes of mortality after pediatric liver transplantation. The aim of this study was to evaluate the incidence, risk factors, clinical presentations, and outcomes of bowel perforation in pediatric liver recipients. This is a retrospective analysis of all pediatric patients who underwent liver transplantation at a single liver transplant center in Iran between 1999 and 2006. During this period 72 liver transplantations were performed in children &lt;18 yr. Twenty-two children underwent 33 re-explorations after liver transplantation. Five bowel perforations occurred in four children (incidence, 6.9%). One patient required two re-explorations. The median time between liver transplantation and the diagnosis of the bowel perforation was seven days. All patients had abdominal distention before re-exploration. The sites of perforation were jejunum (n = 3) and ileum (n = 2), and simple repair was performed in all cases. Three children had a history of prior Kasai operation. One of them received high dose of methylprednisolone before bowel perforation. Two children expired after bowel perforation (mortality rate, 50%). Bowel perforation is relatively frequent after pediatric liver transplantation. Among risk factors, prior Kasai operation may have a role. We observed that abdominal distention is a sign of bowel perforation and a high index of suspicion is required for rapidly diagnosis of this complication. The outcome of bowel perforation is poor and its mortality is high. Further studies are needed to establish real risk factors for this complication. © 2007 Blackwell Munksgaard.","author":[{"dropping-particle":"","family":"Dehghani","given":"Seyed Mohsen","non-dropping-particle":"","parse-names":false,"suffix":""},{"dropping-particle":"","family":"Nikeghbalian","given":"Saman","non-dropping-particle":"","parse-names":false,"suffix":""},{"dropping-particle":"","family":"Kazemi","given":"Koorosh","non-dropping-particle":"","parse-names":false,"suffix":""},{"dropping-particle":"","family":"Dehghani","given":"Masood","non-dropping-particle":"","parse-names":false,"suffix":""},{"dropping-particle":"","family":"Gholami","given":"Siavash","non-dropping-particle":"","parse-names":false,"suffix":""},{"dropping-particle":"","family":"Bahador","given":"Ali","non-dropping-particle":"","parse-names":false,"suffix":""},{"dropping-particle":"","family":"Salahi","given":"Heshmatollah","non-dropping-particle":"","parse-names":false,"suffix":""},{"dropping-particle":"","family":"Malek-Hosseini","given":"Seyed Ali","non-dropping-particle":"","parse-names":false,"suffix":""}],"container-title":"Pediatric Transplantation","id":"ITEM-2","issue":"2","issued":{"date-parts":[["2008","3","1"]]},"page":"146-149","publisher":"John Wiley &amp; Sons, Ltd","title":"Outcome of bowel perforation after pediatric liver transplantation","type":"article-journal","volume":"12"},"uris":["http://www.mendeley.com/documents/?uuid=3c02c2a2-eb89-31f6-980e-563921bae906"]}],"mendeley":{"formattedCitation":"(131,132)","plainTextFormattedCitation":"(131,132)","previouslyFormattedCitation":"(131,132)"},"properties":{"noteIndex":0},"schema":"https://github.com/citation-style-language/schema/raw/master/csl-citation.json"}</w:instrText>
      </w:r>
      <w:r w:rsidR="002E3AB9">
        <w:fldChar w:fldCharType="separate"/>
      </w:r>
      <w:r w:rsidR="00013FE6" w:rsidRPr="00013FE6">
        <w:rPr>
          <w:noProof/>
        </w:rPr>
        <w:t>(131,132)</w:t>
      </w:r>
      <w:r w:rsidR="002E3AB9">
        <w:fldChar w:fldCharType="end"/>
      </w:r>
      <w:r w:rsidR="002E3AB9">
        <w:t xml:space="preserve">. </w:t>
      </w:r>
    </w:p>
    <w:p w14:paraId="62C9EC04" w14:textId="1FBE517C" w:rsidR="002E3AB9" w:rsidRDefault="002E3AB9" w:rsidP="002E3AB9">
      <w:r>
        <w:t xml:space="preserve">Nasir ve </w:t>
      </w:r>
      <w:r w:rsidR="003B1EAA">
        <w:t>ark.</w:t>
      </w:r>
      <w:r>
        <w:t xml:space="preserve"> sepsiste mortalite ve cinsiyet ilişkisini araştırdıkları ve 97 hastanın değerlendirildiği bir çalışmada; erkeklerde mortalitenin kadınlara göre %70 daha fazla olduğu bulunmuştur. Kadınlarda immünolojik ve kardiyovasküler yanıt erkeklere göre daha iyidir </w:t>
      </w:r>
      <w:r>
        <w:fldChar w:fldCharType="begin" w:fldLock="1"/>
      </w:r>
      <w:r w:rsidR="001C4787">
        <w:instrText>ADDIN CSL_CITATION {"citationItems":[{"id":"ITEM-1","itemData":{"DOI":"10.12669/pjms.315.6925","ISSN":"1682024X","abstract":"Background and Objective: Sepsis remains a leading cause of death across the world, carrying a mortality rate of 20-50%. Women have been reported to be less likely to suffer from sepsis and to have a lower risk of mortality from sepsis compared to men. The objective of this study was to determine the relationship between gender and mortality in sepsis, and compare cytokine profiles of male and female patients. Methods: This was a prospective case series on 97 patients admitted with sepsis. Clinical and microbiological data was gathered, blood samples were collected for cytokine (IL-10, IL-6 and TNFa) levels and patients were followed up for clinical outcome. Results: There were 54% males and 46% females, with no significant difference of age or comorbids between genders. Respiratory tract infection was the commonest source of sepsis, and was more common in females (60%) compared to males (39%) (p=0.034). Males had a higher mortality (p=0.048, RR 1.73) and plasma IL-6 level(p=0.040) compared to females. Mean IL-6 plasma level was significantly (p&lt;0.01) higher in patients who died vs. who recovered. Conclusion: Our study shows that males with sepsis have a 70% greater mortality rate, and mortality is associated with a higher IL-6 plasma level.","author":[{"dropping-particle":"","family":"Nasir","given":"Nosheen","non-dropping-particle":"","parse-names":false,"suffix":""},{"dropping-particle":"","family":"Jamil","given":"Bushra","non-dropping-particle":"","parse-names":false,"suffix":""},{"dropping-particle":"","family":"Siddiqui","given":"Shahla","non-dropping-particle":"","parse-names":false,"suffix":""},{"dropping-particle":"","family":"Talat","given":"Najeeha","non-dropping-particle":"","parse-names":false,"suffix":""},{"dropping-particle":"","family":"Khan","given":"Fauzia A.","non-dropping-particle":"","parse-names":false,"suffix":""},{"dropping-particle":"","family":"Hussain","given":"Rabia","non-dropping-particle":"","parse-names":false,"suffix":""}],"container-title":"Pakistan Journal of Medical Sciences","id":"ITEM-1","issue":"5","issued":{"date-parts":[["2015"]]},"page":"1201-1206","publisher":"Professional Medical Publications","title":"Mortality in sepsis and its relationship with gender","type":"article-journal","volume":"31"},"uris":["http://www.mendeley.com/documents/?uuid=34f99e10-b6a5-4b08-96d5-181f5d9d47ba"]}],"mendeley":{"formattedCitation":"(133)","plainTextFormattedCitation":"(133)","previouslyFormattedCitation":"(133)"},"properties":{"noteIndex":0},"schema":"https://github.com/citation-style-language/schema/raw/master/csl-citation.json"}</w:instrText>
      </w:r>
      <w:r>
        <w:fldChar w:fldCharType="separate"/>
      </w:r>
      <w:r w:rsidR="00013FE6" w:rsidRPr="00013FE6">
        <w:rPr>
          <w:noProof/>
        </w:rPr>
        <w:t>(133)</w:t>
      </w:r>
      <w:r>
        <w:fldChar w:fldCharType="end"/>
      </w:r>
      <w:r>
        <w:t xml:space="preserve">. </w:t>
      </w:r>
    </w:p>
    <w:p w14:paraId="674620E4" w14:textId="2C23CC2C" w:rsidR="002E3AB9" w:rsidRDefault="002E3AB9" w:rsidP="002E3AB9">
      <w:pPr>
        <w:rPr>
          <w:shd w:val="clear" w:color="auto" w:fill="FFFFFF"/>
        </w:rPr>
      </w:pPr>
      <w:r w:rsidRPr="009F09C3">
        <w:lastRenderedPageBreak/>
        <w:t>Kawasaki</w:t>
      </w:r>
      <w:r w:rsidR="001F7D15">
        <w:t>’</w:t>
      </w:r>
      <w:r w:rsidRPr="009F09C3">
        <w:t>nin yaptığı deneysel çalışmada sepsisin</w:t>
      </w:r>
      <w:r w:rsidRPr="009F09C3">
        <w:rPr>
          <w:shd w:val="clear" w:color="auto" w:fill="FFFFFF"/>
        </w:rPr>
        <w:t xml:space="preserve"> patofizyolojik değişikliklerinde, karaciğerin </w:t>
      </w:r>
      <w:r w:rsidR="000A36FC" w:rsidRPr="009F09C3">
        <w:rPr>
          <w:shd w:val="clear" w:color="auto" w:fill="FFFFFF"/>
        </w:rPr>
        <w:t>inflamatuar</w:t>
      </w:r>
      <w:r w:rsidRPr="009F09C3">
        <w:rPr>
          <w:shd w:val="clear" w:color="auto" w:fill="FFFFFF"/>
        </w:rPr>
        <w:t xml:space="preserve"> yanıtı</w:t>
      </w:r>
      <w:r>
        <w:rPr>
          <w:shd w:val="clear" w:color="auto" w:fill="FFFFFF"/>
        </w:rPr>
        <w:t>nın</w:t>
      </w:r>
      <w:r w:rsidRPr="009F09C3">
        <w:rPr>
          <w:shd w:val="clear" w:color="auto" w:fill="FFFFFF"/>
        </w:rPr>
        <w:t xml:space="preserve"> hormonal ortama bağlı</w:t>
      </w:r>
      <w:r>
        <w:rPr>
          <w:shd w:val="clear" w:color="auto" w:fill="FFFFFF"/>
        </w:rPr>
        <w:t xml:space="preserve"> olduğu bildirilmiştir.</w:t>
      </w:r>
      <w:r w:rsidRPr="009F09C3">
        <w:rPr>
          <w:shd w:val="clear" w:color="auto" w:fill="FFFFFF"/>
        </w:rPr>
        <w:t xml:space="preserve"> Septik </w:t>
      </w:r>
      <w:r>
        <w:rPr>
          <w:shd w:val="clear" w:color="auto" w:fill="FFFFFF"/>
        </w:rPr>
        <w:t xml:space="preserve">erkek </w:t>
      </w:r>
      <w:r w:rsidRPr="009F09C3">
        <w:rPr>
          <w:shd w:val="clear" w:color="auto" w:fill="FFFFFF"/>
        </w:rPr>
        <w:t xml:space="preserve">hayvanlarda </w:t>
      </w:r>
      <w:r>
        <w:rPr>
          <w:shd w:val="clear" w:color="auto" w:fill="FFFFFF"/>
        </w:rPr>
        <w:t xml:space="preserve">karaciğer hasarı </w:t>
      </w:r>
      <w:r w:rsidRPr="009F09C3">
        <w:rPr>
          <w:shd w:val="clear" w:color="auto" w:fill="FFFFFF"/>
        </w:rPr>
        <w:t>daha yüksek bulunmuş ve kadın bireylerde hormonlara bağlı olarak karaciğer hasarına karşı koruma</w:t>
      </w:r>
      <w:r>
        <w:rPr>
          <w:shd w:val="clear" w:color="auto" w:fill="FFFFFF"/>
        </w:rPr>
        <w:t xml:space="preserve"> olduğu</w:t>
      </w:r>
      <w:r w:rsidRPr="009F09C3">
        <w:rPr>
          <w:shd w:val="clear" w:color="auto" w:fill="FFFFFF"/>
        </w:rPr>
        <w:t xml:space="preserve"> bildirilmiştir. Septik hastalarda, akut karaciğer hasarı erkeklerde kadınlara göre anlamlı olarak daha yüksek ve yine mortalite erkeklerde kadınlara göre daha yüksekti </w:t>
      </w:r>
      <w:r w:rsidRPr="009F09C3">
        <w:rPr>
          <w:shd w:val="clear" w:color="auto" w:fill="FFFFFF"/>
        </w:rPr>
        <w:fldChar w:fldCharType="begin" w:fldLock="1"/>
      </w:r>
      <w:r w:rsidR="001C4787">
        <w:rPr>
          <w:shd w:val="clear" w:color="auto" w:fill="FFFFFF"/>
        </w:rPr>
        <w:instrText>ADDIN CSL_CITATION {"citationItems":[{"id":"ITEM-1","itemData":{"DOI":"10.1007/s00540-012-1426-2","ISSN":"09138668","abstract":"Several clinical studies show a gender dimorphism of immune and organ responsiveness in the susceptibility to and morbidity from shock, trauma, and sepsis. However, there are conflicting reports on the role of gender in outcomes. Animal studies of shock, trauma, and sepsis have confirmed that alterations in immune and organ functions are more markedly depressed in adult males and in ovariectomized and aged females. In this review, we discuss the effect of estrogen on liver, intestinal, splenic, and renal functions in an experimental model of sepsis, trauma, and reperfusion injury. To establish the role of gender in the outcome of these patients, more studies in clinical and experimental settings are required to determine whether gender-specific responses are global across the injuries or are observed in specific injury situations. Studies are also needed to delineate underlying mechanisms responsible for differences between males and females. The findings gained from the experimental studies will help in designing innovative therapeutic approaches for the treatment of sepsis, trauma, and reperfusion injury patients. © 2012 Japanese Society of Anesthesiologists.","author":[{"dropping-particle":"","family":"Kawasaki","given":"Takashi","non-dropping-particle":"","parse-names":false,"suffix":""},{"dropping-particle":"","family":"Chaudry","given":"Irshad H.","non-dropping-particle":"","parse-names":false,"suffix":""}],"container-title":"Journal of Anesthesia","id":"ITEM-1","issue":"6","issued":{"date-parts":[["2012","12","23"]]},"page":"892-899","publisher":"Springer","title":"The effects of estrogen on various organs: Therapeutic approach for sepsis, trauma, and reperfusion injury. Part 2: Liver, intestine, spleen, and kidney","type":"article-journal","volume":"26"},"uris":["http://www.mendeley.com/documents/?uuid=d2871fe0-0c26-33bd-84f2-002c1fc659fe"]}],"mendeley":{"formattedCitation":"(134)","plainTextFormattedCitation":"(134)","previouslyFormattedCitation":"(134)"},"properties":{"noteIndex":0},"schema":"https://github.com/citation-style-language/schema/raw/master/csl-citation.json"}</w:instrText>
      </w:r>
      <w:r w:rsidRPr="009F09C3">
        <w:rPr>
          <w:shd w:val="clear" w:color="auto" w:fill="FFFFFF"/>
        </w:rPr>
        <w:fldChar w:fldCharType="separate"/>
      </w:r>
      <w:r w:rsidR="00013FE6" w:rsidRPr="00013FE6">
        <w:rPr>
          <w:noProof/>
          <w:shd w:val="clear" w:color="auto" w:fill="FFFFFF"/>
        </w:rPr>
        <w:t>(134)</w:t>
      </w:r>
      <w:r w:rsidRPr="009F09C3">
        <w:rPr>
          <w:shd w:val="clear" w:color="auto" w:fill="FFFFFF"/>
        </w:rPr>
        <w:fldChar w:fldCharType="end"/>
      </w:r>
      <w:r w:rsidRPr="009F09C3">
        <w:rPr>
          <w:shd w:val="clear" w:color="auto" w:fill="FFFFFF"/>
        </w:rPr>
        <w:t>.</w:t>
      </w:r>
      <w:bookmarkStart w:id="587" w:name="_Toc45265955"/>
      <w:r>
        <w:rPr>
          <w:shd w:val="clear" w:color="auto" w:fill="FFFFFF"/>
        </w:rPr>
        <w:t xml:space="preserve"> </w:t>
      </w:r>
      <w:bookmarkStart w:id="588" w:name="_Toc46154359"/>
      <w:bookmarkEnd w:id="587"/>
    </w:p>
    <w:p w14:paraId="0868BF6C" w14:textId="1538DF83" w:rsidR="002E3AB9" w:rsidRPr="00FA28BF" w:rsidRDefault="002E3AB9" w:rsidP="002E3AB9">
      <w:pPr>
        <w:rPr>
          <w:rStyle w:val="Balk3Char"/>
          <w:rFonts w:eastAsiaTheme="minorHAnsi" w:cs="Times New Roman"/>
          <w:b w:val="0"/>
          <w:szCs w:val="22"/>
          <w:shd w:val="clear" w:color="auto" w:fill="FFFFFF"/>
        </w:rPr>
      </w:pPr>
      <w:bookmarkStart w:id="589" w:name="_Toc46495222"/>
      <w:bookmarkStart w:id="590" w:name="_Toc49815803"/>
      <w:bookmarkStart w:id="591" w:name="_Toc55727863"/>
      <w:r w:rsidRPr="00FA28BF">
        <w:rPr>
          <w:rStyle w:val="Balk3Char"/>
          <w:b w:val="0"/>
        </w:rPr>
        <w:t>Bizim çalışmamızd</w:t>
      </w:r>
      <w:r>
        <w:rPr>
          <w:rStyle w:val="Balk3Char"/>
          <w:b w:val="0"/>
        </w:rPr>
        <w:t>aki septik hastalardan 8 tanesinde mortalite gelişti</w:t>
      </w:r>
      <w:r w:rsidRPr="00FA28BF">
        <w:rPr>
          <w:rStyle w:val="Balk3Char"/>
          <w:b w:val="0"/>
        </w:rPr>
        <w:t>; bunlardan %87.5</w:t>
      </w:r>
      <w:r w:rsidR="00B0144B">
        <w:rPr>
          <w:rStyle w:val="Balk3Char"/>
          <w:b w:val="0"/>
        </w:rPr>
        <w:t>’</w:t>
      </w:r>
      <w:r w:rsidRPr="00FA28BF">
        <w:rPr>
          <w:rStyle w:val="Balk3Char"/>
          <w:b w:val="0"/>
        </w:rPr>
        <w:t>i erkek hasta idi. Bu açıdan yukardaki çalışmalarla uyumlu sonuçlar elde edilmiştir.</w:t>
      </w:r>
      <w:bookmarkEnd w:id="588"/>
      <w:bookmarkEnd w:id="589"/>
      <w:bookmarkEnd w:id="590"/>
      <w:bookmarkEnd w:id="591"/>
    </w:p>
    <w:p w14:paraId="4299E045" w14:textId="2CEEA3DF" w:rsidR="004D1BAE" w:rsidRDefault="003B1EAA" w:rsidP="004D1BAE">
      <w:pPr>
        <w:rPr>
          <w:shd w:val="clear" w:color="auto" w:fill="FFFFFF"/>
        </w:rPr>
      </w:pPr>
      <w:r>
        <w:t>Nasir ve ark.</w:t>
      </w:r>
      <w:r w:rsidR="004D1BAE">
        <w:t xml:space="preserve"> yaptığı çalışmada </w:t>
      </w:r>
      <w:r w:rsidR="004D1BAE" w:rsidRPr="004F291E">
        <w:rPr>
          <w:shd w:val="clear" w:color="auto" w:fill="FFFFFF"/>
        </w:rPr>
        <w:t>TNF-α ve IL-10 plazma seviyeleri erkeklerde, kadınlara göre daha yüksek olmakla birlikte istatistiksel olarak anlamlı bulunmamıştır (</w:t>
      </w:r>
      <w:r w:rsidR="004D1BAE">
        <w:rPr>
          <w:shd w:val="clear" w:color="auto" w:fill="FFFFFF"/>
        </w:rPr>
        <w:t>p=</w:t>
      </w:r>
      <w:r w:rsidR="004D1BAE" w:rsidRPr="004F291E">
        <w:rPr>
          <w:shd w:val="clear" w:color="auto" w:fill="FFFFFF"/>
        </w:rPr>
        <w:t xml:space="preserve">0.972 ve </w:t>
      </w:r>
      <w:r w:rsidR="004D1BAE">
        <w:rPr>
          <w:shd w:val="clear" w:color="auto" w:fill="FFFFFF"/>
        </w:rPr>
        <w:t>p=</w:t>
      </w:r>
      <w:r w:rsidR="004D1BAE" w:rsidRPr="004F291E">
        <w:rPr>
          <w:shd w:val="clear" w:color="auto" w:fill="FFFFFF"/>
        </w:rPr>
        <w:t>0.940). Bununla birlikte, IL-6'nın ortalama plazma seviyesi erkeklerde kadınlara göre iki kat daha fazla bulunmuştur (</w:t>
      </w:r>
      <w:r w:rsidR="004D1BAE">
        <w:rPr>
          <w:shd w:val="clear" w:color="auto" w:fill="FFFFFF"/>
        </w:rPr>
        <w:t>p=</w:t>
      </w:r>
      <w:r w:rsidR="004D1BAE" w:rsidRPr="004F291E">
        <w:rPr>
          <w:shd w:val="clear" w:color="auto" w:fill="FFFFFF"/>
        </w:rPr>
        <w:t>0.025, Mann Whitney U testi). Özellikle, ortalama IL-6 plazma seviyesi, ölen hastalarda iyileşen hastalara kıyasla anlamlı olar</w:t>
      </w:r>
      <w:r w:rsidR="004D1BAE">
        <w:rPr>
          <w:shd w:val="clear" w:color="auto" w:fill="FFFFFF"/>
        </w:rPr>
        <w:t>ak daha yüksek bildirilmiştir (p</w:t>
      </w:r>
      <w:r w:rsidR="004D1BAE" w:rsidRPr="004F291E">
        <w:rPr>
          <w:shd w:val="clear" w:color="auto" w:fill="FFFFFF"/>
        </w:rPr>
        <w:t xml:space="preserve"> ​​&lt;0.01) </w:t>
      </w:r>
      <w:r w:rsidR="004D1BAE" w:rsidRPr="004F291E">
        <w:rPr>
          <w:shd w:val="clear" w:color="auto" w:fill="FFFFFF"/>
        </w:rPr>
        <w:fldChar w:fldCharType="begin" w:fldLock="1"/>
      </w:r>
      <w:r w:rsidR="001C4787">
        <w:rPr>
          <w:shd w:val="clear" w:color="auto" w:fill="FFFFFF"/>
        </w:rPr>
        <w:instrText>ADDIN CSL_CITATION {"citationItems":[{"id":"ITEM-1","itemData":{"DOI":"10.12669/pjms.315.6925","ISSN":"1682024X","abstract":"Background and Objective: Sepsis remains a leading cause of death across the world, carrying a mortality rate of 20-50%. Women have been reported to be less likely to suffer from sepsis and to have a lower risk of mortality from sepsis compared to men. The objective of this study was to determine the relationship between gender and mortality in sepsis, and compare cytokine profiles of male and female patients. Methods: This was a prospective case series on 97 patients admitted with sepsis. Clinical and microbiological data was gathered, blood samples were collected for cytokine (IL-10, IL-6 and TNFa) levels and patients were followed up for clinical outcome. Results: There were 54% males and 46% females, with no significant difference of age or comorbids between genders. Respiratory tract infection was the commonest source of sepsis, and was more common in females (60%) compared to males (39%) (p=0.034). Males had a higher mortality (p=0.048, RR 1.73) and plasma IL-6 level(p=0.040) compared to females. Mean IL-6 plasma level was significantly (p&lt;0.01) higher in patients who died vs. who recovered. Conclusion: Our study shows that males with sepsis have a 70% greater mortality rate, and mortality is associated with a higher IL-6 plasma level.","author":[{"dropping-particle":"","family":"Nasir","given":"Nosheen","non-dropping-particle":"","parse-names":false,"suffix":""},{"dropping-particle":"","family":"Jamil","given":"Bushra","non-dropping-particle":"","parse-names":false,"suffix":""},{"dropping-particle":"","family":"Siddiqui","given":"Shahla","non-dropping-particle":"","parse-names":false,"suffix":""},{"dropping-particle":"","family":"Talat","given":"Najeeha","non-dropping-particle":"","parse-names":false,"suffix":""},{"dropping-particle":"","family":"Khan","given":"Fauzia A.","non-dropping-particle":"","parse-names":false,"suffix":""},{"dropping-particle":"","family":"Hussain","given":"Rabia","non-dropping-particle":"","parse-names":false,"suffix":""}],"container-title":"Pakistan Journal of Medical Sciences","id":"ITEM-1","issue":"5","issued":{"date-parts":[["2015"]]},"page":"1201-1206","publisher":"Professional Medical Publications","title":"Mortality in sepsis and its relationship with gender","type":"article-journal","volume":"31"},"uris":["http://www.mendeley.com/documents/?uuid=34f99e10-b6a5-4b08-96d5-181f5d9d47ba"]}],"mendeley":{"formattedCitation":"(133)","plainTextFormattedCitation":"(133)","previouslyFormattedCitation":"(133)"},"properties":{"noteIndex":0},"schema":"https://github.com/citation-style-language/schema/raw/master/csl-citation.json"}</w:instrText>
      </w:r>
      <w:r w:rsidR="004D1BAE" w:rsidRPr="004F291E">
        <w:rPr>
          <w:shd w:val="clear" w:color="auto" w:fill="FFFFFF"/>
        </w:rPr>
        <w:fldChar w:fldCharType="separate"/>
      </w:r>
      <w:r w:rsidR="00013FE6" w:rsidRPr="00013FE6">
        <w:rPr>
          <w:noProof/>
          <w:shd w:val="clear" w:color="auto" w:fill="FFFFFF"/>
        </w:rPr>
        <w:t>(133)</w:t>
      </w:r>
      <w:r w:rsidR="004D1BAE" w:rsidRPr="004F291E">
        <w:rPr>
          <w:shd w:val="clear" w:color="auto" w:fill="FFFFFF"/>
        </w:rPr>
        <w:fldChar w:fldCharType="end"/>
      </w:r>
      <w:r w:rsidR="004D1BAE" w:rsidRPr="004F291E">
        <w:rPr>
          <w:shd w:val="clear" w:color="auto" w:fill="FFFFFF"/>
        </w:rPr>
        <w:t>.</w:t>
      </w:r>
      <w:bookmarkStart w:id="592" w:name="_Toc46154364"/>
    </w:p>
    <w:p w14:paraId="243D9AF3" w14:textId="77777777" w:rsidR="004D1BAE" w:rsidRDefault="004D1BAE" w:rsidP="004D1BAE">
      <w:pPr>
        <w:rPr>
          <w:shd w:val="clear" w:color="auto" w:fill="FFFFFF"/>
        </w:rPr>
      </w:pPr>
      <w:bookmarkStart w:id="593" w:name="_Toc46495226"/>
      <w:r w:rsidRPr="00FA28BF">
        <w:t>Hastalarımızda sitokinlerin ve biyokimyasal parametrelerin cinsiyet ile ilişkisi incelendi. AST, ALT, LDH, amonyak, laktat seviyeleri erkeklerde kadınlara oranla anlamlı olarak yüksek görüldü. Sadece fibrinojen düzeyleri kadınlarda daha anlamlı yüksek bulundu (p=0.04). IFN-gamma,</w:t>
      </w:r>
      <w:bookmarkEnd w:id="592"/>
      <w:bookmarkEnd w:id="593"/>
      <w:r>
        <w:rPr>
          <w:rStyle w:val="Balk3Char"/>
          <w:b w:val="0"/>
          <w:color w:val="FF0000"/>
        </w:rPr>
        <w:t xml:space="preserve"> </w:t>
      </w:r>
      <w:r>
        <w:rPr>
          <w:shd w:val="clear" w:color="auto" w:fill="FFFFFF"/>
        </w:rPr>
        <w:t xml:space="preserve">TNF-α, IL-17 </w:t>
      </w:r>
      <w:r w:rsidRPr="003B2E3E">
        <w:rPr>
          <w:shd w:val="clear" w:color="auto" w:fill="FFFFFF"/>
        </w:rPr>
        <w:t>ve IL-10 plazma seviyeleri arasında</w:t>
      </w:r>
      <w:r>
        <w:rPr>
          <w:shd w:val="clear" w:color="auto" w:fill="FFFFFF"/>
        </w:rPr>
        <w:t xml:space="preserve"> iki cinsiyet arasında</w:t>
      </w:r>
      <w:r w:rsidRPr="003B2E3E">
        <w:rPr>
          <w:shd w:val="clear" w:color="auto" w:fill="FFFFFF"/>
        </w:rPr>
        <w:t xml:space="preserve"> fark yoktu. </w:t>
      </w:r>
    </w:p>
    <w:p w14:paraId="6A6E149F" w14:textId="77777777" w:rsidR="004D1BAE" w:rsidRDefault="004D1BAE" w:rsidP="004D1BAE">
      <w:pPr>
        <w:rPr>
          <w:shd w:val="clear" w:color="auto" w:fill="FFFFFF"/>
        </w:rPr>
      </w:pPr>
      <w:r w:rsidRPr="003B2E3E">
        <w:rPr>
          <w:shd w:val="clear" w:color="auto" w:fill="FFFFFF"/>
        </w:rPr>
        <w:t>IL-6 ortalama seviyesi erkeklerde kadınlara oranla 1.6 kat daha yüksekti, ancak anlamlı değildi (</w:t>
      </w:r>
      <w:r>
        <w:rPr>
          <w:shd w:val="clear" w:color="auto" w:fill="FFFFFF"/>
        </w:rPr>
        <w:t>p=</w:t>
      </w:r>
      <w:r w:rsidRPr="003B2E3E">
        <w:rPr>
          <w:shd w:val="clear" w:color="auto" w:fill="FFFFFF"/>
        </w:rPr>
        <w:t xml:space="preserve">0.12). </w:t>
      </w:r>
      <w:r>
        <w:rPr>
          <w:shd w:val="clear" w:color="auto" w:fill="FFFFFF"/>
        </w:rPr>
        <w:t>TREM-1 ve sHLA-G erkeklerde istatistiksel olarak anlamlı olmamakla beraber biraz daha yüksek bulundu.</w:t>
      </w:r>
    </w:p>
    <w:p w14:paraId="0FCD45F6" w14:textId="496D14B6" w:rsidR="00D75FBB" w:rsidRDefault="00D75FBB">
      <w:pPr>
        <w:spacing w:after="160"/>
        <w:ind w:left="680" w:firstLine="0"/>
      </w:pPr>
    </w:p>
    <w:p w14:paraId="28D2BBB6" w14:textId="0B8E1FC2" w:rsidR="0051697F" w:rsidRDefault="0051697F" w:rsidP="0027460D">
      <w:pPr>
        <w:ind w:firstLine="0"/>
        <w:rPr>
          <w:rStyle w:val="Balk3Char"/>
          <w:b w:val="0"/>
          <w:highlight w:val="yellow"/>
        </w:rPr>
      </w:pPr>
      <w:bookmarkStart w:id="594" w:name="_Toc45265954"/>
    </w:p>
    <w:p w14:paraId="4A477084" w14:textId="77777777" w:rsidR="00087D64" w:rsidRDefault="00087D64">
      <w:pPr>
        <w:spacing w:after="160"/>
        <w:ind w:left="680" w:firstLine="0"/>
        <w:rPr>
          <w:rStyle w:val="Balk2Char"/>
        </w:rPr>
      </w:pPr>
      <w:bookmarkStart w:id="595" w:name="_Toc49815805"/>
      <w:bookmarkStart w:id="596" w:name="_Toc55727865"/>
      <w:bookmarkStart w:id="597" w:name="_Toc45265959"/>
      <w:bookmarkEnd w:id="594"/>
      <w:r>
        <w:rPr>
          <w:rStyle w:val="Balk2Char"/>
          <w:b w:val="0"/>
        </w:rPr>
        <w:br w:type="page"/>
      </w:r>
    </w:p>
    <w:p w14:paraId="31CB2CFF" w14:textId="1809C7EC" w:rsidR="008607E6" w:rsidRDefault="008607E6" w:rsidP="008607E6">
      <w:pPr>
        <w:pStyle w:val="Balk2"/>
        <w:numPr>
          <w:ilvl w:val="0"/>
          <w:numId w:val="0"/>
        </w:numPr>
        <w:ind w:left="576"/>
        <w:rPr>
          <w:rStyle w:val="Balk2Char"/>
          <w:b/>
        </w:rPr>
      </w:pPr>
      <w:r w:rsidRPr="00EB1548">
        <w:rPr>
          <w:rStyle w:val="Balk2Char"/>
          <w:b/>
        </w:rPr>
        <w:lastRenderedPageBreak/>
        <w:t>Patoloji</w:t>
      </w:r>
      <w:bookmarkEnd w:id="595"/>
      <w:bookmarkEnd w:id="596"/>
      <w:r w:rsidRPr="00EB1548">
        <w:rPr>
          <w:rStyle w:val="Balk2Char"/>
          <w:b/>
        </w:rPr>
        <w:t xml:space="preserve"> </w:t>
      </w:r>
      <w:bookmarkEnd w:id="597"/>
    </w:p>
    <w:p w14:paraId="3DCC73E5" w14:textId="0671B485" w:rsidR="00013FE6" w:rsidRDefault="00013FE6" w:rsidP="00013FE6">
      <w:pPr>
        <w:jc w:val="left"/>
        <w:rPr>
          <w:shd w:val="clear" w:color="auto" w:fill="FFFFFF"/>
        </w:rPr>
      </w:pPr>
      <w:r w:rsidRPr="00AA2947">
        <w:rPr>
          <w:b/>
          <w:shd w:val="clear" w:color="auto" w:fill="FFFFFF"/>
        </w:rPr>
        <w:t>Terminoloji:</w:t>
      </w:r>
      <w:r>
        <w:rPr>
          <w:shd w:val="clear" w:color="auto" w:fill="FFFFFF"/>
        </w:rPr>
        <w:t xml:space="preserve"> Portal enflamasyon: portal yolların enflamatuar hücreler tarafından infiltrasyonu. Lobüler inflamasyon: hepatik lobüllerdeki enflamatuar hücreler tarafından infiltrasyonu. </w:t>
      </w:r>
      <w:r w:rsidR="000A36FC">
        <w:rPr>
          <w:shd w:val="clear" w:color="auto" w:fill="FFFFFF"/>
        </w:rPr>
        <w:t>Sentrilobüler</w:t>
      </w:r>
      <w:r>
        <w:rPr>
          <w:shd w:val="clear" w:color="auto" w:fill="FFFFFF"/>
        </w:rPr>
        <w:t xml:space="preserve"> nekroz: terminal hepatik venler etrafındaki lobüllerin merkezinde hepatosit ölümü. </w:t>
      </w:r>
      <w:r>
        <w:rPr>
          <w:szCs w:val="24"/>
          <w:lang w:eastAsia="tr-TR"/>
        </w:rPr>
        <w:t>TCMR: T hücre aracılı r</w:t>
      </w:r>
      <w:r w:rsidRPr="007D7911">
        <w:rPr>
          <w:szCs w:val="24"/>
          <w:lang w:eastAsia="tr-TR"/>
        </w:rPr>
        <w:t>eje</w:t>
      </w:r>
      <w:r>
        <w:rPr>
          <w:szCs w:val="24"/>
          <w:lang w:eastAsia="tr-TR"/>
        </w:rPr>
        <w:t>ksiyon.</w:t>
      </w:r>
      <w:r>
        <w:rPr>
          <w:shd w:val="clear" w:color="auto" w:fill="FFFFFF"/>
        </w:rPr>
        <w:t xml:space="preserve"> Steatoz: hepatositlerin sitoplazmasında yağ damlacıklarının birikmesi. Duk</w:t>
      </w:r>
      <w:r w:rsidR="000A36FC">
        <w:rPr>
          <w:shd w:val="clear" w:color="auto" w:fill="FFFFFF"/>
        </w:rPr>
        <w:t>tu</w:t>
      </w:r>
      <w:r>
        <w:rPr>
          <w:shd w:val="clear" w:color="auto" w:fill="FFFFFF"/>
        </w:rPr>
        <w:t>ler kolestaz: safra kanallarında safra birikmesi. Kanaliküler kolestaz: safranın safra kanaliküllerinde birikmesi. </w:t>
      </w:r>
    </w:p>
    <w:p w14:paraId="6787001D" w14:textId="77777777" w:rsidR="00013FE6" w:rsidRDefault="00013FE6" w:rsidP="00013FE6">
      <w:pPr>
        <w:rPr>
          <w:shd w:val="clear" w:color="auto" w:fill="FFFFFF"/>
        </w:rPr>
      </w:pPr>
      <w:r>
        <w:rPr>
          <w:shd w:val="clear" w:color="auto" w:fill="FFFFFF"/>
        </w:rPr>
        <w:t>Birçok merkez, allogreft fonksiyonunu değerlendirmek için nakledilen karaciğerlerde yılda bir biyopsi yapmaktadır, çünkü serum biyokimyasal testleri her zaman histolojik bulgularla ilişkili değildir. Akut hücresel reddi teşhis etmek için kriterler mevcut olsa da, immün sistemi baskılanmış ve septik hastanın karaciğerinde gözlenen histopatolojik değişiklikleri tanımlamak için benzer bir kriter yoktur. </w:t>
      </w:r>
    </w:p>
    <w:p w14:paraId="411C5644" w14:textId="149E68EF" w:rsidR="00013FE6" w:rsidRDefault="00013FE6" w:rsidP="00013FE6">
      <w:pPr>
        <w:rPr>
          <w:shd w:val="clear" w:color="auto" w:fill="FFFFFF"/>
        </w:rPr>
      </w:pPr>
      <w:r w:rsidRPr="00AC742F">
        <w:rPr>
          <w:shd w:val="clear" w:color="auto" w:fill="FFFFFF"/>
        </w:rPr>
        <w:t>Sepsiste karaciğer fonksiyon bozukluğunun prognostik önemine ve kesin patogenez hakkında bilgi eksikliğine rağmen, karaciğer fonksiyon bozukluğunun histopatolojisi hakkında çok az bilgi bulunmaktadır</w:t>
      </w:r>
      <w:r>
        <w:rPr>
          <w:shd w:val="clear" w:color="auto" w:fill="FFFFFF"/>
        </w:rPr>
        <w:t xml:space="preserve">. </w:t>
      </w:r>
      <w:r w:rsidRPr="00AC742F">
        <w:rPr>
          <w:shd w:val="clear" w:color="auto" w:fill="FFFFFF"/>
        </w:rPr>
        <w:t>Septik hastalarda p</w:t>
      </w:r>
      <w:r>
        <w:rPr>
          <w:shd w:val="clear" w:color="auto" w:fill="FFFFFF"/>
        </w:rPr>
        <w:t>ortal, lobüler inflamasyon ve/</w:t>
      </w:r>
      <w:r w:rsidRPr="00AC742F">
        <w:rPr>
          <w:shd w:val="clear" w:color="auto" w:fill="FFFFFF"/>
        </w:rPr>
        <w:t>veya sentrilobüler nekroz</w:t>
      </w:r>
      <w:r>
        <w:rPr>
          <w:shd w:val="clear" w:color="auto" w:fill="FFFFFF"/>
        </w:rPr>
        <w:t xml:space="preserve">, </w:t>
      </w:r>
      <w:r w:rsidRPr="000C6901">
        <w:rPr>
          <w:shd w:val="clear" w:color="auto" w:fill="FFFFFF"/>
        </w:rPr>
        <w:t>hepatosit ve kanaliküler kolestaz</w:t>
      </w:r>
      <w:r>
        <w:rPr>
          <w:shd w:val="clear" w:color="auto" w:fill="FFFFFF"/>
        </w:rPr>
        <w:t>,</w:t>
      </w:r>
      <w:r w:rsidR="001F7D15">
        <w:rPr>
          <w:shd w:val="clear" w:color="auto" w:fill="FFFFFF"/>
        </w:rPr>
        <w:t xml:space="preserve"> steatoz</w:t>
      </w:r>
      <w:r w:rsidRPr="00AC742F">
        <w:rPr>
          <w:shd w:val="clear" w:color="auto" w:fill="FFFFFF"/>
        </w:rPr>
        <w:t xml:space="preserve"> temel bulgulardı</w:t>
      </w:r>
      <w:r>
        <w:rPr>
          <w:shd w:val="clear" w:color="auto" w:fill="FFFFFF"/>
        </w:rPr>
        <w:t xml:space="preserve">r </w:t>
      </w:r>
      <w:r>
        <w:rPr>
          <w:shd w:val="clear" w:color="auto" w:fill="FFFFFF"/>
        </w:rPr>
        <w:fldChar w:fldCharType="begin" w:fldLock="1"/>
      </w:r>
      <w:r w:rsidR="001C4787">
        <w:rPr>
          <w:shd w:val="clear" w:color="auto" w:fill="FFFFFF"/>
        </w:rPr>
        <w:instrText>ADDIN CSL_CITATION {"citationItems":[{"id":"ITEM-1","itemData":{"DOI":"10.1136/jcp.19.4.352","ISSN":"00219746","abstract":"SYNOPSIS Plasma fibrinogen and plasminogen levels were measured in 122 male and 56 female healthy adult subjects and in 64 men with ischaemic heart disease. Plasma fibrinogen levels were found to rise markedly and progressively with age in both male and female healthy subjects; plasmin-ogen showed only a slight rise with age. No sex differences were found for either fibrinogen or plasminogen. The correlation between plasminogen and fibrinogen levels was low, reaching the 5 Y.","author":[{"dropping-particle":"","family":"Ogston","given":"C. M.","non-dropping-particle":"","parse-names":false,"suffix":""},{"dropping-particle":"","family":"Ogston","given":"D.","non-dropping-particle":"","parse-names":false,"suffix":""}],"container-title":"Journal of clinical pathology","id":"ITEM-1","issue":"4","issued":{"date-parts":[["1966","7","1"]]},"page":"352-356","publisher":"BMJ Publishing Group","title":"Plasma fibrinogen and plasminogen levels in health and in ischaemic heart disease.","type":"article-journal","volume":"19"},"uris":["http://www.mendeley.com/documents/?uuid=4b3a329b-aaef-346f-a210-be930132c788"]}],"mendeley":{"formattedCitation":"(127)","plainTextFormattedCitation":"(127)","previouslyFormattedCitation":"(127)"},"properties":{"noteIndex":0},"schema":"https://github.com/citation-style-language/schema/raw/master/csl-citation.json"}</w:instrText>
      </w:r>
      <w:r>
        <w:rPr>
          <w:shd w:val="clear" w:color="auto" w:fill="FFFFFF"/>
        </w:rPr>
        <w:fldChar w:fldCharType="separate"/>
      </w:r>
      <w:r w:rsidRPr="00013FE6">
        <w:rPr>
          <w:noProof/>
          <w:shd w:val="clear" w:color="auto" w:fill="FFFFFF"/>
        </w:rPr>
        <w:t>(127)</w:t>
      </w:r>
      <w:r>
        <w:rPr>
          <w:shd w:val="clear" w:color="auto" w:fill="FFFFFF"/>
        </w:rPr>
        <w:fldChar w:fldCharType="end"/>
      </w:r>
      <w:r>
        <w:rPr>
          <w:shd w:val="clear" w:color="auto" w:fill="FFFFFF"/>
        </w:rPr>
        <w:t>.</w:t>
      </w:r>
    </w:p>
    <w:p w14:paraId="0AFF71C5" w14:textId="1B3A257D" w:rsidR="001C4787" w:rsidRDefault="001C4787" w:rsidP="001C4787">
      <w:pPr>
        <w:rPr>
          <w:color w:val="000000"/>
          <w:szCs w:val="24"/>
          <w:highlight w:val="yellow"/>
        </w:rPr>
      </w:pPr>
      <w:r>
        <w:rPr>
          <w:shd w:val="clear" w:color="auto" w:fill="FFFFFF"/>
        </w:rPr>
        <w:t xml:space="preserve">Koskinas ve </w:t>
      </w:r>
      <w:r w:rsidR="003B1EAA">
        <w:rPr>
          <w:shd w:val="clear" w:color="auto" w:fill="FFFFFF"/>
        </w:rPr>
        <w:t>ark.</w:t>
      </w:r>
      <w:r>
        <w:rPr>
          <w:shd w:val="clear" w:color="auto" w:fill="FFFFFF"/>
        </w:rPr>
        <w:t xml:space="preserve"> yaptığı bir çalışmada altta yatan karaciğer hastalığı olmayan ve septik tablodaki 15 hastanın ölümden hemen sonra karaciğerden alınan iğne biyopsileri rutin histolojik incelemeye tabi tutuldu.  Karaciğer biyopsilerinin mikroskobik incelemesinde hastaların %73,3’ünde portal inflamasyon, %80'inde sentrilobüler nekroz, %66,7’</w:t>
      </w:r>
      <w:r w:rsidR="00B0144B">
        <w:rPr>
          <w:shd w:val="clear" w:color="auto" w:fill="FFFFFF"/>
        </w:rPr>
        <w:t>sin</w:t>
      </w:r>
      <w:r>
        <w:rPr>
          <w:shd w:val="clear" w:color="auto" w:fill="FFFFFF"/>
        </w:rPr>
        <w:t>de lobüler inflamasyon, %66,6’</w:t>
      </w:r>
      <w:r w:rsidR="00B0144B">
        <w:rPr>
          <w:shd w:val="clear" w:color="auto" w:fill="FFFFFF"/>
        </w:rPr>
        <w:t>sın</w:t>
      </w:r>
      <w:r>
        <w:rPr>
          <w:shd w:val="clear" w:color="auto" w:fill="FFFFFF"/>
        </w:rPr>
        <w:t xml:space="preserve">da </w:t>
      </w:r>
      <w:r w:rsidR="000A36FC">
        <w:rPr>
          <w:shd w:val="clear" w:color="auto" w:fill="FFFFFF"/>
        </w:rPr>
        <w:t>hepatosellüler</w:t>
      </w:r>
      <w:r>
        <w:rPr>
          <w:shd w:val="clear" w:color="auto" w:fill="FFFFFF"/>
        </w:rPr>
        <w:t xml:space="preserve"> apoptoz ve %20'sinde kolanjit/kolanjiolit saptandı </w:t>
      </w:r>
      <w:r>
        <w:rPr>
          <w:shd w:val="clear" w:color="auto" w:fill="FFFFFF"/>
        </w:rPr>
        <w:fldChar w:fldCharType="begin" w:fldLock="1"/>
      </w:r>
      <w:r>
        <w:rPr>
          <w:shd w:val="clear" w:color="auto" w:fill="FFFFFF"/>
        </w:rPr>
        <w:instrText>ADDIN CSL_CITATION {"citationItems":[{"id":"ITEM-1","itemData":{"DOI":"10.3748/wjg.14.1389","ISSN":"1007-9327","PMID":"18322953","abstract":"AIM To determine end-stage pathologic changes in the liver of septic patients dying in the intensive care unit. METHODS Needle liver biopsies obtained immediately after death from 15 consecutive patients with sepsis and no underlying liver disease were subjected to routine histological examination. Liver function tests and clinical monitoring measurements were also recorded. RESULTS Liver biochemistries were increased in the majority of patients before death. Histology of liver biopsy specimens showed portal inflammation in 73.3%, centrilobular necrosis in 80%, lobular inflammation in 66.7%, hepatocellular apoptosis in 66.6% and cholangitis/cholangiolitis in 20% of patients. Mixed hepatitic/cholestatic type of liver injury was observed in 6/15 (40%) patients and hepatitc in 9/15 (60%). Steatosis was observed in 11/15 (73.3%) patients affecting 5%-80% of liver parenchyma. Among the histological features, the presence of portal inflammation in liver biopsy was associated with increased hospitalization in the ICU prior death (P=0.026). CONCLUSION Features of hepatitis and steatosis are the main histological findings in the liver in the majority of patients dying from sepsis.","author":[{"dropping-particle":"","family":"Koskinas","given":"John","non-dropping-particle":"","parse-names":false,"suffix":""},{"dropping-particle":"","family":"Gomatos","given":"Ilias P.","non-dropping-particle":"","parse-names":false,"suffix":""},{"dropping-particle":"","family":"Tiniakos","given":"Dina G.","non-dropping-particle":"","parse-names":false,"suffix":""},{"dropping-particle":"","family":"Memos","given":"Nikolaos","non-dropping-particle":"","parse-names":false,"suffix":""},{"dropping-particle":"","family":"Boutsikou","given":"Maria","non-dropping-particle":"","parse-names":false,"suffix":""},{"dropping-particle":"","family":"Garatzioti","given":"Aspasia","non-dropping-particle":"","parse-names":false,"suffix":""},{"dropping-particle":"","family":"Archimandritis","given":"Athanasios","non-dropping-particle":"","parse-names":false,"suffix":""},{"dropping-particle":"","family":"Betrosian","given":"Alexander","non-dropping-particle":"","parse-names":false,"suffix":""}],"container-title":"World journal of gastroenterology","id":"ITEM-1","issue":"9","issued":{"date-parts":[["2008","3","7"]]},"page":"1389-1393","publisher":"Baishideng Publishing Group Inc","title":"Liver histology in ICU patients dying from sepsis: A clinico-pathological study","type":"article-journal","volume":"14"},"uris":["http://www.mendeley.com/documents/?uuid=164da033-2d84-4130-8b70-cae5a88ca013"]}],"mendeley":{"formattedCitation":"(84)","plainTextFormattedCitation":"(84)","previouslyFormattedCitation":"(84)"},"properties":{"noteIndex":0},"schema":"https://github.com/citation-style-language/schema/raw/master/csl-citation.json"}</w:instrText>
      </w:r>
      <w:r>
        <w:rPr>
          <w:shd w:val="clear" w:color="auto" w:fill="FFFFFF"/>
        </w:rPr>
        <w:fldChar w:fldCharType="separate"/>
      </w:r>
      <w:r w:rsidRPr="0085653B">
        <w:rPr>
          <w:noProof/>
          <w:shd w:val="clear" w:color="auto" w:fill="FFFFFF"/>
        </w:rPr>
        <w:t>(84)</w:t>
      </w:r>
      <w:r>
        <w:rPr>
          <w:shd w:val="clear" w:color="auto" w:fill="FFFFFF"/>
        </w:rPr>
        <w:fldChar w:fldCharType="end"/>
      </w:r>
      <w:r>
        <w:rPr>
          <w:shd w:val="clear" w:color="auto" w:fill="FFFFFF"/>
        </w:rPr>
        <w:t xml:space="preserve">. Steatoz görülen 11 </w:t>
      </w:r>
      <w:r w:rsidR="00B0144B">
        <w:rPr>
          <w:color w:val="000000"/>
          <w:shd w:val="clear" w:color="auto" w:fill="FFFFFF"/>
        </w:rPr>
        <w:t>(%</w:t>
      </w:r>
      <w:r>
        <w:rPr>
          <w:color w:val="000000"/>
          <w:shd w:val="clear" w:color="auto" w:fill="FFFFFF"/>
        </w:rPr>
        <w:t xml:space="preserve">73.3) </w:t>
      </w:r>
      <w:r>
        <w:rPr>
          <w:shd w:val="clear" w:color="auto" w:fill="FFFFFF"/>
        </w:rPr>
        <w:t xml:space="preserve"> hastanın </w:t>
      </w:r>
      <w:r>
        <w:rPr>
          <w:color w:val="000000"/>
          <w:shd w:val="clear" w:color="auto" w:fill="FFFFFF"/>
        </w:rPr>
        <w:t>5'inde grade-I (parankim tutulum aralığı:</w:t>
      </w:r>
      <w:r w:rsidR="00B0144B">
        <w:rPr>
          <w:color w:val="000000"/>
          <w:shd w:val="clear" w:color="auto" w:fill="FFFFFF"/>
        </w:rPr>
        <w:t xml:space="preserve"> %5-</w:t>
      </w:r>
      <w:r>
        <w:rPr>
          <w:color w:val="000000"/>
          <w:shd w:val="clear" w:color="auto" w:fill="FFFFFF"/>
        </w:rPr>
        <w:t>20), 3’ünde grade-II (%40-50)</w:t>
      </w:r>
      <w:r w:rsidR="00B0144B">
        <w:rPr>
          <w:color w:val="000000"/>
          <w:shd w:val="clear" w:color="auto" w:fill="FFFFFF"/>
        </w:rPr>
        <w:t xml:space="preserve"> ve 3’ünde de grade-III (%70-</w:t>
      </w:r>
      <w:r>
        <w:rPr>
          <w:color w:val="000000"/>
          <w:shd w:val="clear" w:color="auto" w:fill="FFFFFF"/>
        </w:rPr>
        <w:t xml:space="preserve">80) steatoz gözlendi. Hastaların 4’ünde makroveziküler, 5’inde mikroveziküler ve 2’sinde ise karışık tipte steatoz vardı </w:t>
      </w:r>
      <w:r>
        <w:rPr>
          <w:color w:val="000000"/>
          <w:shd w:val="clear" w:color="auto" w:fill="FFFFFF"/>
        </w:rPr>
        <w:fldChar w:fldCharType="begin" w:fldLock="1"/>
      </w:r>
      <w:r>
        <w:rPr>
          <w:color w:val="000000"/>
          <w:shd w:val="clear" w:color="auto" w:fill="FFFFFF"/>
        </w:rPr>
        <w:instrText>ADDIN CSL_CITATION {"citationItems":[{"id":"ITEM-1","itemData":{"DOI":"10.3748/wjg.14.1389","ISSN":"1007-9327","PMID":"18322953","abstract":"AIM To determine end-stage pathologic changes in the liver of septic patients dying in the intensive care unit. METHODS Needle liver biopsies obtained immediately after death from 15 consecutive patients with sepsis and no underlying liver disease were subjected to routine histological examination. Liver function tests and clinical monitoring measurements were also recorded. RESULTS Liver biochemistries were increased in the majority of patients before death. Histology of liver biopsy specimens showed portal inflammation in 73.3%, centrilobular necrosis in 80%, lobular inflammation in 66.7%, hepatocellular apoptosis in 66.6% and cholangitis/cholangiolitis in 20% of patients. Mixed hepatitic/cholestatic type of liver injury was observed in 6/15 (40%) patients and hepatitc in 9/15 (60%). Steatosis was observed in 11/15 (73.3%) patients affecting 5%-80% of liver parenchyma. Among the histological features, the presence of portal inflammation in liver biopsy was associated with increased hospitalization in the ICU prior death (P=0.026). CONCLUSION Features of hepatitis and steatosis are the main histological findings in the liver in the majority of patients dying from sepsis.","author":[{"dropping-particle":"","family":"Koskinas","given":"John","non-dropping-particle":"","parse-names":false,"suffix":""},{"dropping-particle":"","family":"Gomatos","given":"Ilias P.","non-dropping-particle":"","parse-names":false,"suffix":""},{"dropping-particle":"","family":"Tiniakos","given":"Dina G.","non-dropping-particle":"","parse-names":false,"suffix":""},{"dropping-particle":"","family":"Memos","given":"Nikolaos","non-dropping-particle":"","parse-names":false,"suffix":""},{"dropping-particle":"","family":"Boutsikou","given":"Maria","non-dropping-particle":"","parse-names":false,"suffix":""},{"dropping-particle":"","family":"Garatzioti","given":"Aspasia","non-dropping-particle":"","parse-names":false,"suffix":""},{"dropping-particle":"","family":"Archimandritis","given":"Athanasios","non-dropping-particle":"","parse-names":false,"suffix":""},{"dropping-particle":"","family":"Betrosian","given":"Alexander","non-dropping-particle":"","parse-names":false,"suffix":""}],"container-title":"World journal of gastroenterology","id":"ITEM-1","issue":"9","issued":{"date-parts":[["2008","3","7"]]},"page":"1389-1393","publisher":"Baishideng Publishing Group Inc","title":"Liver histology in ICU patients dying from sepsis: A clinico-pathological study","type":"article-journal","volume":"14"},"uris":["http://www.mendeley.com/documents/?uuid=164da033-2d84-4130-8b70-cae5a88ca013"]}],"mendeley":{"formattedCitation":"(84)","plainTextFormattedCitation":"(84)","previouslyFormattedCitation":"(84)"},"properties":{"noteIndex":0},"schema":"https://github.com/citation-style-language/schema/raw/master/csl-citation.json"}</w:instrText>
      </w:r>
      <w:r>
        <w:rPr>
          <w:color w:val="000000"/>
          <w:shd w:val="clear" w:color="auto" w:fill="FFFFFF"/>
        </w:rPr>
        <w:fldChar w:fldCharType="separate"/>
      </w:r>
      <w:r w:rsidRPr="0085653B">
        <w:rPr>
          <w:noProof/>
          <w:color w:val="000000"/>
          <w:shd w:val="clear" w:color="auto" w:fill="FFFFFF"/>
        </w:rPr>
        <w:t>(84)</w:t>
      </w:r>
      <w:r>
        <w:rPr>
          <w:color w:val="000000"/>
          <w:shd w:val="clear" w:color="auto" w:fill="FFFFFF"/>
        </w:rPr>
        <w:fldChar w:fldCharType="end"/>
      </w:r>
      <w:r>
        <w:rPr>
          <w:color w:val="000000"/>
          <w:shd w:val="clear" w:color="auto" w:fill="FFFFFF"/>
        </w:rPr>
        <w:t xml:space="preserve">. </w:t>
      </w:r>
      <w:r>
        <w:rPr>
          <w:shd w:val="clear" w:color="auto" w:fill="FFFFFF"/>
        </w:rPr>
        <w:t>Histolojik inceleme, sepsis nedeniyle ölen hastaların çoğunda hepatit ve steatozun karaciğerde ana bulgular olduğunu göstermiştir.</w:t>
      </w:r>
      <w:r>
        <w:rPr>
          <w:color w:val="000000"/>
          <w:szCs w:val="24"/>
          <w:highlight w:val="yellow"/>
        </w:rPr>
        <w:t xml:space="preserve"> </w:t>
      </w:r>
    </w:p>
    <w:p w14:paraId="04BC51F6" w14:textId="77777777" w:rsidR="001C4787" w:rsidRDefault="001C4787" w:rsidP="001C4787">
      <w:r w:rsidRPr="003B18EC">
        <w:rPr>
          <w:shd w:val="clear" w:color="auto" w:fill="FFFFFF"/>
        </w:rPr>
        <w:t>Bizim çalışmamızdaki 24 hastanın</w:t>
      </w:r>
      <w:r>
        <w:rPr>
          <w:shd w:val="clear" w:color="auto" w:fill="FFFFFF"/>
        </w:rPr>
        <w:t xml:space="preserve"> ışık mikroskobik incelemesinde</w:t>
      </w:r>
      <w:r w:rsidRPr="003B18EC">
        <w:t xml:space="preserve">; %70,8’inde kolestaz, %45,8’inde duktuler proliferasyon, %37,5’inde iskemik nekroz, %16,6’sında portal alanda hafif-orta şiddette enflamasyon, %16,6’sında C4d immün skor pozitifliği, %8,3’ünde duktuler tıkaç görüldü. </w:t>
      </w:r>
    </w:p>
    <w:p w14:paraId="47A0F11B" w14:textId="77777777" w:rsidR="001C4787" w:rsidRDefault="001C4787" w:rsidP="001C4787">
      <w:r w:rsidRPr="003B18EC">
        <w:t xml:space="preserve">Hastaların 14’ünde  (%58,3) değişik derecelerde makroveziküler steatoz görüldü. </w:t>
      </w:r>
      <w:r>
        <w:t>S</w:t>
      </w:r>
      <w:r w:rsidRPr="003B18EC">
        <w:t>teatoz yoğunluğu %5’in altında olanlarda (</w:t>
      </w:r>
      <w:r>
        <w:t>n=</w:t>
      </w:r>
      <w:r w:rsidRPr="003B18EC">
        <w:t xml:space="preserve">5) bu bulgu anlamlı kabul edilmedi.  </w:t>
      </w:r>
      <w:r>
        <w:lastRenderedPageBreak/>
        <w:t>Steatoz yoğunluğu %5 veya üstünde olan 9 (%37,5) h</w:t>
      </w:r>
      <w:r w:rsidRPr="003B18EC">
        <w:t>asta</w:t>
      </w:r>
      <w:r>
        <w:t>nın</w:t>
      </w:r>
      <w:r w:rsidRPr="003B18EC">
        <w:t xml:space="preserve"> 8’inde grade-I</w:t>
      </w:r>
      <w:r w:rsidRPr="003B18EC">
        <w:rPr>
          <w:shd w:val="clear" w:color="auto" w:fill="FFFFFF"/>
        </w:rPr>
        <w:t>,</w:t>
      </w:r>
      <w:r>
        <w:t xml:space="preserve"> 1’</w:t>
      </w:r>
      <w:r w:rsidRPr="003B18EC">
        <w:t xml:space="preserve">inde ise grade-II steatoz görüldü. </w:t>
      </w:r>
      <w:r>
        <w:t>Tüm hastalarda makroveziküler tipte steatoz</w:t>
      </w:r>
      <w:r w:rsidRPr="003B18EC">
        <w:t xml:space="preserve"> vardı.</w:t>
      </w:r>
    </w:p>
    <w:p w14:paraId="4D0685C3" w14:textId="381F8DC6" w:rsidR="001C4787" w:rsidRDefault="0027460D" w:rsidP="006A66CD">
      <w:r w:rsidRPr="00013FE6">
        <w:t>Patoloji prepara</w:t>
      </w:r>
      <w:r w:rsidR="00013FE6">
        <w:t xml:space="preserve">tları değerlendirilen sepsisteki 24 hastanın </w:t>
      </w:r>
      <w:r w:rsidR="00013FE6" w:rsidRPr="00013FE6">
        <w:t>17’sinde (%70.8) kolestaz</w:t>
      </w:r>
      <w:r w:rsidR="00013FE6">
        <w:t xml:space="preserve"> </w:t>
      </w:r>
      <w:r w:rsidR="001C4787">
        <w:t xml:space="preserve">olduğu </w:t>
      </w:r>
      <w:r w:rsidR="00013FE6">
        <w:t xml:space="preserve">görüldü. Kolestaz en sık görülen bulgu idi. </w:t>
      </w:r>
    </w:p>
    <w:p w14:paraId="0E956FF9" w14:textId="58BD7906" w:rsidR="001C4787" w:rsidRPr="00E95051" w:rsidRDefault="001C4787" w:rsidP="001C4787">
      <w:r w:rsidRPr="00FA3906">
        <w:t>Karaciğer</w:t>
      </w:r>
      <w:r>
        <w:t>in</w:t>
      </w:r>
      <w:r w:rsidRPr="00FA3906">
        <w:t xml:space="preserve"> histolojik çalışmaları, enfeksiyon kontrol edildikten sonra geri dönüşümlü olan baskın intrahepatik kolestaz varlığını göstermiştir</w:t>
      </w:r>
      <w:r>
        <w:t xml:space="preserve"> </w:t>
      </w:r>
      <w:r>
        <w:fldChar w:fldCharType="begin" w:fldLock="1"/>
      </w:r>
      <w:r>
        <w:instrText>ADDIN CSL_CITATION {"citationItems":[{"id":"ITEM-1","itemData":{"DOI":"10.4103/2321-3868.132689","ISSN":"2321-3868","abstract":"Recent studies have revealed liver dysfunction as an early event in sepsis. Sepsis-associated liver dysfunction is mainly resulted from systemic or microcirculatory disturbances, spillovers of bacteria and endotoxin (lipopolysaccharide, LPS), and subsequent activation of inflammatory cytokines as well as mediators. Three main cell types of the liver which contribute to the hepatic response in sepsis are Kupffer cells (KCs), hepatocytes and liver sinusoidal endothelial cells (LSECs). In addition, activated neutrophils, which are also recruited to the liver and produce potentially destructive enzymes and oxygen-free radicals, may further enhance acute liver injury. The clinical manifestations of sepsis-associated liver dysfunction can roughly be divided into two categories: Hypoxic hepatitis and jaundice. The latter is much more frequent in the context of sepsis. Hepatic failure is traditionally considered as a late manifestation of sepsis-induced multiple organ dysfunction syndrome. To date, no specific therapeutics for sepsis-associated liver dysfunction are available. Treatment measure is mainly focused on eradication of the underlying infection and management for severe sepsis. A better understanding of the pathophysiology of liver response in sepsis may lead to further increase in survival rates.","author":[{"dropping-particle":"","family":"Yao","given":"Yongming","non-dropping-particle":"","parse-names":false,"suffix":""},{"dropping-particle":"","family":"Wang","given":"Dawei","non-dropping-particle":"","parse-names":false,"suffix":""},{"dropping-particle":"","family":"Yin","given":"Yimei","non-dropping-particle":"","parse-names":false,"suffix":""}],"container-title":"Burns &amp; Trauma","id":"ITEM-1","issue":"3","issued":{"date-parts":[["2014","7","1"]]},"page":"97","publisher":"Medknow","title":"Advances in sepsis-associated liver dysfunction","type":"article-journal","volume":"2"},"uris":["http://www.mendeley.com/documents/?uuid=54b686b7-e60b-3145-a5c9-35b75f5a539e"]}],"mendeley":{"formattedCitation":"(135)","plainTextFormattedCitation":"(135)","previouslyFormattedCitation":"(135)"},"properties":{"noteIndex":0},"schema":"https://github.com/citation-style-language/schema/raw/master/csl-citation.json"}</w:instrText>
      </w:r>
      <w:r>
        <w:fldChar w:fldCharType="separate"/>
      </w:r>
      <w:r w:rsidRPr="001C4787">
        <w:rPr>
          <w:noProof/>
        </w:rPr>
        <w:t>(135)</w:t>
      </w:r>
      <w:r>
        <w:fldChar w:fldCharType="end"/>
      </w:r>
      <w:r w:rsidRPr="00FA3906">
        <w:t>.</w:t>
      </w:r>
      <w:r>
        <w:rPr>
          <w:color w:val="2A2A2A"/>
          <w:sz w:val="23"/>
          <w:szCs w:val="23"/>
          <w:shd w:val="clear" w:color="auto" w:fill="FFFFFF"/>
        </w:rPr>
        <w:t xml:space="preserve"> </w:t>
      </w:r>
      <w:r>
        <w:t>B</w:t>
      </w:r>
      <w:r w:rsidRPr="00066BCF">
        <w:t>iliyer </w:t>
      </w:r>
      <w:hyperlink r:id="rId27" w:tooltip="ScienceDirect'in AI tarafından oluşturulan Konu Sayfalarından Cerrahi Anastomoz hakkında daha fazla bilgi edinin" w:history="1">
        <w:r w:rsidRPr="00066BCF">
          <w:t>anastomoz </w:t>
        </w:r>
      </w:hyperlink>
      <w:r w:rsidRPr="00066BCF">
        <w:t xml:space="preserve">darlıkları ve </w:t>
      </w:r>
      <w:r>
        <w:t>kaçakları</w:t>
      </w:r>
      <w:r w:rsidRPr="00066BCF">
        <w:t xml:space="preserve"> hariç tutulursa klinik önemi yoktur.</w:t>
      </w:r>
      <w:r>
        <w:t xml:space="preserve"> </w:t>
      </w:r>
      <w:r>
        <w:rPr>
          <w:shd w:val="clear" w:color="auto" w:fill="FFFFFF"/>
        </w:rPr>
        <w:t xml:space="preserve">Sepsiste intrahepatik kolestaz, bakterilerin aktive ettiği sitokinler aracılığıyla sinüzoidal ve kanaliküler membrandaki safra asitlerinin atılımındaki bozukluğa bağlı olarak artar.  Bir başka kolestaz nedeni de safra yollarındaki anastomoz kaçağı veya darlığıdır </w:t>
      </w:r>
      <w:r>
        <w:rPr>
          <w:shd w:val="clear" w:color="auto" w:fill="FFFFFF"/>
        </w:rPr>
        <w:fldChar w:fldCharType="begin" w:fldLock="1"/>
      </w:r>
      <w:r w:rsidR="00FE6C1A">
        <w:rPr>
          <w:shd w:val="clear" w:color="auto" w:fill="FFFFFF"/>
        </w:rPr>
        <w:instrText>ADDIN CSL_CITATION {"citationItems":[{"id":"ITEM-1","itemData":{"DOI":"10.3748/wjg.14.1389","ISSN":"1007-9327","PMID":"18322953","abstract":"AIM To determine end-stage pathologic changes in the liver of septic patients dying in the intensive care unit. METHODS Needle liver biopsies obtained immediately after death from 15 consecutive patients with sepsis and no underlying liver disease were subjected to routine histological examination. Liver function tests and clinical monitoring measurements were also recorded. RESULTS Liver biochemistries were increased in the majority of patients before death. Histology of liver biopsy specimens showed portal inflammation in 73.3%, centrilobular necrosis in 80%, lobular inflammation in 66.7%, hepatocellular apoptosis in 66.6% and cholangitis/cholangiolitis in 20% of patients. Mixed hepatitic/cholestatic type of liver injury was observed in 6/15 (40%) patients and hepatitc in 9/15 (60%). Steatosis was observed in 11/15 (73.3%) patients affecting 5%-80% of liver parenchyma. Among the histological features, the presence of portal inflammation in liver biopsy was associated with increased hospitalization in the ICU prior death (P=0.026). CONCLUSION Features of hepatitis and steatosis are the main histological findings in the liver in the majority of patients dying from sepsis.","author":[{"dropping-particle":"","family":"Koskinas","given":"John","non-dropping-particle":"","parse-names":false,"suffix":""},{"dropping-particle":"","family":"Gomatos","given":"Ilias P.","non-dropping-particle":"","parse-names":false,"suffix":""},{"dropping-particle":"","family":"Tiniakos","given":"Dina G.","non-dropping-particle":"","parse-names":false,"suffix":""},{"dropping-particle":"","family":"Memos","given":"Nikolaos","non-dropping-particle":"","parse-names":false,"suffix":""},{"dropping-particle":"","family":"Boutsikou","given":"Maria","non-dropping-particle":"","parse-names":false,"suffix":""},{"dropping-particle":"","family":"Garatzioti","given":"Aspasia","non-dropping-particle":"","parse-names":false,"suffix":""},{"dropping-particle":"","family":"Archimandritis","given":"Athanasios","non-dropping-particle":"","parse-names":false,"suffix":""},{"dropping-particle":"","family":"Betrosian","given":"Alexander","non-dropping-particle":"","parse-names":false,"suffix":""}],"container-title":"World journal of gastroenterology","id":"ITEM-1","issue":"9","issued":{"date-parts":[["2008","3","7"]]},"page":"1389-1393","publisher":"Baishideng Publishing Group Inc","title":"Liver histology in ICU patients dying from sepsis: A clinico-pathological study","type":"article-journal","volume":"14"},"uris":["http://www.mendeley.com/documents/?uuid=164da033-2d84-4130-8b70-cae5a88ca013"]},{"id":"ITEM-2","itemData":{"DOI":"10.1152/ajpgi.1996.271.1.g137","ISSN":"01931857","PMID":"8760117","abstract":"Intrahepatic cholestasis in the setting of extrahepatic bacterial infection has been attributed to the effects of endotoxin and cytokines such as tumor necrosis factor-α (TNF-α) on bile acid transport. To define the mechanism of sepsis-associated cholestasis, taurocholate transport was examined in basolateral (bLPM) and canalicular (cLPM) rat liver plasma membrane vesicles derived from control and endotoxin [lipopolysaccharide (LPS)]-treated animals and in plasma membrane vesicles prepared after TNF-α treatment. Na+-dependent [3H]taurocholate uptake and both membrane- potential-dependent and ATP-dependent [3H]taurocholate transport were reduced in bLPM and cLPM vesicles, respectively, after LPS treatment. In membrane vesicles from TNF-α-treated animals, Na+-dependent [3H]taurocholate uptake was also reduced. Northern blot hybridization, using cDNA probes for the putative sinusoidal bile acid transporter (Ntcp) and canalicular ecto-adenosinetriphosphatase, demonstrated decreased mRNA levels after LPS and TNF-α treatment. Immunoblot analysis of membrane extracts from LPS-treated animals revealed decreased levels of these putative bile acid transporters. Impaired bile acid transport at the sinusoidal and canalicular membrane domains by these and other mediators of the inflammatory response may account for sepsis-associated cholestasis.","author":[{"dropping-particle":"","family":"Moseley","given":"Richard H.","non-dropping-particle":"","parse-names":false,"suffix":""},{"dropping-particle":"","family":"Wang","given":"Wei","non-dropping-particle":"","parse-names":false,"suffix":""},{"dropping-particle":"","family":"Takeda","given":"Hiroaki","non-dropping-particle":"","parse-names":false,"suffix":""},{"dropping-particle":"","family":"Lown","given":"Kenneth","non-dropping-particle":"","parse-names":false,"suffix":""},{"dropping-particle":"","family":"Shick","given":"Lawton","non-dropping-particle":"","parse-names":false,"suffix":""},{"dropping-particle":"","family":"Ananthanarayanan","given":"M.","non-dropping-particle":"","parse-names":false,"suffix":""},{"dropping-particle":"","family":"Suchy","given":"Frederick J.","non-dropping-particle":"","parse-names":false,"suffix":""}],"container-title":"American Journal of Physiology - Gastrointestinal and Liver Physiology","id":"ITEM-2","issue":"1 34-1","issued":{"date-parts":[["1996","7"]]},"publisher":" American Physiological Society Bethesda, MD ","title":"Effect of endotoxin on bile acid transport in rat liver: A potential model for sepsis-associated cholestasis","type":"article-journal","volume":"271"},"uris":["http://www.mendeley.com/documents/?uuid=27792dd3-53f4-3d75-a725-5b6b13429f14"]}],"mendeley":{"formattedCitation":"(84,136)","plainTextFormattedCitation":"(84,136)","previouslyFormattedCitation":"(84,136)"},"properties":{"noteIndex":0},"schema":"https://github.com/citation-style-language/schema/raw/master/csl-citation.json"}</w:instrText>
      </w:r>
      <w:r>
        <w:rPr>
          <w:shd w:val="clear" w:color="auto" w:fill="FFFFFF"/>
        </w:rPr>
        <w:fldChar w:fldCharType="separate"/>
      </w:r>
      <w:r w:rsidRPr="001C4787">
        <w:rPr>
          <w:noProof/>
          <w:shd w:val="clear" w:color="auto" w:fill="FFFFFF"/>
        </w:rPr>
        <w:t>(84,136)</w:t>
      </w:r>
      <w:r>
        <w:rPr>
          <w:shd w:val="clear" w:color="auto" w:fill="FFFFFF"/>
        </w:rPr>
        <w:fldChar w:fldCharType="end"/>
      </w:r>
      <w:r>
        <w:rPr>
          <w:shd w:val="clear" w:color="auto" w:fill="FFFFFF"/>
        </w:rPr>
        <w:t xml:space="preserve">.  </w:t>
      </w:r>
      <w:r w:rsidRPr="00E95051">
        <w:t>Uzun süreli kolestaz ise hepatosellüler hasar ve fibrozise neden olur.</w:t>
      </w:r>
    </w:p>
    <w:p w14:paraId="15F56193" w14:textId="4200F2FC" w:rsidR="001C4787" w:rsidRDefault="001C4787" w:rsidP="001C4787">
      <w:r w:rsidRPr="003B18EC">
        <w:rPr>
          <w:shd w:val="clear" w:color="auto" w:fill="FFFFFF"/>
        </w:rPr>
        <w:t>Bu farklı mekanizmalar hastalarımızda da görülen kolestazın klinik seyrindeki geniş değişimi açıklayabilir. Çalışmamızda kolestaz etiyolojisinden ziyade, alınan biyopsi materyallerinin ışık mikroskobik değerlendirmesinde görülen sonuçlara odaklandık.</w:t>
      </w:r>
      <w:r>
        <w:rPr>
          <w:shd w:val="clear" w:color="auto" w:fill="FFFFFF"/>
        </w:rPr>
        <w:t xml:space="preserve"> Ancak retransplantasyon yapılan 6 hastanın %66</w:t>
      </w:r>
      <w:r w:rsidR="00B0144B">
        <w:rPr>
          <w:shd w:val="clear" w:color="auto" w:fill="FFFFFF"/>
        </w:rPr>
        <w:t>’</w:t>
      </w:r>
      <w:r>
        <w:rPr>
          <w:shd w:val="clear" w:color="auto" w:fill="FFFFFF"/>
        </w:rPr>
        <w:t>sında kolestaz mevcuttu. Yine ç</w:t>
      </w:r>
      <w:r w:rsidRPr="00E4630F">
        <w:t>alışmamızda</w:t>
      </w:r>
      <w:r>
        <w:t>ki</w:t>
      </w:r>
      <w:r w:rsidRPr="00E4630F">
        <w:t xml:space="preserve"> hastaların 9’unda (%37,5) iskemik nekroz görüldü</w:t>
      </w:r>
      <w:r>
        <w:t>,</w:t>
      </w:r>
      <w:r w:rsidRPr="00E4630F">
        <w:t xml:space="preserve"> </w:t>
      </w:r>
      <w:r>
        <w:t>b</w:t>
      </w:r>
      <w:r w:rsidRPr="00E4630F">
        <w:t>u hastalar</w:t>
      </w:r>
      <w:r w:rsidR="00B235ED">
        <w:t>ın</w:t>
      </w:r>
      <w:r w:rsidRPr="00E4630F">
        <w:t xml:space="preserve"> 4’ünde </w:t>
      </w:r>
      <w:r>
        <w:t xml:space="preserve">hepatik arter </w:t>
      </w:r>
      <w:r w:rsidR="000A36FC">
        <w:t>trombozu</w:t>
      </w:r>
      <w:r w:rsidRPr="00E4630F">
        <w:t xml:space="preserve"> vardı.</w:t>
      </w:r>
    </w:p>
    <w:p w14:paraId="103065E3" w14:textId="2B4A8E03" w:rsidR="001C4787" w:rsidRDefault="001C4787" w:rsidP="001C4787">
      <w:pPr>
        <w:ind w:firstLine="576"/>
        <w:rPr>
          <w:rFonts w:ascii="Arial" w:hAnsi="Arial" w:cs="Arial"/>
          <w:color w:val="FF0000"/>
          <w:sz w:val="20"/>
          <w:szCs w:val="20"/>
          <w:shd w:val="clear" w:color="auto" w:fill="FFFFFF"/>
        </w:rPr>
      </w:pPr>
      <w:r>
        <w:t>Kolestaz varlığında</w:t>
      </w:r>
      <w:r>
        <w:rPr>
          <w:shd w:val="clear" w:color="auto" w:fill="FFFFFF"/>
        </w:rPr>
        <w:t xml:space="preserve"> karaciğer </w:t>
      </w:r>
      <w:r w:rsidR="00B235ED">
        <w:rPr>
          <w:shd w:val="clear" w:color="auto" w:fill="FFFFFF"/>
        </w:rPr>
        <w:t xml:space="preserve">biyokimya parametrelerinden ALP, </w:t>
      </w:r>
      <w:r>
        <w:rPr>
          <w:shd w:val="clear" w:color="auto" w:fill="FFFFFF"/>
        </w:rPr>
        <w:t>GGT v</w:t>
      </w:r>
      <w:r w:rsidR="00B235ED">
        <w:rPr>
          <w:shd w:val="clear" w:color="auto" w:fill="FFFFFF"/>
        </w:rPr>
        <w:t xml:space="preserve">e bilirübin yükselir. Kolestaz, </w:t>
      </w:r>
      <w:r>
        <w:rPr>
          <w:shd w:val="clear" w:color="auto" w:fill="FFFFFF"/>
        </w:rPr>
        <w:t xml:space="preserve">genellikle greft disfonksiyonunu gösteren karaciğer transplantasyonunun erken (ilk 6 ay) bir komplikasyonudur. </w:t>
      </w:r>
      <w:r w:rsidRPr="00DE2C0A">
        <w:t>Erken kolestazın nedenleri</w:t>
      </w:r>
      <w:r>
        <w:t xml:space="preserve"> (&lt;6 ay); </w:t>
      </w:r>
      <w:r w:rsidRPr="00DE2C0A">
        <w:t>sepsis</w:t>
      </w:r>
      <w:r>
        <w:t>, ilaç toksisitesi,</w:t>
      </w:r>
      <w:r w:rsidRPr="00DE2C0A">
        <w:t> akut hücresel re</w:t>
      </w:r>
      <w:r>
        <w:t>jeksiyon,</w:t>
      </w:r>
      <w:r w:rsidRPr="00DE2C0A">
        <w:t> sitomegalovirüs enfeksiyonu</w:t>
      </w:r>
      <w:r>
        <w:t xml:space="preserve">, </w:t>
      </w:r>
      <w:r w:rsidRPr="00066BCF">
        <w:t>small for size sendromu</w:t>
      </w:r>
      <w:r>
        <w:t xml:space="preserve">, </w:t>
      </w:r>
      <w:hyperlink r:id="rId28" w:tooltip="ScienceDirect'in AI tarafından oluşturulan Konu Sayfalarından Reperfüzyon Hasarı hakkında daha fazla bilgi edinin" w:history="1">
        <w:r w:rsidRPr="00066BCF">
          <w:t>iskemi-reperfüzyon hasarı</w:t>
        </w:r>
      </w:hyperlink>
      <w:r>
        <w:t xml:space="preserve"> </w:t>
      </w:r>
      <w:r w:rsidRPr="00DE2C0A">
        <w:t xml:space="preserve">ve safra anastomoz kaçağı veya darlığıdır </w:t>
      </w:r>
      <w:r>
        <w:fldChar w:fldCharType="begin" w:fldLock="1"/>
      </w:r>
      <w:r w:rsidR="00FE6C1A">
        <w:instrText>ADDIN CSL_CITATION {"citationItems":[{"id":"ITEM-1","itemData":{"DOI":"10.1016/j.cld.2007.11.001","ISSN":"10893261","abstract":"Biochemical cholestasis after liver transplantation is common and often has no clinical significance if biliary anastomosis strictures and leaks have been excluded. There is no agreed upon definition for severe cholestasis, but it is associated with a worse mortality. There has been little evaluation on risk factors, but these include cryoprecipitate and platelet transfusion intraoperatively, nonidentical blood group, suboptimal graft appearance, inpatient status before transplant, and bacteremia within the first month. Associated causes considered as early (&lt;6 months) include ischemia-reperfusion injury, primary nonfunction, small-for-size graft syndrome, infection, drugs and acute cellular rejection. Late causes include hepatic artery thrombosis, chronic rejection, biliary complications, recurrent viral and cholestatic disease, and posttransplant lymphoproliferative disorder. © 2008 Elsevier Inc. All rights reserved.","author":[{"dropping-particle":"","family":"Corbani","given":"A.","non-dropping-particle":"","parse-names":false,"suffix":""},{"dropping-particle":"","family":"Burroughs","given":"A. K.","non-dropping-particle":"","parse-names":false,"suffix":""}],"container-title":"Clinics in Liver Disease","id":"ITEM-1","issue":"1","issued":{"date-parts":[["2008","2","1"]]},"page":"111-129","publisher":"Elsevier","title":"Intrahepatic Cholestasis After Liver Transplantation","type":"article","volume":"12"},"uris":["http://www.mendeley.com/documents/?uuid=82dede23-9eaa-32f6-9327-62a425b7e060"]},{"id":"ITEM-2","itemData":{"DOI":"10.3748/wjg.14.1389","ISSN":"1007-9327","PMID":"18322953","abstract":"AIM To determine end-stage pathologic changes in the liver of septic patients dying in the intensive care unit. METHODS Needle liver biopsies obtained immediately after death from 15 consecutive patients with sepsis and no underlying liver disease were subjected to routine histological examination. Liver function tests and clinical monitoring measurements were also recorded. RESULTS Liver biochemistries were increased in the majority of patients before death. Histology of liver biopsy specimens showed portal inflammation in 73.3%, centrilobular necrosis in 80%, lobular inflammation in 66.7%, hepatocellular apoptosis in 66.6% and cholangitis/cholangiolitis in 20% of patients. Mixed hepatitic/cholestatic type of liver injury was observed in 6/15 (40%) patients and hepatitc in 9/15 (60%). Steatosis was observed in 11/15 (73.3%) patients affecting 5%-80% of liver parenchyma. Among the histological features, the presence of portal inflammation in liver biopsy was associated with increased hospitalization in the ICU prior death (P=0.026). CONCLUSION Features of hepatitis and steatosis are the main histological findings in the liver in the majority of patients dying from sepsis.","author":[{"dropping-particle":"","family":"Koskinas","given":"John","non-dropping-particle":"","parse-names":false,"suffix":""},{"dropping-particle":"","family":"Gomatos","given":"Ilias P.","non-dropping-particle":"","parse-names":false,"suffix":""},{"dropping-particle":"","family":"Tiniakos","given":"Dina G.","non-dropping-particle":"","parse-names":false,"suffix":""},{"dropping-particle":"","family":"Memos","given":"Nikolaos","non-dropping-particle":"","parse-names":false,"suffix":""},{"dropping-particle":"","family":"Boutsikou","given":"Maria","non-dropping-particle":"","parse-names":false,"suffix":""},{"dropping-particle":"","family":"Garatzioti","given":"Aspasia","non-dropping-particle":"","parse-names":false,"suffix":""},{"dropping-particle":"","family":"Archimandritis","given":"Athanasios","non-dropping-particle":"","parse-names":false,"suffix":""},{"dropping-particle":"","family":"Betrosian","given":"Alexander","non-dropping-particle":"","parse-names":false,"suffix":""}],"container-title":"World journal of gastroenterology","id":"ITEM-2","issue":"9","issued":{"date-parts":[["2008","3","7"]]},"page":"1389-1393","publisher":"Baishideng Publishing Group Inc","title":"Liver histology in ICU patients dying from sepsis: A clinico-pathological study","type":"article-journal","volume":"14"},"uris":["http://www.mendeley.com/documents/?uuid=164da033-2d84-4130-8b70-cae5a88ca013"]}],"mendeley":{"formattedCitation":"(84,137)","plainTextFormattedCitation":"(84,137)","previouslyFormattedCitation":"(84,137)"},"properties":{"noteIndex":0},"schema":"https://github.com/citation-style-language/schema/raw/master/csl-citation.json"}</w:instrText>
      </w:r>
      <w:r>
        <w:fldChar w:fldCharType="separate"/>
      </w:r>
      <w:r w:rsidRPr="001C4787">
        <w:rPr>
          <w:noProof/>
        </w:rPr>
        <w:t>(84,137)</w:t>
      </w:r>
      <w:r>
        <w:fldChar w:fldCharType="end"/>
      </w:r>
      <w:r>
        <w:t>.</w:t>
      </w:r>
      <w:r w:rsidRPr="003034B3">
        <w:rPr>
          <w:rFonts w:ascii="Arial" w:hAnsi="Arial" w:cs="Arial"/>
          <w:color w:val="FF0000"/>
          <w:sz w:val="20"/>
          <w:szCs w:val="20"/>
          <w:shd w:val="clear" w:color="auto" w:fill="FFFFFF"/>
        </w:rPr>
        <w:t xml:space="preserve"> </w:t>
      </w:r>
    </w:p>
    <w:p w14:paraId="4EF28947" w14:textId="7C311E42" w:rsidR="001C4787" w:rsidRPr="00893B6A" w:rsidRDefault="001C4787" w:rsidP="001C4787">
      <w:pPr>
        <w:rPr>
          <w:shd w:val="clear" w:color="auto" w:fill="FFFFFF"/>
        </w:rPr>
      </w:pPr>
      <w:r>
        <w:rPr>
          <w:shd w:val="clear" w:color="auto" w:fill="FFFFFF"/>
        </w:rPr>
        <w:tab/>
        <w:t xml:space="preserve">Lo ve </w:t>
      </w:r>
      <w:r w:rsidR="003B1EAA">
        <w:rPr>
          <w:shd w:val="clear" w:color="auto" w:fill="FFFFFF"/>
        </w:rPr>
        <w:t>ark.</w:t>
      </w:r>
      <w:r>
        <w:rPr>
          <w:shd w:val="clear" w:color="auto" w:fill="FFFFFF"/>
        </w:rPr>
        <w:t xml:space="preserve"> yaptığı bir çalışmada karaciğer </w:t>
      </w:r>
      <w:r w:rsidRPr="008B5956">
        <w:t xml:space="preserve">allogreft </w:t>
      </w:r>
      <w:r>
        <w:rPr>
          <w:shd w:val="clear" w:color="auto" w:fill="FFFFFF"/>
        </w:rPr>
        <w:t>biyopsisinde histolojik olarak kolestaz görülen 165 hastanın etiyolojik nedenleri değerlendirilmiştir.  Kolestaz sebepleri arasında 21 hastada sepsis mevcut olup 3. sıklıkta idi. Ç</w:t>
      </w:r>
      <w:r w:rsidRPr="00814B2D">
        <w:rPr>
          <w:rFonts w:ascii="InterFace-Regular" w:hAnsi="InterFace-Regular"/>
          <w:color w:val="000000"/>
          <w:szCs w:val="24"/>
        </w:rPr>
        <w:t>o</w:t>
      </w:r>
      <w:r w:rsidRPr="00814B2D">
        <w:rPr>
          <w:rFonts w:ascii="ArialMT" w:hAnsi="ArialMT"/>
          <w:color w:val="000000"/>
          <w:szCs w:val="24"/>
        </w:rPr>
        <w:t>ğ</w:t>
      </w:r>
      <w:r w:rsidRPr="00814B2D">
        <w:rPr>
          <w:rFonts w:ascii="InterFace-Regular" w:hAnsi="InterFace-Regular"/>
          <w:color w:val="000000"/>
          <w:szCs w:val="24"/>
        </w:rPr>
        <w:t>u sepsis vakas</w:t>
      </w:r>
      <w:r w:rsidRPr="00814B2D">
        <w:rPr>
          <w:rFonts w:ascii="ArialMT" w:hAnsi="ArialMT"/>
          <w:color w:val="000000"/>
          <w:szCs w:val="24"/>
        </w:rPr>
        <w:t xml:space="preserve">ı </w:t>
      </w:r>
      <w:r>
        <w:rPr>
          <w:rFonts w:ascii="InterFace-Regular" w:hAnsi="InterFace-Regular"/>
          <w:color w:val="000000"/>
          <w:szCs w:val="24"/>
        </w:rPr>
        <w:t>karaciğer naklinden</w:t>
      </w:r>
      <w:r w:rsidRPr="00814B2D">
        <w:rPr>
          <w:rFonts w:ascii="InterFace-Regular" w:hAnsi="InterFace-Regular"/>
          <w:color w:val="000000"/>
          <w:szCs w:val="24"/>
        </w:rPr>
        <w:t xml:space="preserve"> sonraki 1 ay içinde meydana</w:t>
      </w:r>
      <w:r>
        <w:rPr>
          <w:rFonts w:ascii="InterFace-Regular" w:hAnsi="InterFace-Regular"/>
          <w:color w:val="000000"/>
          <w:szCs w:val="24"/>
        </w:rPr>
        <w:t xml:space="preserve"> gelmiştir. </w:t>
      </w:r>
      <w:r w:rsidRPr="008B5956">
        <w:rPr>
          <w:rFonts w:ascii="ArialMT" w:hAnsi="ArialMT"/>
          <w:color w:val="000000"/>
          <w:szCs w:val="24"/>
        </w:rPr>
        <w:t>İ</w:t>
      </w:r>
      <w:r w:rsidRPr="008B5956">
        <w:rPr>
          <w:rFonts w:ascii="InterFace-Regular" w:hAnsi="InterFace-Regular"/>
          <w:color w:val="000000"/>
          <w:szCs w:val="24"/>
        </w:rPr>
        <w:t>nceleme s</w:t>
      </w:r>
      <w:r w:rsidRPr="008B5956">
        <w:rPr>
          <w:rFonts w:ascii="ArialMT" w:hAnsi="ArialMT"/>
          <w:color w:val="000000"/>
          <w:szCs w:val="24"/>
        </w:rPr>
        <w:t>ı</w:t>
      </w:r>
      <w:r w:rsidRPr="008B5956">
        <w:rPr>
          <w:rFonts w:ascii="InterFace-Regular" w:hAnsi="InterFace-Regular"/>
          <w:color w:val="000000"/>
          <w:szCs w:val="24"/>
        </w:rPr>
        <w:t>ras</w:t>
      </w:r>
      <w:r w:rsidRPr="008B5956">
        <w:rPr>
          <w:rFonts w:ascii="ArialMT" w:hAnsi="ArialMT"/>
          <w:color w:val="000000"/>
          <w:szCs w:val="24"/>
        </w:rPr>
        <w:t>ı</w:t>
      </w:r>
      <w:r w:rsidRPr="008B5956">
        <w:rPr>
          <w:rFonts w:ascii="InterFace-Regular" w:hAnsi="InterFace-Regular"/>
          <w:color w:val="000000"/>
          <w:szCs w:val="24"/>
        </w:rPr>
        <w:t>nda 165 hastan</w:t>
      </w:r>
      <w:r w:rsidRPr="008B5956">
        <w:rPr>
          <w:rFonts w:ascii="ArialMT" w:hAnsi="ArialMT"/>
          <w:color w:val="000000"/>
          <w:szCs w:val="24"/>
        </w:rPr>
        <w:t>ı</w:t>
      </w:r>
      <w:r w:rsidRPr="008B5956">
        <w:rPr>
          <w:rFonts w:ascii="InterFace-Regular" w:hAnsi="InterFace-Regular"/>
          <w:color w:val="000000"/>
          <w:szCs w:val="24"/>
        </w:rPr>
        <w:t>n 66's</w:t>
      </w:r>
      <w:r w:rsidRPr="008B5956">
        <w:rPr>
          <w:rFonts w:ascii="ArialMT" w:hAnsi="ArialMT"/>
          <w:color w:val="000000"/>
          <w:szCs w:val="24"/>
        </w:rPr>
        <w:t xml:space="preserve">ı </w:t>
      </w:r>
      <w:r w:rsidRPr="008B5956">
        <w:rPr>
          <w:rFonts w:ascii="InterFace-Regular" w:hAnsi="InterFace-Regular"/>
          <w:color w:val="000000"/>
          <w:szCs w:val="24"/>
        </w:rPr>
        <w:t>ölmü</w:t>
      </w:r>
      <w:r w:rsidRPr="008B5956">
        <w:rPr>
          <w:rFonts w:ascii="ArialMT" w:hAnsi="ArialMT"/>
          <w:color w:val="000000"/>
          <w:szCs w:val="24"/>
        </w:rPr>
        <w:t>ş</w:t>
      </w:r>
      <w:r>
        <w:rPr>
          <w:rFonts w:ascii="ArialMT" w:hAnsi="ArialMT"/>
          <w:color w:val="000000"/>
          <w:szCs w:val="24"/>
        </w:rPr>
        <w:t xml:space="preserve"> olup</w:t>
      </w:r>
      <w:r>
        <w:rPr>
          <w:rFonts w:ascii="InterFace-Regular" w:hAnsi="InterFace-Regular"/>
          <w:color w:val="000000"/>
          <w:szCs w:val="24"/>
        </w:rPr>
        <w:t xml:space="preserve"> en sık</w:t>
      </w:r>
      <w:r w:rsidRPr="008B5956">
        <w:rPr>
          <w:rFonts w:ascii="InterFace-Regular" w:hAnsi="InterFace-Regular"/>
          <w:color w:val="000000"/>
          <w:szCs w:val="24"/>
        </w:rPr>
        <w:t xml:space="preserve"> ölüm neden</w:t>
      </w:r>
      <w:r>
        <w:rPr>
          <w:rFonts w:ascii="InterFace-Regular" w:hAnsi="InterFace-Regular"/>
          <w:color w:val="000000"/>
          <w:szCs w:val="24"/>
        </w:rPr>
        <w:t>i</w:t>
      </w:r>
      <w:r w:rsidRPr="008B5956">
        <w:rPr>
          <w:rFonts w:ascii="InterFace-Regular" w:hAnsi="InterFace-Regular"/>
          <w:color w:val="000000"/>
          <w:szCs w:val="24"/>
        </w:rPr>
        <w:t xml:space="preserve"> sepsis (n = 12)</w:t>
      </w:r>
      <w:r>
        <w:rPr>
          <w:rFonts w:ascii="InterFace-Regular" w:hAnsi="InterFace-Regular"/>
          <w:color w:val="000000"/>
          <w:szCs w:val="24"/>
        </w:rPr>
        <w:t xml:space="preserve"> olarak bulunmuştur </w:t>
      </w:r>
      <w:r>
        <w:fldChar w:fldCharType="begin" w:fldLock="1"/>
      </w:r>
      <w:r w:rsidR="00FE6C1A">
        <w:instrText>ADDIN CSL_CITATION {"citationItems":[{"id":"ITEM-1","itemData":{"DOI":"10.1136/jclinpath-2017-204334","ISSN":"14724146","abstract":"Aims Liver allograft biopsy is important in the management of liver transplant (LT) recipients. Cholestasis is an indicator of liver dysfunction, and histological evidence of cholestasis can be observed in a wide range of pathological entities in the post-LT setting. In this study, we describe the clinicopathological features and significance of liver allograft biopsies with histological cholestasis over 11 years in our centre. Methods Liver allograft biopsies performed in Queen Mary Hospital, Hong Kong from 2004 to 2014 showing histological cholestasis were retrieved from the pathology archive. Clinical and pathological data were retrospectively reviewed and analyzed. Results Among the 254 biopsies from 167 patients, large duct obstruction (LDO) and acute cellular rejection (ACR) were the two main aetiologies associated with cholestasis. There was a decrease in sepsis as a cause over the study duration. In cases showing cholestasis at 6 months or more after LT, LDO was more common than ACR. Over half (61%) of the 254 biopsies showed mild cholestasis. Severe panacinar cholestasis was more often observed in LDO. Mild cholestasis was most commonly observed regardless of the severity of ACR. Severe cholestasis was associated with poorer 1-year and 3-year graft survival and patient survival, as well as higher 3-month and 6-month post-biopsy mortality. Conclusion Histological cholestasis and its severity in liver allograft biopsies has clinical and prognostic significance. Our study summarizes our previous experience and provides further insights into the management of post-LT patients.","author":[{"dropping-particle":"","family":"Lo","given":"Regina Cheuk Lam","non-dropping-particle":"","parse-names":false,"suffix":""},{"dropping-particle":"","family":"Chan","given":"Kristy Kwan Shuen","non-dropping-particle":"","parse-names":false,"suffix":""},{"dropping-particle":"","family":"Chok","given":"Kenneth Siu Ho","non-dropping-particle":"","parse-names":false,"suffix":""},{"dropping-particle":"","family":"Ng","given":"Irene Oi Lin","non-dropping-particle":"","parse-names":false,"suffix":""}],"container-title":"Journal of Clinical Pathology","id":"ITEM-1","issue":"1","issued":{"date-parts":[["2018","1","1"]]},"page":"72-78","publisher":"BMJ Publishing Group","title":"Liver allograft biopsies with histological cholestasis: A clinicopathological study of 254 cases from a single centre","type":"article-journal","volume":"71"},"uris":["http://www.mendeley.com/documents/?uuid=cd63ef12-76bd-395f-897a-d3200c43447c"]}],"mendeley":{"formattedCitation":"(138)","plainTextFormattedCitation":"(138)","previouslyFormattedCitation":"(138)"},"properties":{"noteIndex":0},"schema":"https://github.com/citation-style-language/schema/raw/master/csl-citation.json"}</w:instrText>
      </w:r>
      <w:r>
        <w:fldChar w:fldCharType="separate"/>
      </w:r>
      <w:r w:rsidRPr="001C4787">
        <w:rPr>
          <w:noProof/>
        </w:rPr>
        <w:t>(138)</w:t>
      </w:r>
      <w:r>
        <w:fldChar w:fldCharType="end"/>
      </w:r>
      <w:r>
        <w:t xml:space="preserve">. </w:t>
      </w:r>
    </w:p>
    <w:p w14:paraId="498947F4" w14:textId="424848A6" w:rsidR="001C4787" w:rsidRDefault="001C4787" w:rsidP="001C4787">
      <w:pPr>
        <w:rPr>
          <w:shd w:val="clear" w:color="auto" w:fill="FFFFFF"/>
        </w:rPr>
      </w:pPr>
      <w:r w:rsidRPr="007B0F1C">
        <w:t>İskemi durumunda akut hepatosit nekrozu nedeniyle transaminazlar</w:t>
      </w:r>
      <w:r w:rsidRPr="007B0F1C">
        <w:rPr>
          <w:shd w:val="clear" w:color="auto" w:fill="FFFFFF"/>
        </w:rPr>
        <w:t xml:space="preserve"> normalin 20 katına kadar ani bir artış gösterir ve bunu koagülopati izler. Az bir hastada ise bilirübin </w:t>
      </w:r>
      <w:r>
        <w:rPr>
          <w:shd w:val="clear" w:color="auto" w:fill="FFFFFF"/>
        </w:rPr>
        <w:t xml:space="preserve">düzeyi </w:t>
      </w:r>
      <w:r w:rsidRPr="007B0F1C">
        <w:rPr>
          <w:shd w:val="clear" w:color="auto" w:fill="FFFFFF"/>
        </w:rPr>
        <w:t>de artar. Bu artış komplikasyonlarla ve mortalite ile ilişkilidir. Karaciğer biyopsisinde tipik olarak yaygın sentrilobüler nekroz görülür</w:t>
      </w:r>
      <w:r>
        <w:rPr>
          <w:shd w:val="clear" w:color="auto" w:fill="FFFFFF"/>
        </w:rPr>
        <w:t xml:space="preserve"> </w:t>
      </w:r>
      <w:r>
        <w:rPr>
          <w:shd w:val="clear" w:color="auto" w:fill="FFFFFF"/>
        </w:rPr>
        <w:fldChar w:fldCharType="begin" w:fldLock="1"/>
      </w:r>
      <w:r w:rsidR="00FE6C1A">
        <w:rPr>
          <w:shd w:val="clear" w:color="auto" w:fill="FFFFFF"/>
        </w:rPr>
        <w:instrText>ADDIN CSL_CITATION {"citationItems":[{"id":"ITEM-1","itemData":{"DOI":"10.1002/cld.543","ISSN":"20462484","author":[{"dropping-particle":"","family":"Bernal","given":"William","non-dropping-particle":"","parse-names":false,"suffix":""}],"container-title":"Clinical Liver Disease","id":"ITEM-1","issue":"4","issued":{"date-parts":[["2016","4","1"]]},"page":"88-91","publisher":"John Wiley and Sons Inc.","title":"The liver in systemic disease: Sepsis and critical illness","type":"article","volume":"7"},"uris":["http://www.mendeley.com/documents/?uuid=7b83a37b-0542-3e0b-a855-8a51b08c671c"]}],"mendeley":{"formattedCitation":"(139)","plainTextFormattedCitation":"(139)","previouslyFormattedCitation":"(139)"},"properties":{"noteIndex":0},"schema":"https://github.com/citation-style-language/schema/raw/master/csl-citation.json"}</w:instrText>
      </w:r>
      <w:r>
        <w:rPr>
          <w:shd w:val="clear" w:color="auto" w:fill="FFFFFF"/>
        </w:rPr>
        <w:fldChar w:fldCharType="separate"/>
      </w:r>
      <w:r w:rsidRPr="001C4787">
        <w:rPr>
          <w:noProof/>
          <w:shd w:val="clear" w:color="auto" w:fill="FFFFFF"/>
        </w:rPr>
        <w:t>(139)</w:t>
      </w:r>
      <w:r>
        <w:rPr>
          <w:shd w:val="clear" w:color="auto" w:fill="FFFFFF"/>
        </w:rPr>
        <w:fldChar w:fldCharType="end"/>
      </w:r>
      <w:r w:rsidRPr="007B0F1C">
        <w:rPr>
          <w:shd w:val="clear" w:color="auto" w:fill="FFFFFF"/>
        </w:rPr>
        <w:t xml:space="preserve">. </w:t>
      </w:r>
    </w:p>
    <w:p w14:paraId="2BC181AB" w14:textId="20F1B402" w:rsidR="001C4787" w:rsidRPr="001C4787" w:rsidRDefault="001C4787" w:rsidP="001C4787">
      <w:pPr>
        <w:rPr>
          <w:sz w:val="20"/>
          <w:szCs w:val="20"/>
          <w:shd w:val="clear" w:color="auto" w:fill="FFFFFF"/>
        </w:rPr>
      </w:pPr>
      <w:r w:rsidRPr="00F75AC2">
        <w:rPr>
          <w:shd w:val="clear" w:color="auto" w:fill="FFFFFF"/>
        </w:rPr>
        <w:t xml:space="preserve">Çalışmamızda karaciğerde nekroz görülen hastaların </w:t>
      </w:r>
      <w:r w:rsidRPr="00F75AC2">
        <w:t xml:space="preserve">transaminazlar, bilirübin ve </w:t>
      </w:r>
      <w:r w:rsidR="00EE69CB">
        <w:t>PTZ</w:t>
      </w:r>
      <w:r w:rsidRPr="00F75AC2">
        <w:t xml:space="preserve"> değerleri yüksek ölçüldü. </w:t>
      </w:r>
      <w:r>
        <w:t xml:space="preserve">Çalışmamızda özellikle, total </w:t>
      </w:r>
      <w:r w:rsidRPr="00E4630F">
        <w:t xml:space="preserve">bilirübin seviyesi histolojik </w:t>
      </w:r>
      <w:r w:rsidRPr="00E4630F">
        <w:lastRenderedPageBreak/>
        <w:t>kolestaz derecesi ile kademeli bir art</w:t>
      </w:r>
      <w:r w:rsidRPr="00E4630F">
        <w:rPr>
          <w:rFonts w:ascii="ArialMT" w:hAnsi="ArialMT"/>
        </w:rPr>
        <w:t xml:space="preserve">ış </w:t>
      </w:r>
      <w:r w:rsidRPr="00E4630F">
        <w:t xml:space="preserve">gösterdi. Kolestaz görülen 17 (%70,8) hastanın </w:t>
      </w:r>
      <w:r w:rsidR="000A36FC" w:rsidRPr="00E4630F">
        <w:t>ortalama</w:t>
      </w:r>
      <w:r w:rsidRPr="00E4630F">
        <w:t xml:space="preserve"> bilirübin değeri 12,07±8,75 </w:t>
      </w:r>
      <w:r w:rsidR="00742672">
        <w:t>mg/dl</w:t>
      </w:r>
      <w:r w:rsidRPr="00E4630F">
        <w:t xml:space="preserve"> idi.</w:t>
      </w:r>
    </w:p>
    <w:p w14:paraId="47DD46B2" w14:textId="77777777" w:rsidR="001C4787" w:rsidRDefault="00013FE6" w:rsidP="001C4787">
      <w:r w:rsidRPr="00013FE6">
        <w:t>Hastaların 14’ünde  (%58.3) değişik derecelerde makroveziküler steatoz görüldü. Hastalardan steatoz yoğunluğu %5’in altında olanlarda (n=5) bu bulgu anlamlı kabul edilmezken, %5-50 arasında değişen oranlarda steatoz görülen hastalarda (n=9) “hücre hasarı olduğu”  kabul edildi. Bir hastada (4 nolu hasta) ise hafif steatoz görülmesine rağmen yaygın nekroz nedeniyle oran verilemedi.</w:t>
      </w:r>
    </w:p>
    <w:p w14:paraId="14550F19" w14:textId="25A2A570" w:rsidR="001C4787" w:rsidRDefault="001C4787" w:rsidP="001C4787">
      <w:pPr>
        <w:rPr>
          <w:shd w:val="clear" w:color="auto" w:fill="FFFFFF"/>
        </w:rPr>
      </w:pPr>
      <w:r>
        <w:rPr>
          <w:shd w:val="clear" w:color="auto" w:fill="FFFFFF"/>
        </w:rPr>
        <w:t>Sepsis ve biliyer problemlerin neden doku reddi ile ilişkili olduğu açık değildir. Karaciğer ve safra yollarındaki enfeksiyonların, hepatositler ve safra epitelyumu üzerindeki MHC antijeninin ekspresyonunu indüklediği bilinmektedir. Sepsis sırasında salınan enflamatuar sitokinler, karaciğer rejeksiyonuna aracılık edebilir ve bu da greft reddine daha duyarlı olmasını sağlayabilir. Öte yandan, bu tür bir enfeksiyonu veya komplikasyonu tedavi etmek için yetersiz</w:t>
      </w:r>
      <w:r w:rsidR="000A36FC">
        <w:rPr>
          <w:shd w:val="clear" w:color="auto" w:fill="FFFFFF"/>
        </w:rPr>
        <w:t xml:space="preserve"> immünosupresyon uygulanması</w:t>
      </w:r>
      <w:r>
        <w:rPr>
          <w:shd w:val="clear" w:color="auto" w:fill="FFFFFF"/>
        </w:rPr>
        <w:t xml:space="preserve">na bağlı olarak da rejeksiyon gelişmesi mümkündür. Sepsisteki safra yolları problemleri ve rejeksiyon gibi komplikasyonlar, kötü sonuçlarla ilişkilidir </w:t>
      </w:r>
      <w:r>
        <w:rPr>
          <w:shd w:val="clear" w:color="auto" w:fill="FFFFFF"/>
        </w:rPr>
        <w:fldChar w:fldCharType="begin" w:fldLock="1"/>
      </w:r>
      <w:r>
        <w:rPr>
          <w:shd w:val="clear" w:color="auto" w:fill="FFFFFF"/>
        </w:rPr>
        <w:instrText>ADDIN CSL_CITATION {"citationItems":[{"id":"ITEM-1","itemData":{"DOI":"10.1111/j.1399-0012.2007.00788.x","ISSN":"09020063","abstract":"Hepatic allograft rejection still remains an important problem following liver transplantation. Early acute rejection, occurring within three months of transplant, is a common event and usually of lesser significance with respect to prognosis than other non-immune-related post-transplant morbidities. However, little is known about late acute rejection (LAR) including factors affecting its occurrence and long-term outcome. In this study, we analyzed LAR including the incidence, clinical risk factors, patient survival, and graft survival. LAR was defined as acute cellular rejection later than six months after liver transplant. Adult patients who had a minimum of 24 months of graft survival were included in this study. A total of 1604 case records of consecutive adult patients (over age 18 yr) who underwent liver transplant between 1985 and 2003 were reviewed. Of the 1604 patients, 305 (19.0%) developed LAR. Patients with primary diagnoses of autoimmune hepatitis, primary biliary cirrhosis, and primary sclerosing cholangitis had higher incidences of LAR, while patients with metabolic disease and retransplant had lower incidence of LAR (p = 0.0024). The LAR group had more female and younger recipients than the no LAR group (p = 0.0026, p = 0.0131, respectively). Patient survival as well as graft survival were significantly lower in the LAR group (p = 0.0083, p = 0.0075, respectively). PTLD was the only significant independent predictor of late rejection. The careful management and treatment of PTLD, especially immunosuppressive management, is important to prevent LAR, which is related to poorer patient survival. © Journal compilation © 2008 Blackwell Munksgaard.","author":[{"dropping-particle":"","family":"Uemura","given":"Tadahiro","non-dropping-particle":"","parse-names":false,"suffix":""},{"dropping-particle":"","family":"Ikegami","given":"Toru","non-dropping-particle":"","parse-names":false,"suffix":""},{"dropping-particle":"","family":"Sanchez","given":"Edmund Q.","non-dropping-particle":"","parse-names":false,"suffix":""},{"dropping-particle":"","family":"Jennings","given":"Linda W.","non-dropping-particle":"","parse-names":false,"suffix":""},{"dropping-particle":"","family":"Narasimhan","given":"Gomathy","non-dropping-particle":"","parse-names":false,"suffix":""},{"dropping-particle":"","family":"McKenna","given":"Greg J.","non-dropping-particle":"","parse-names":false,"suffix":""},{"dropping-particle":"","family":"Randall","given":"Henry B.","non-dropping-particle":"","parse-names":false,"suffix":""},{"dropping-particle":"","family":"Chinnakotla","given":"Srinath","non-dropping-particle":"","parse-names":false,"suffix":""},{"dropping-particle":"","family":"Levy","given":"Marlon F.","non-dropping-particle":"","parse-names":false,"suffix":""},{"dropping-particle":"","family":"Goldstein","given":"Robert M.","non-dropping-particle":"","parse-names":false,"suffix":""},{"dropping-particle":"","family":"Klintmalm","given":"Goran B.","non-dropping-particle":"","parse-names":false,"suffix":""}],"container-title":"Clinical Transplantation","id":"ITEM-1","issue":"3","issued":{"date-parts":[["2008","1","11"]]},"page":"316-323","publisher":"John Wiley &amp; Sons, Ltd","title":"Late acute rejection after liver transplantation impacts patient survival","type":"article-journal","volume":"22"},"uris":["http://www.mendeley.com/documents/?uuid=0d07b954-42b1-38da-88db-db6606d57236"]}],"mendeley":{"formattedCitation":"(117)","plainTextFormattedCitation":"(117)","previouslyFormattedCitation":"(117)"},"properties":{"noteIndex":0},"schema":"https://github.com/citation-style-language/schema/raw/master/csl-citation.json"}</w:instrText>
      </w:r>
      <w:r>
        <w:rPr>
          <w:shd w:val="clear" w:color="auto" w:fill="FFFFFF"/>
        </w:rPr>
        <w:fldChar w:fldCharType="separate"/>
      </w:r>
      <w:r w:rsidRPr="00013FE6">
        <w:rPr>
          <w:noProof/>
          <w:shd w:val="clear" w:color="auto" w:fill="FFFFFF"/>
        </w:rPr>
        <w:t>(117)</w:t>
      </w:r>
      <w:r>
        <w:rPr>
          <w:shd w:val="clear" w:color="auto" w:fill="FFFFFF"/>
        </w:rPr>
        <w:fldChar w:fldCharType="end"/>
      </w:r>
      <w:r>
        <w:rPr>
          <w:shd w:val="clear" w:color="auto" w:fill="FFFFFF"/>
        </w:rPr>
        <w:t xml:space="preserve">. </w:t>
      </w:r>
    </w:p>
    <w:p w14:paraId="5CD111D2" w14:textId="5BA58C2A" w:rsidR="001C4787" w:rsidRDefault="001C4787" w:rsidP="001C4787">
      <w:r w:rsidRPr="00A9164F">
        <w:rPr>
          <w:shd w:val="clear" w:color="auto" w:fill="FFFFFF"/>
        </w:rPr>
        <w:t xml:space="preserve">Çalışmamızda 5 </w:t>
      </w:r>
      <w:r>
        <w:rPr>
          <w:shd w:val="clear" w:color="auto" w:fill="FFFFFF"/>
        </w:rPr>
        <w:t xml:space="preserve">(20,8) </w:t>
      </w:r>
      <w:r w:rsidRPr="00A9164F">
        <w:rPr>
          <w:shd w:val="clear" w:color="auto" w:fill="FFFFFF"/>
        </w:rPr>
        <w:t>hastada</w:t>
      </w:r>
      <w:r>
        <w:rPr>
          <w:shd w:val="clear" w:color="auto" w:fill="FFFFFF"/>
        </w:rPr>
        <w:t xml:space="preserve"> hafif-orta düzeyde</w:t>
      </w:r>
      <w:r w:rsidRPr="00A9164F">
        <w:rPr>
          <w:shd w:val="clear" w:color="auto" w:fill="FFFFFF"/>
        </w:rPr>
        <w:t xml:space="preserve"> TCMR ve C4d pozitifliği saptandı. Bu bulgular</w:t>
      </w:r>
      <w:r>
        <w:rPr>
          <w:shd w:val="clear" w:color="auto" w:fill="FFFFFF"/>
        </w:rPr>
        <w:t>, T</w:t>
      </w:r>
      <w:r w:rsidRPr="00A9164F">
        <w:rPr>
          <w:shd w:val="clear" w:color="auto" w:fill="FFFFFF"/>
        </w:rPr>
        <w:t xml:space="preserve"> hücre</w:t>
      </w:r>
      <w:r>
        <w:rPr>
          <w:shd w:val="clear" w:color="auto" w:fill="FFFFFF"/>
        </w:rPr>
        <w:t xml:space="preserve"> aracılı</w:t>
      </w:r>
      <w:r w:rsidRPr="00A9164F">
        <w:rPr>
          <w:shd w:val="clear" w:color="auto" w:fill="FFFFFF"/>
        </w:rPr>
        <w:t xml:space="preserve"> </w:t>
      </w:r>
      <w:r>
        <w:rPr>
          <w:shd w:val="clear" w:color="auto" w:fill="FFFFFF"/>
        </w:rPr>
        <w:t xml:space="preserve">veya antikor aracılı </w:t>
      </w:r>
      <w:r w:rsidRPr="00A9164F">
        <w:rPr>
          <w:shd w:val="clear" w:color="auto" w:fill="FFFFFF"/>
        </w:rPr>
        <w:t>rejeksiyonu göstermektedir.</w:t>
      </w:r>
      <w:r w:rsidRPr="001C4787">
        <w:t xml:space="preserve"> </w:t>
      </w:r>
      <w:r w:rsidRPr="00013FE6">
        <w:t>C4d (kompleman bileşeni): transplant hastalarında antikor (humoral) aracılı rejeksiyonda pozitif bekleriz,</w:t>
      </w:r>
      <w:r>
        <w:t xml:space="preserve"> ancak</w:t>
      </w:r>
      <w:r w:rsidRPr="00013FE6">
        <w:t xml:space="preserve"> C4d her zaman pozitif görülmeyebilir.</w:t>
      </w:r>
    </w:p>
    <w:p w14:paraId="5827EAFC" w14:textId="520EFEC4" w:rsidR="001C4787" w:rsidRPr="004116A6" w:rsidRDefault="001C4787" w:rsidP="001C4787">
      <w:r w:rsidRPr="004116A6">
        <w:t>C4d ile TREM-1 arasında anlamlı bir ilişki olduğu görüldü. Hasta hasta say</w:t>
      </w:r>
      <w:r w:rsidR="00B235ED">
        <w:t>ısının artması ile birlikte C4d’</w:t>
      </w:r>
      <w:r w:rsidRPr="004116A6">
        <w:t>nin anlamlı bir bulgu olacağını düşünmekteyiz.</w:t>
      </w:r>
    </w:p>
    <w:p w14:paraId="081C7750" w14:textId="77777777" w:rsidR="00FE6C1A" w:rsidRDefault="00013FE6" w:rsidP="00170FBE">
      <w:r w:rsidRPr="00013FE6">
        <w:t>Bu bulgular sepsis tanısını desteklemekle beraber sepsis tablosundaki hastalarda eş zamanlı olarak da bulunabilmektedir. 15. ve 22. vakaların preparatlarında tam nekroz mevcuttu. Bu, doku alım tekniği ile ilgili de olabileceği gibi sepsise sekonder trombüse bağlı da olabilir.</w:t>
      </w:r>
    </w:p>
    <w:p w14:paraId="323A9798" w14:textId="30B44DDC" w:rsidR="0046459C" w:rsidRPr="0046459C" w:rsidRDefault="0046459C" w:rsidP="00170FBE">
      <w:pPr>
        <w:rPr>
          <w:color w:val="FF0000"/>
        </w:rPr>
      </w:pPr>
      <w:r>
        <w:t>İskemik nekroz görülen hastalarla IL-6 arasında pozitif ve istatistiksel olarak anlamlı</w:t>
      </w:r>
      <w:r w:rsidR="00FE6C1A">
        <w:t xml:space="preserve"> bir</w:t>
      </w:r>
      <w:r>
        <w:t xml:space="preserve"> korelasyon görüldü (</w:t>
      </w:r>
      <w:r w:rsidR="008E65F3">
        <w:t>p=0.</w:t>
      </w:r>
      <w:r>
        <w:t>036). Kolestaz ile hem IL-6 hem de IL-17 arasında istatistiksel olarak anlamlı bir korelasyon görüldü (</w:t>
      </w:r>
      <w:r w:rsidR="008E65F3">
        <w:t>p=0.</w:t>
      </w:r>
      <w:r>
        <w:t xml:space="preserve">014 ve </w:t>
      </w:r>
      <w:r w:rsidR="008E65F3">
        <w:t>p=0.</w:t>
      </w:r>
      <w:r>
        <w:t>005). WBC ile TCMR arasında pozitif bir korelasyon görüldü (</w:t>
      </w:r>
      <w:r w:rsidR="008E65F3">
        <w:t>p=0.</w:t>
      </w:r>
      <w:r>
        <w:t xml:space="preserve">05). Duktuler proliferasyon ile IL-4, IL-10 ve lenfosit sayısı arasında anlamlı korelasyon </w:t>
      </w:r>
      <w:r w:rsidR="000A36FC">
        <w:t>mevcut</w:t>
      </w:r>
      <w:r>
        <w:t xml:space="preserve"> idi (</w:t>
      </w:r>
      <w:r w:rsidR="008E65F3">
        <w:t>p=0.</w:t>
      </w:r>
      <w:r>
        <w:t xml:space="preserve">04, </w:t>
      </w:r>
      <w:r w:rsidR="008E65F3">
        <w:t>p=0.</w:t>
      </w:r>
      <w:r>
        <w:t xml:space="preserve">043 ve </w:t>
      </w:r>
      <w:r w:rsidR="008E65F3">
        <w:t>p=0.</w:t>
      </w:r>
      <w:r>
        <w:t>009). C4d pozitifliği ile TREM-1 arasında istatistiksel olarak anlamlı korelasyon görüldü (</w:t>
      </w:r>
      <w:r w:rsidR="008E65F3">
        <w:t>p=0.</w:t>
      </w:r>
      <w:r>
        <w:t>016). Steatoz ile sHLA-G arasında istatistiksel olarak anlamlı korelasyon görüldü (</w:t>
      </w:r>
      <w:r w:rsidR="008E65F3">
        <w:t>p=0.</w:t>
      </w:r>
      <w:r>
        <w:t>05</w:t>
      </w:r>
      <w:r w:rsidRPr="0046459C">
        <w:t>). Ancak korelasyon kat sayılarına</w:t>
      </w:r>
      <w:r w:rsidR="000A36FC">
        <w:t xml:space="preserve"> </w:t>
      </w:r>
      <w:r w:rsidRPr="0046459C">
        <w:t>bakıldığında elde edilen korelasyonların hepsi zayıftı</w:t>
      </w:r>
      <w:r w:rsidR="00170FBE">
        <w:t>.</w:t>
      </w:r>
    </w:p>
    <w:p w14:paraId="31CB2D0E" w14:textId="204FEAEC" w:rsidR="001F7F64" w:rsidRDefault="00FF32DB" w:rsidP="00FF32DB">
      <w:pPr>
        <w:pStyle w:val="Balk2"/>
        <w:numPr>
          <w:ilvl w:val="0"/>
          <w:numId w:val="0"/>
        </w:numPr>
        <w:ind w:left="576"/>
      </w:pPr>
      <w:bookmarkStart w:id="598" w:name="_Toc49815806"/>
      <w:bookmarkStart w:id="599" w:name="_Toc55727866"/>
      <w:bookmarkStart w:id="600" w:name="_Toc45265960"/>
      <w:r>
        <w:lastRenderedPageBreak/>
        <w:t>Histoloji</w:t>
      </w:r>
      <w:bookmarkEnd w:id="598"/>
      <w:bookmarkEnd w:id="599"/>
      <w:r>
        <w:t xml:space="preserve"> </w:t>
      </w:r>
      <w:bookmarkEnd w:id="600"/>
    </w:p>
    <w:p w14:paraId="31CB2D10" w14:textId="7E244D5A" w:rsidR="00B476E5" w:rsidRDefault="00B476E5" w:rsidP="00482305">
      <w:pPr>
        <w:rPr>
          <w:shd w:val="clear" w:color="auto" w:fill="FFFFFF"/>
        </w:rPr>
      </w:pPr>
      <w:r>
        <w:t xml:space="preserve">Watanabe ve </w:t>
      </w:r>
      <w:r w:rsidR="003B1EAA">
        <w:t>ark.</w:t>
      </w:r>
      <w:r>
        <w:t xml:space="preserve"> yaptığı deneysel </w:t>
      </w:r>
      <w:r w:rsidR="006C2288">
        <w:t xml:space="preserve">septik farelerin karaciğer biyopsisinin elektron mikroskobik incelemesine göre, </w:t>
      </w:r>
      <w:r w:rsidR="006C2288">
        <w:rPr>
          <w:shd w:val="clear" w:color="auto" w:fill="FFFFFF"/>
        </w:rPr>
        <w:t>hastalarda artmış otofajik vakuol ve otofagolizozomal yapılar görül</w:t>
      </w:r>
      <w:r w:rsidR="00114959">
        <w:rPr>
          <w:shd w:val="clear" w:color="auto" w:fill="FFFFFF"/>
        </w:rPr>
        <w:t>müştür</w:t>
      </w:r>
      <w:r w:rsidR="006C2288">
        <w:rPr>
          <w:shd w:val="clear" w:color="auto" w:fill="FFFFFF"/>
        </w:rPr>
        <w:t>.</w:t>
      </w:r>
      <w:r w:rsidR="006C2288" w:rsidRPr="006C2288">
        <w:rPr>
          <w:shd w:val="clear" w:color="auto" w:fill="FFFFFF"/>
        </w:rPr>
        <w:t xml:space="preserve"> </w:t>
      </w:r>
      <w:r w:rsidR="006C2288">
        <w:rPr>
          <w:shd w:val="clear" w:color="auto" w:fill="FFFFFF"/>
        </w:rPr>
        <w:t> Sepsiste mitokondri alt popülasyonunda membran değişiklikleri</w:t>
      </w:r>
      <w:r w:rsidR="00114959">
        <w:rPr>
          <w:shd w:val="clear" w:color="auto" w:fill="FFFFFF"/>
        </w:rPr>
        <w:t>nin</w:t>
      </w:r>
      <w:r w:rsidR="006C2288">
        <w:rPr>
          <w:shd w:val="clear" w:color="auto" w:fill="FFFFFF"/>
        </w:rPr>
        <w:t xml:space="preserve"> (membran vakuolleri, bitişik organellere invajinasyon ve miyelin benzeri değişiklikler) meydana geldi</w:t>
      </w:r>
      <w:r w:rsidR="00114959">
        <w:rPr>
          <w:shd w:val="clear" w:color="auto" w:fill="FFFFFF"/>
        </w:rPr>
        <w:t>ği bildirilmiştir</w:t>
      </w:r>
      <w:r w:rsidR="006C2288">
        <w:rPr>
          <w:shd w:val="clear" w:color="auto" w:fill="FFFFFF"/>
        </w:rPr>
        <w:t xml:space="preserve">. </w:t>
      </w:r>
    </w:p>
    <w:p w14:paraId="31CB2D11" w14:textId="77777777" w:rsidR="006C2288" w:rsidRDefault="006C2288" w:rsidP="00114959">
      <w:r>
        <w:rPr>
          <w:shd w:val="clear" w:color="auto" w:fill="FFFFFF"/>
        </w:rPr>
        <w:t>Benzer bulgular</w:t>
      </w:r>
      <w:r w:rsidRPr="006C2288">
        <w:rPr>
          <w:shd w:val="clear" w:color="auto" w:fill="FFFFFF"/>
        </w:rPr>
        <w:t xml:space="preserve"> </w:t>
      </w:r>
      <w:r>
        <w:rPr>
          <w:shd w:val="clear" w:color="auto" w:fill="FFFFFF"/>
        </w:rPr>
        <w:t>bizim çalışmamızda da görüldü. H</w:t>
      </w:r>
      <w:r w:rsidRPr="00AE1F9B">
        <w:t>epatositlerin büyük çoğunluğunda, farklı boyutlarda ve elektron yoğunlukta lizozom, fagozom ve otofagozomlar tespit edildi</w:t>
      </w:r>
      <w:r>
        <w:rPr>
          <w:shd w:val="clear" w:color="auto" w:fill="FFFFFF"/>
        </w:rPr>
        <w:t xml:space="preserve">. </w:t>
      </w:r>
      <w:r>
        <w:t>F</w:t>
      </w:r>
      <w:r w:rsidRPr="00AE1F9B">
        <w:t>arklı oranlarda kısmi mitokondriyon hasarı ve dejenerasyonu tespit edildi. Mitokondriyonlarda izlenen hasar ve dejenerasyon değikşiklikleri, mitokondriyal dilatasyon/şişme, mitokondriyal matris yoğunlaşması ve piknoz, kısmi ve total krista hasarı/dejenerasyonu, mitokondri şeklinde deformasyon (uzun ve kıvrılmış mitokondriyonlar), mitokondriyon matriksinde kristalin birikimi olarak tespit edildi</w:t>
      </w:r>
      <w:r>
        <w:t>.</w:t>
      </w:r>
    </w:p>
    <w:p w14:paraId="31CB2D12" w14:textId="6A53F891" w:rsidR="000568DB" w:rsidRPr="000568DB" w:rsidRDefault="000568DB" w:rsidP="00114959">
      <w:r w:rsidRPr="000568DB">
        <w:t>Çalışmamızda bazı hepatositlerde intrasitoplazmik kollajen fibril grupları tespit edildi. Literat</w:t>
      </w:r>
      <w:r>
        <w:t>ürde de benzer vakaya rastlandı</w:t>
      </w:r>
      <w:r w:rsidRPr="000568DB">
        <w:t xml:space="preserve"> </w:t>
      </w:r>
      <w:r w:rsidRPr="000568DB">
        <w:fldChar w:fldCharType="begin" w:fldLock="1"/>
      </w:r>
      <w:r w:rsidR="0085653B">
        <w:instrText>ADDIN CSL_CITATION {"citationItems":[{"id":"ITEM-1","itemData":{"DOI":"10.3109/01913128309140577","ISSN":"01913123","container-title":"Ultrastructural Pathology","id":"ITEM-1","issue":"1","issued":{"date-parts":[["1983"]]},"page":"101-105","publisher":"Informa Healthcare","title":"A case for the panel intracellular collagen in hepatocytes","type":"article","volume":"4"},"uris":["http://www.mendeley.com/documents/?uuid=ac675c87-6d86-392d-ae5e-823e8de71f97"]}],"mendeley":{"formattedCitation":"(140)","plainTextFormattedCitation":"(140)","previouslyFormattedCitation":"(140)"},"properties":{"noteIndex":0},"schema":"https://github.com/citation-style-language/schema/raw/master/csl-citation.json"}</w:instrText>
      </w:r>
      <w:r w:rsidRPr="000568DB">
        <w:fldChar w:fldCharType="separate"/>
      </w:r>
      <w:r w:rsidR="0085653B" w:rsidRPr="0085653B">
        <w:rPr>
          <w:noProof/>
        </w:rPr>
        <w:t>(140)</w:t>
      </w:r>
      <w:r w:rsidRPr="000568DB">
        <w:fldChar w:fldCharType="end"/>
      </w:r>
      <w:r>
        <w:t>.</w:t>
      </w:r>
    </w:p>
    <w:p w14:paraId="31CB2D13" w14:textId="28C56070" w:rsidR="00114959" w:rsidRDefault="00147A80" w:rsidP="00114959">
      <w:pPr>
        <w:rPr>
          <w:b/>
          <w:color w:val="FF0000"/>
        </w:rPr>
      </w:pPr>
      <w:r>
        <w:t xml:space="preserve">Bir dizi patolojik durumda insan karaciğer parankimal hücrelerinin mitokondrilerinde inklüzyonlar gözlenmiştir ve "kristalin", "para-kristalin", "miyelin figürleri" veya "miyelin dejenerasyonu" olarak tanımlanmıştır. Genellikle </w:t>
      </w:r>
      <w:r w:rsidR="000568DB">
        <w:t xml:space="preserve">bu </w:t>
      </w:r>
      <w:r>
        <w:t>yapılar anorm</w:t>
      </w:r>
      <w:r w:rsidR="000568DB">
        <w:t xml:space="preserve">al bir değişikliği temsil eder. Kristalin; </w:t>
      </w:r>
      <w:r w:rsidR="004A3711">
        <w:t>vir</w:t>
      </w:r>
      <w:r w:rsidR="000568DB">
        <w:t>al hepatit</w:t>
      </w:r>
      <w:r w:rsidR="004A3711">
        <w:t>, akut alkolik hepatit, alkolik yağlı karaciğer, hem ekstrahepatik hem de intrahepatik obstrüktif sarılık hastaların</w:t>
      </w:r>
      <w:r w:rsidR="000568DB">
        <w:t>a bağlı hepatositlerin</w:t>
      </w:r>
      <w:r w:rsidR="004A3711">
        <w:t xml:space="preserve"> mitokondrilerinde tanımlanmıştır. </w:t>
      </w:r>
      <w:r w:rsidR="004A3711" w:rsidRPr="004A3711">
        <w:t>Patolojik durumlarda, özellikl</w:t>
      </w:r>
      <w:r w:rsidR="000568DB">
        <w:t>e kolestaz ve kronik alkolik yağlı karaciğerde</w:t>
      </w:r>
      <w:r w:rsidR="004A3711" w:rsidRPr="004A3711">
        <w:t>, inklüzyonlar çoktur ve bazen tüm mitokondriler</w:t>
      </w:r>
      <w:r w:rsidR="000568DB">
        <w:t xml:space="preserve">de </w:t>
      </w:r>
      <w:r w:rsidR="004A3711" w:rsidRPr="004A3711">
        <w:t>görülür</w:t>
      </w:r>
      <w:r w:rsidR="000568DB">
        <w:t xml:space="preserve">. </w:t>
      </w:r>
      <w:r w:rsidR="004A3711" w:rsidRPr="004A3711">
        <w:t>Kristal</w:t>
      </w:r>
      <w:r w:rsidR="004A3711">
        <w:t>inlerin</w:t>
      </w:r>
      <w:r w:rsidR="004A3711" w:rsidRPr="004A3711">
        <w:t xml:space="preserve"> yapıların doğası ve kökeni tartışmalıdır; genellikle "miyelin figürleri" ile özdeş oldukları düşünülmektedir</w:t>
      </w:r>
      <w:r w:rsidR="000568DB">
        <w:t xml:space="preserve"> </w:t>
      </w:r>
      <w:r w:rsidR="000568DB" w:rsidRPr="000568DB">
        <w:rPr>
          <w:b/>
        </w:rPr>
        <w:fldChar w:fldCharType="begin" w:fldLock="1"/>
      </w:r>
      <w:r w:rsidR="0085653B">
        <w:rPr>
          <w:b/>
        </w:rPr>
        <w:instrText>ADDIN CSL_CITATION {"citationItems":[{"id":"ITEM-1","itemData":{"DOI":"10.1083/jcb.24.3.511","ISSN":"00219525","author":[{"dropping-particle":"","family":"WILLS","given":"E. J.","non-dropping-particle":"","parse-names":false,"suffix":""}],"container-title":"The Journal of cell biology","id":"ITEM-1","issue":"3","issued":{"date-parts":[["1965"]]},"page":"511-514","publisher":"The Rockefeller University Press","title":"CRYSTALLINE STRUCTURES IN THE MITOCHONDRIA OF NORMAL HUMAN LIVER PARENCHYMAL CELLS.","type":"article-journal","volume":"24"},"uris":["http://www.mendeley.com/documents/?uuid=30337b16-10c4-31ee-a128-87eaa982129d"]}],"mendeley":{"formattedCitation":"(141)","plainTextFormattedCitation":"(141)","previouslyFormattedCitation":"(141)"},"properties":{"noteIndex":0},"schema":"https://github.com/citation-style-language/schema/raw/master/csl-citation.json"}</w:instrText>
      </w:r>
      <w:r w:rsidR="000568DB" w:rsidRPr="000568DB">
        <w:rPr>
          <w:b/>
        </w:rPr>
        <w:fldChar w:fldCharType="separate"/>
      </w:r>
      <w:r w:rsidR="0085653B" w:rsidRPr="0085653B">
        <w:rPr>
          <w:noProof/>
        </w:rPr>
        <w:t>(141)</w:t>
      </w:r>
      <w:r w:rsidR="000568DB" w:rsidRPr="000568DB">
        <w:rPr>
          <w:b/>
        </w:rPr>
        <w:fldChar w:fldCharType="end"/>
      </w:r>
      <w:r w:rsidR="000568DB" w:rsidRPr="000568DB">
        <w:rPr>
          <w:b/>
        </w:rPr>
        <w:t>.</w:t>
      </w:r>
      <w:r w:rsidR="00114959">
        <w:rPr>
          <w:b/>
        </w:rPr>
        <w:t xml:space="preserve"> </w:t>
      </w:r>
      <w:r w:rsidR="00114959" w:rsidRPr="00114959">
        <w:t>Çalışmamızda</w:t>
      </w:r>
      <w:r w:rsidR="00FD756C">
        <w:t xml:space="preserve"> bazı gruplarda mitokondri içinde</w:t>
      </w:r>
      <w:r w:rsidR="00114959" w:rsidRPr="00114959">
        <w:t xml:space="preserve"> </w:t>
      </w:r>
      <w:r w:rsidR="00FD756C">
        <w:t>“</w:t>
      </w:r>
      <w:r w:rsidR="00114959" w:rsidRPr="00114959">
        <w:t>kristalin</w:t>
      </w:r>
      <w:r w:rsidR="00FD756C">
        <w:t>”</w:t>
      </w:r>
      <w:r w:rsidR="00114959" w:rsidRPr="00114959">
        <w:t xml:space="preserve"> yapıları tespit edildi.</w:t>
      </w:r>
    </w:p>
    <w:p w14:paraId="31CB2D14" w14:textId="4E65740A" w:rsidR="000568DB" w:rsidRDefault="001665A0" w:rsidP="000568DB">
      <w:r w:rsidRPr="000568DB">
        <w:t>Birkaç</w:t>
      </w:r>
      <w:r w:rsidR="000568DB" w:rsidRPr="000568DB">
        <w:t xml:space="preserve"> elektron mikroskop görüntüsünde hepatositlerin arasında bakteri</w:t>
      </w:r>
      <w:r w:rsidR="00FD756C">
        <w:t>ler</w:t>
      </w:r>
      <w:r w:rsidR="000568DB" w:rsidRPr="000568DB">
        <w:t xml:space="preserve"> görüldü. </w:t>
      </w:r>
      <w:r w:rsidR="00114959">
        <w:t>Septik hastalarımızdaki e</w:t>
      </w:r>
      <w:r w:rsidR="000568DB" w:rsidRPr="000568DB">
        <w:t xml:space="preserve">nfeksiyon </w:t>
      </w:r>
      <w:r w:rsidR="00114959">
        <w:t>kaynağını göstermesi açısından bu bakteriyi görüntülemek</w:t>
      </w:r>
      <w:r w:rsidR="000568DB" w:rsidRPr="000568DB">
        <w:t xml:space="preserve"> anlamlı bir bulguydu.</w:t>
      </w:r>
    </w:p>
    <w:p w14:paraId="7DE71969" w14:textId="76D0935A" w:rsidR="00170FBE" w:rsidRPr="00170FBE" w:rsidRDefault="00170FBE" w:rsidP="00170FBE">
      <w:r w:rsidRPr="00170FBE">
        <w:t>Power analizi yapılmasına rağmen hedef hasta sayısı azdı. Ayrıca etik nedenlerden ötürü çalışmanın kontrol grubu yoktu. Çalışmamız bu alanda öncü çalışma olarak literatüre katkı sağlayabilir. Hasta sayısı arttırılarak ilerdeki çalışmalarda daha sağlıklı sonuçlara ulaşılabilir.</w:t>
      </w:r>
      <w:r w:rsidR="00FE6C1A">
        <w:t xml:space="preserve"> Çalışmanın k</w:t>
      </w:r>
      <w:r w:rsidRPr="00170FBE">
        <w:t>ısıtla</w:t>
      </w:r>
      <w:r w:rsidR="00FE6C1A">
        <w:t>yıcı yönü olarak h</w:t>
      </w:r>
      <w:r w:rsidRPr="00170FBE">
        <w:rPr>
          <w:szCs w:val="24"/>
        </w:rPr>
        <w:t>asta örneklem sayısının küçüklüğü</w:t>
      </w:r>
      <w:r w:rsidR="00FE6C1A">
        <w:rPr>
          <w:szCs w:val="24"/>
        </w:rPr>
        <w:t xml:space="preserve"> gösterilebilir.</w:t>
      </w:r>
    </w:p>
    <w:p w14:paraId="31CB2D18" w14:textId="53448D66" w:rsidR="00246740" w:rsidRDefault="00AF00FB" w:rsidP="001D5092">
      <w:pPr>
        <w:pStyle w:val="Balk1"/>
      </w:pPr>
      <w:bookmarkStart w:id="601" w:name="_Toc38715743"/>
      <w:bookmarkStart w:id="602" w:name="_Toc45265961"/>
      <w:bookmarkStart w:id="603" w:name="_Toc55727867"/>
      <w:r w:rsidRPr="008A5571">
        <w:lastRenderedPageBreak/>
        <w:t>SONUÇLAR VE ÖNERİLER</w:t>
      </w:r>
      <w:bookmarkEnd w:id="601"/>
      <w:bookmarkEnd w:id="602"/>
      <w:bookmarkEnd w:id="603"/>
    </w:p>
    <w:p w14:paraId="503498CB" w14:textId="20F0DF4E" w:rsidR="006905F7" w:rsidRDefault="006905F7" w:rsidP="00063441">
      <w:r>
        <w:t>Bu çalışmanın sonucunda sitokinlerle ilgili</w:t>
      </w:r>
      <w:r w:rsidR="00B235ED">
        <w:t>,</w:t>
      </w:r>
      <w:r w:rsidR="00B235ED" w:rsidRPr="00B235ED">
        <w:t xml:space="preserve"> </w:t>
      </w:r>
      <w:r w:rsidR="00B235ED">
        <w:t>sepsiste</w:t>
      </w:r>
      <w:r>
        <w:t xml:space="preserve"> morbidite ve mortalite açısından anlamlı ilişki bulunamadı.</w:t>
      </w:r>
    </w:p>
    <w:p w14:paraId="6FADC893" w14:textId="05521960" w:rsidR="006905F7" w:rsidRDefault="00B235ED" w:rsidP="00063441">
      <w:r>
        <w:t>Karaciğer naklinden sonra septik tablodaki hastada, m</w:t>
      </w:r>
      <w:r w:rsidR="006905F7">
        <w:t>ortaliteye etki eden ana faktör karaciğer fonksiyonlarının bozulması olarak görülmekte</w:t>
      </w:r>
      <w:r>
        <w:t>dir</w:t>
      </w:r>
      <w:r w:rsidR="006905F7">
        <w:t>.</w:t>
      </w:r>
    </w:p>
    <w:p w14:paraId="5AB48513" w14:textId="2CB16A04" w:rsidR="006905F7" w:rsidRDefault="006905F7" w:rsidP="00063441">
      <w:r>
        <w:t>TREM-1 yüksekliğinin kültürde üreme olan grupta daha yüksek olması</w:t>
      </w:r>
      <w:r w:rsidR="00B235ED">
        <w:t>, bu belirtecin sepsis tanısında</w:t>
      </w:r>
      <w:r>
        <w:t xml:space="preserve"> olası bir biyomarker olarak kullanılabileceğini düşündürmektedir.</w:t>
      </w:r>
    </w:p>
    <w:p w14:paraId="018BEFC8" w14:textId="6F65C5AD" w:rsidR="006905F7" w:rsidRDefault="006905F7" w:rsidP="00063441">
      <w:r>
        <w:t xml:space="preserve">Power analizi yapılmasına rağmen hedef hasta sayısı azdı. Ayrıca kontrol grubumuz yoktu. </w:t>
      </w:r>
      <w:r w:rsidR="00B235ED">
        <w:t>Ç</w:t>
      </w:r>
      <w:r w:rsidR="00063441">
        <w:t xml:space="preserve">alışmamız bu haliyle öncü </w:t>
      </w:r>
      <w:r w:rsidR="00B235ED">
        <w:t xml:space="preserve">bir </w:t>
      </w:r>
      <w:r w:rsidR="00063441">
        <w:t>çalışma olarak literatüre katkı sağlamaktadır. Hasta sayısı arttıkça daha sağlıklı sonuçlara ulaşılabileceğini düşünmekteyiz.</w:t>
      </w:r>
    </w:p>
    <w:p w14:paraId="07F15215" w14:textId="78F49993" w:rsidR="00246740" w:rsidRDefault="00246740">
      <w:pPr>
        <w:spacing w:after="160"/>
        <w:ind w:left="680" w:firstLine="0"/>
        <w:rPr>
          <w:b/>
          <w:sz w:val="28"/>
          <w:szCs w:val="24"/>
        </w:rPr>
      </w:pPr>
      <w:r>
        <w:br w:type="page"/>
      </w:r>
    </w:p>
    <w:p w14:paraId="31CB2D19" w14:textId="2B48DAC5" w:rsidR="002564B1" w:rsidRDefault="00246740" w:rsidP="00246740">
      <w:pPr>
        <w:pStyle w:val="Balk1"/>
      </w:pPr>
      <w:bookmarkStart w:id="604" w:name="_Toc55727868"/>
      <w:r>
        <w:lastRenderedPageBreak/>
        <w:t>EKLER</w:t>
      </w:r>
      <w:bookmarkEnd w:id="604"/>
    </w:p>
    <w:p w14:paraId="5C1EBAB0" w14:textId="0D0057C3" w:rsidR="00B46233" w:rsidRPr="00BC4914" w:rsidRDefault="00246740" w:rsidP="000573A5">
      <w:pPr>
        <w:ind w:firstLine="0"/>
        <w:rPr>
          <w:b/>
        </w:rPr>
      </w:pPr>
      <w:bookmarkStart w:id="605" w:name="_Toc49815809"/>
      <w:bookmarkStart w:id="606" w:name="_Toc38715744"/>
      <w:bookmarkStart w:id="607" w:name="_Toc45265963"/>
      <w:r w:rsidRPr="00BC4914">
        <w:rPr>
          <w:b/>
        </w:rPr>
        <w:t>E</w:t>
      </w:r>
      <w:r w:rsidR="00B46233" w:rsidRPr="00BC4914">
        <w:rPr>
          <w:b/>
        </w:rPr>
        <w:t>K-</w:t>
      </w:r>
      <w:r w:rsidR="00FB62B2" w:rsidRPr="00BC4914">
        <w:rPr>
          <w:b/>
        </w:rPr>
        <w:t>1</w:t>
      </w:r>
      <w:r w:rsidRPr="00BC4914">
        <w:rPr>
          <w:b/>
        </w:rPr>
        <w:t xml:space="preserve">: </w:t>
      </w:r>
      <w:r w:rsidR="00B46233" w:rsidRPr="00BC4914">
        <w:rPr>
          <w:b/>
        </w:rPr>
        <w:t>Sepsis tablosundaki hastaların transplante karaciğer biyopsisinin elektron mikroskopisi altında tespit edilen patolojik bulguları aşağıdaki resimlerde gösterilmiştir</w:t>
      </w:r>
      <w:bookmarkEnd w:id="605"/>
      <w:r w:rsidR="000573A5">
        <w:rPr>
          <w:b/>
        </w:rPr>
        <w:t>.</w:t>
      </w:r>
    </w:p>
    <w:p w14:paraId="4250126B" w14:textId="77777777" w:rsidR="00246740" w:rsidRDefault="00246740" w:rsidP="00246740">
      <w:r w:rsidRPr="000B25E8">
        <w:rPr>
          <w:noProof/>
          <w:lang w:eastAsia="tr-TR"/>
        </w:rPr>
        <w:drawing>
          <wp:inline distT="0" distB="0" distL="0" distR="0" wp14:anchorId="2D39032E" wp14:editId="7F3BCFB4">
            <wp:extent cx="3844800" cy="2880000"/>
            <wp:effectExtent l="0" t="0" r="3810" b="0"/>
            <wp:docPr id="57" name="Resim 57" descr="G:\TEZ\TEZ TASLAK WORD\histoloji\Resimler Son\Res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TEZ\TEZ TASLAK WORD\histoloji\Resimler Son\Resim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14DF61D9" w14:textId="77777777" w:rsidR="00246740" w:rsidRPr="000B25E8" w:rsidRDefault="00246740" w:rsidP="00246740">
      <w:pPr>
        <w:pStyle w:val="Altyaz"/>
        <w:framePr w:wrap="notBeside"/>
        <w:ind w:firstLine="0"/>
        <w:jc w:val="both"/>
      </w:pPr>
      <w:r w:rsidRPr="000B25E8">
        <w:t>Resim 1</w:t>
      </w:r>
      <w:r>
        <w:t xml:space="preserve"> -</w:t>
      </w:r>
      <w:r w:rsidRPr="000B25E8">
        <w:t xml:space="preserve"> Hepatosit nukleusu (N), lipid vakuolü (Lv), miyelin figür (ok). Uranil asetat-Kurşun sitrat. TEM x6300</w:t>
      </w:r>
    </w:p>
    <w:p w14:paraId="0F411DC2" w14:textId="77777777" w:rsidR="00246740" w:rsidRPr="000B25E8" w:rsidRDefault="00246740" w:rsidP="00246740">
      <w:r w:rsidRPr="000B25E8">
        <w:rPr>
          <w:noProof/>
          <w:lang w:eastAsia="tr-TR"/>
        </w:rPr>
        <w:drawing>
          <wp:inline distT="0" distB="0" distL="0" distR="0" wp14:anchorId="349C1DFC" wp14:editId="64370E1B">
            <wp:extent cx="3844800" cy="2880000"/>
            <wp:effectExtent l="0" t="0" r="3810" b="0"/>
            <wp:docPr id="58" name="Resim 58" descr="G:\TEZ\TEZ TASLAK WORD\histoloji\Resimler Son\Resi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TEZ\TEZ TASLAK WORD\histoloji\Resimler Son\Resim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501F4CC7" w14:textId="77777777" w:rsidR="00246740" w:rsidRPr="002B069B" w:rsidRDefault="00246740" w:rsidP="00246740">
      <w:pPr>
        <w:pStyle w:val="Altyaz"/>
        <w:framePr w:wrap="notBeside"/>
        <w:ind w:firstLine="0"/>
        <w:jc w:val="both"/>
      </w:pPr>
      <w:r w:rsidRPr="000B25E8">
        <w:t xml:space="preserve">Resim </w:t>
      </w:r>
      <w:r>
        <w:t xml:space="preserve">2 - </w:t>
      </w:r>
      <w:r w:rsidRPr="002B069B">
        <w:t xml:space="preserve">Hepatosit nukleusu (N), Nukleus sınırlarında düzensizlik-ondulasyon (ok başı), miyelin figür içeren vakuol (yıldız), elektron yoğun, safra pigmenti içeren lizozom (kalın ok), mitokondriyon (ince ok), glikojen granülleri (çift başlı ok). Uranil asetat-Kurşun sitrat. TEM x10000 </w:t>
      </w:r>
    </w:p>
    <w:p w14:paraId="7FEF507B" w14:textId="77777777" w:rsidR="00246740" w:rsidRPr="000B25E8" w:rsidRDefault="00246740" w:rsidP="00246740">
      <w:r w:rsidRPr="000B25E8">
        <w:rPr>
          <w:noProof/>
          <w:lang w:eastAsia="tr-TR"/>
        </w:rPr>
        <w:lastRenderedPageBreak/>
        <w:drawing>
          <wp:inline distT="0" distB="0" distL="0" distR="0" wp14:anchorId="2F251F8A" wp14:editId="3E37C308">
            <wp:extent cx="3844800" cy="2880000"/>
            <wp:effectExtent l="0" t="0" r="3810" b="0"/>
            <wp:docPr id="59" name="Resim 59" descr="G:\TEZ\TEZ TASLAK WORD\histoloji\Resimler Son\Resim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TEZ\TEZ TASLAK WORD\histoloji\Resimler Son\Resim1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1AEF8A34" w14:textId="77777777" w:rsidR="00246740" w:rsidRPr="002B069B" w:rsidRDefault="00246740" w:rsidP="00246740">
      <w:pPr>
        <w:pStyle w:val="Altyaz"/>
        <w:framePr w:wrap="notBeside"/>
        <w:ind w:firstLine="0"/>
        <w:jc w:val="both"/>
      </w:pPr>
      <w:r>
        <w:t xml:space="preserve">Resim </w:t>
      </w:r>
      <w:r w:rsidRPr="000B25E8">
        <w:t>3</w:t>
      </w:r>
      <w:r>
        <w:t xml:space="preserve"> - </w:t>
      </w:r>
      <w:r w:rsidRPr="002B069B">
        <w:t xml:space="preserve">Hepatosit nukleusu (N), safra pigmenti içeren lizozom (kalın ok), mitokondriyonlarda matriks yoğunlaşması ve piknoz (ince ok). Uranil asetat-Kurşun sitrat. TEM x63000 </w:t>
      </w:r>
    </w:p>
    <w:p w14:paraId="7295A8C1" w14:textId="77777777" w:rsidR="00246740" w:rsidRPr="000B25E8" w:rsidRDefault="00246740" w:rsidP="00246740"/>
    <w:p w14:paraId="7277F955" w14:textId="77777777" w:rsidR="00246740" w:rsidRPr="000B25E8" w:rsidRDefault="00246740" w:rsidP="00246740">
      <w:r w:rsidRPr="000B25E8">
        <w:rPr>
          <w:noProof/>
          <w:lang w:eastAsia="tr-TR"/>
        </w:rPr>
        <w:drawing>
          <wp:inline distT="0" distB="0" distL="0" distR="0" wp14:anchorId="7C41D1D6" wp14:editId="041BE6F9">
            <wp:extent cx="3844800" cy="2880000"/>
            <wp:effectExtent l="0" t="0" r="3810" b="0"/>
            <wp:docPr id="60" name="Resim 60" descr="G:\TEZ\TEZ TASLAK WORD\histoloji\Resimler Son\Resim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TEZ\TEZ TASLAK WORD\histoloji\Resimler Son\Resim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7FA53094" w14:textId="36255246" w:rsidR="00246740" w:rsidRPr="002B069B" w:rsidRDefault="00246740" w:rsidP="00246740">
      <w:pPr>
        <w:pStyle w:val="Altyaz"/>
        <w:framePr w:wrap="notBeside"/>
        <w:ind w:firstLine="0"/>
        <w:jc w:val="both"/>
      </w:pPr>
      <w:r w:rsidRPr="000B25E8">
        <w:t xml:space="preserve">Resim </w:t>
      </w:r>
      <w:r>
        <w:t xml:space="preserve">4 - </w:t>
      </w:r>
      <w:r w:rsidRPr="002B069B">
        <w:t>Hepatosit nukleusu (N), Miyelin figür içeren fagolizozomlar-membranöz fagolizozom (çift başlı ok), granüler, elektron yoğun materyal</w:t>
      </w:r>
      <w:r>
        <w:t xml:space="preserve"> </w:t>
      </w:r>
      <w:r w:rsidRPr="002B069B">
        <w:t xml:space="preserve">içeren otofagozom (beş nokta yıldız), organel dejenerasyonu ve lizozomal birikim (dört nokta yıldız), fagozom (ok), mitokondriyonlarda matriks yoğunlaşması, piknotik dejenerasyon (ok başı). Uranil asetat-Kurşun sitrat. TEM x63000 </w:t>
      </w:r>
    </w:p>
    <w:p w14:paraId="7F45A3F5" w14:textId="77777777" w:rsidR="00246740" w:rsidRPr="000B25E8" w:rsidRDefault="00246740" w:rsidP="00246740">
      <w:r w:rsidRPr="000B25E8">
        <w:rPr>
          <w:noProof/>
          <w:lang w:eastAsia="tr-TR"/>
        </w:rPr>
        <w:lastRenderedPageBreak/>
        <w:drawing>
          <wp:inline distT="0" distB="0" distL="0" distR="0" wp14:anchorId="3D78850C" wp14:editId="5394E5BD">
            <wp:extent cx="3844800" cy="2880000"/>
            <wp:effectExtent l="0" t="0" r="3810" b="0"/>
            <wp:docPr id="61" name="Resim 61" descr="G:\TEZ\TEZ TASLAK WORD\histoloji\Resimler Son\Resim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TEZ\TEZ TASLAK WORD\histoloji\Resimler Son\Resim2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2DAFFA7F" w14:textId="77777777" w:rsidR="00246740" w:rsidRDefault="00246740" w:rsidP="00246740">
      <w:pPr>
        <w:pStyle w:val="Altyaz"/>
        <w:framePr w:wrap="notBeside"/>
        <w:ind w:firstLine="0"/>
        <w:jc w:val="both"/>
      </w:pPr>
      <w:r>
        <w:t xml:space="preserve">Resim 5 - </w:t>
      </w:r>
      <w:r w:rsidRPr="002B069B">
        <w:t>Hepatosit nukleusu (N), nukleus sınırlarında düzensizlik-ondulasyon (ok başı), otofagozom (ok), mitokondriyonlarda matriks yoğunlaşması ve piknoz (ok), mitokondriyonlarda dilatasyon, krista hasarı-kristalizis (çift başlı ok) kollajen fibril demeti-fibrozis (yıldız). Uranil asetat-Kurşun sitrat. TEM x6300</w:t>
      </w:r>
    </w:p>
    <w:p w14:paraId="5329A3CA" w14:textId="77777777" w:rsidR="00246740" w:rsidRPr="00603D9A" w:rsidRDefault="00246740" w:rsidP="00246740"/>
    <w:p w14:paraId="7F7D6B6C" w14:textId="77777777" w:rsidR="00246740" w:rsidRPr="000B25E8" w:rsidRDefault="00246740" w:rsidP="00246740">
      <w:r w:rsidRPr="000B25E8">
        <w:rPr>
          <w:noProof/>
          <w:lang w:eastAsia="tr-TR"/>
        </w:rPr>
        <w:drawing>
          <wp:inline distT="0" distB="0" distL="0" distR="0" wp14:anchorId="123E6F56" wp14:editId="0041EA66">
            <wp:extent cx="3695700" cy="2768315"/>
            <wp:effectExtent l="0" t="0" r="0" b="0"/>
            <wp:docPr id="62" name="Resim 62" descr="G:\TEZ\TEZ TASLAK WORD\histoloji\Resimler Son\Resim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TEZ\TEZ TASLAK WORD\histoloji\Resimler Son\Resim2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00613" cy="2771995"/>
                    </a:xfrm>
                    <a:prstGeom prst="rect">
                      <a:avLst/>
                    </a:prstGeom>
                    <a:noFill/>
                    <a:ln>
                      <a:noFill/>
                    </a:ln>
                  </pic:spPr>
                </pic:pic>
              </a:graphicData>
            </a:graphic>
          </wp:inline>
        </w:drawing>
      </w:r>
    </w:p>
    <w:p w14:paraId="098F15C9" w14:textId="77777777" w:rsidR="00246740" w:rsidRPr="000B25E8" w:rsidRDefault="00246740" w:rsidP="00246740">
      <w:pPr>
        <w:pStyle w:val="Altyaz"/>
        <w:framePr w:wrap="notBeside"/>
        <w:ind w:firstLine="0"/>
        <w:jc w:val="both"/>
      </w:pPr>
      <w:r>
        <w:t xml:space="preserve">Resim 6 - </w:t>
      </w:r>
      <w:r w:rsidRPr="002B069B">
        <w:t>Karyokinez aşamasında, deforme şekilli dev hepatosit nukleusu (N), nukleus sınırlarında düzensizlik-ondulasyon (ok başı), safra pigmenti içeren lizozom (ok), mitokondriyonlarda krista hasarı-kaybı (çift başlı ok), intrasitoplazmik kollajen fibril (yıldız). Uranil asetat-Kurşun sitrat. TEM x6300</w:t>
      </w:r>
    </w:p>
    <w:p w14:paraId="514363C2" w14:textId="77777777" w:rsidR="00246740" w:rsidRPr="000B25E8" w:rsidRDefault="00246740" w:rsidP="00246740">
      <w:r w:rsidRPr="000B25E8">
        <w:rPr>
          <w:noProof/>
          <w:lang w:eastAsia="tr-TR"/>
        </w:rPr>
        <w:lastRenderedPageBreak/>
        <w:drawing>
          <wp:inline distT="0" distB="0" distL="0" distR="0" wp14:anchorId="7BC9E859" wp14:editId="0BE39F5D">
            <wp:extent cx="3844800" cy="2880000"/>
            <wp:effectExtent l="0" t="0" r="3810" b="0"/>
            <wp:docPr id="63" name="Resim 63" descr="G:\TEZ\TEZ TASLAK WORD\histoloji\Resimler Son\Resim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TEZ\TEZ TASLAK WORD\histoloji\Resimler Son\Resim2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2156FBF8" w14:textId="50D2235E" w:rsidR="00246740" w:rsidRPr="002B069B" w:rsidRDefault="00246740" w:rsidP="00246740">
      <w:pPr>
        <w:pStyle w:val="Altyaz"/>
        <w:framePr w:wrap="notBeside"/>
        <w:ind w:firstLine="0"/>
        <w:jc w:val="both"/>
      </w:pPr>
      <w:r>
        <w:t xml:space="preserve">Resim 7 - </w:t>
      </w:r>
      <w:r w:rsidRPr="002B069B">
        <w:t xml:space="preserve">Hepatosit nukleusu (N), nukleus sınırlarında düzensizlik-ondulasyon (ok başı), granüler endoplazmik retikulum dilatasyonu (yıldız), mitokondriyonlarda matriks yoğunlaşması. Uranil asetat-Kurşun sitrat. TEM x6300 </w:t>
      </w:r>
    </w:p>
    <w:p w14:paraId="210D218D" w14:textId="77777777" w:rsidR="00246740" w:rsidRPr="000B25E8" w:rsidRDefault="00246740" w:rsidP="00246740"/>
    <w:p w14:paraId="0FCCEA81" w14:textId="77777777" w:rsidR="00246740" w:rsidRPr="000B25E8" w:rsidRDefault="00246740" w:rsidP="00246740">
      <w:r w:rsidRPr="000B25E8">
        <w:rPr>
          <w:noProof/>
          <w:lang w:eastAsia="tr-TR"/>
        </w:rPr>
        <w:drawing>
          <wp:inline distT="0" distB="0" distL="0" distR="0" wp14:anchorId="36656C68" wp14:editId="6BFC9F68">
            <wp:extent cx="3844800" cy="2880000"/>
            <wp:effectExtent l="0" t="0" r="3810" b="0"/>
            <wp:docPr id="192" name="Resim 192" descr="G:\TEZ\TEZ TASLAK WORD\histoloji\Resimler Son\Resim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TEZ\TEZ TASLAK WORD\histoloji\Resimler Son\Resim2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434D06E4" w14:textId="288F31FD" w:rsidR="00246740" w:rsidRPr="000B25E8" w:rsidRDefault="00246740" w:rsidP="00246740">
      <w:pPr>
        <w:pStyle w:val="Altyaz"/>
        <w:framePr w:wrap="notBeside"/>
        <w:ind w:firstLine="0"/>
        <w:jc w:val="both"/>
      </w:pPr>
      <w:r>
        <w:t xml:space="preserve">Resim 8 - </w:t>
      </w:r>
      <w:r w:rsidRPr="002B069B">
        <w:t xml:space="preserve">Hepatosit nukleusu (N), </w:t>
      </w:r>
      <w:r w:rsidR="000A36FC" w:rsidRPr="002B069B">
        <w:t>granüler</w:t>
      </w:r>
      <w:r w:rsidRPr="002B069B">
        <w:t xml:space="preserve"> endoplazmik retikulum dilatasyonu (yıldız), safra pigmenti içeren lizozom (ok). Uranil asetat-Kurşun sitrat. TEM x6300</w:t>
      </w:r>
    </w:p>
    <w:p w14:paraId="7D0E4339" w14:textId="77777777" w:rsidR="00246740" w:rsidRPr="000B25E8" w:rsidRDefault="00246740" w:rsidP="00246740"/>
    <w:p w14:paraId="2735DF37" w14:textId="77777777" w:rsidR="00246740" w:rsidRDefault="00246740" w:rsidP="00246740">
      <w:r>
        <w:br w:type="page"/>
      </w:r>
    </w:p>
    <w:p w14:paraId="58C0FE0C" w14:textId="77777777" w:rsidR="00246740" w:rsidRPr="000B25E8" w:rsidRDefault="00246740" w:rsidP="00246740">
      <w:r w:rsidRPr="000B25E8">
        <w:rPr>
          <w:noProof/>
          <w:lang w:eastAsia="tr-TR"/>
        </w:rPr>
        <w:lastRenderedPageBreak/>
        <w:drawing>
          <wp:inline distT="0" distB="0" distL="0" distR="0" wp14:anchorId="557C3983" wp14:editId="19B7439D">
            <wp:extent cx="3844800" cy="2880000"/>
            <wp:effectExtent l="0" t="0" r="3810" b="0"/>
            <wp:docPr id="193" name="Resim 193" descr="G:\TEZ\TEZ TASLAK WORD\histoloji\Resimler Son\Resi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TEZ\TEZ TASLAK WORD\histoloji\Resimler Son\Resim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7EDEED9E" w14:textId="23FBC95D" w:rsidR="00246740" w:rsidRDefault="00246740" w:rsidP="00246740">
      <w:pPr>
        <w:pStyle w:val="Altyaz"/>
        <w:framePr w:wrap="notBeside"/>
        <w:ind w:firstLine="0"/>
        <w:jc w:val="both"/>
      </w:pPr>
      <w:r w:rsidRPr="000B25E8">
        <w:t xml:space="preserve">Resim </w:t>
      </w:r>
      <w:r>
        <w:t xml:space="preserve">9 - </w:t>
      </w:r>
      <w:r w:rsidRPr="002B069B">
        <w:t xml:space="preserve">Hepatosit nukleusu (N), nukleus sınırlarında düzensizlik-ondülasyon (ok başı), lipid vakuolü (lv), nukleus içinde lipid vakuolü (Lv), </w:t>
      </w:r>
      <w:r w:rsidR="000A36FC" w:rsidRPr="002B069B">
        <w:t>granüler</w:t>
      </w:r>
      <w:r w:rsidRPr="002B069B">
        <w:t xml:space="preserve"> endoplazmik retikulum dilatasyonu (dört nokta yıldız), yoğun glikojen birikimi (beş nokta yıldız), şekil bozukluğu gösteren megamitokondriyon içinde kristalin birikimi (ok). Uranil asetat-Kurşun sitrat. </w:t>
      </w:r>
    </w:p>
    <w:p w14:paraId="494ECFBE" w14:textId="77777777" w:rsidR="00246740" w:rsidRDefault="00246740" w:rsidP="00246740">
      <w:pPr>
        <w:pStyle w:val="Altyaz"/>
        <w:framePr w:wrap="notBeside"/>
        <w:ind w:firstLine="0"/>
        <w:jc w:val="both"/>
      </w:pPr>
      <w:r w:rsidRPr="002B069B">
        <w:t>TEM x6300</w:t>
      </w:r>
    </w:p>
    <w:p w14:paraId="6F8483E9" w14:textId="77777777" w:rsidR="00246740" w:rsidRPr="000B25E8" w:rsidRDefault="00246740" w:rsidP="00246740">
      <w:r w:rsidRPr="000B25E8">
        <w:rPr>
          <w:noProof/>
          <w:lang w:eastAsia="tr-TR"/>
        </w:rPr>
        <w:drawing>
          <wp:inline distT="0" distB="0" distL="0" distR="0" wp14:anchorId="26A99C87" wp14:editId="53E6AD40">
            <wp:extent cx="3674888" cy="2752725"/>
            <wp:effectExtent l="0" t="0" r="1905" b="0"/>
            <wp:docPr id="194" name="Resim 194" descr="G:\TEZ\TEZ TASLAK WORD\histoloji\Resimler Son\Resim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TEZ\TEZ TASLAK WORD\histoloji\Resimler Son\Resim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77937" cy="2755009"/>
                    </a:xfrm>
                    <a:prstGeom prst="rect">
                      <a:avLst/>
                    </a:prstGeom>
                    <a:noFill/>
                    <a:ln>
                      <a:noFill/>
                    </a:ln>
                  </pic:spPr>
                </pic:pic>
              </a:graphicData>
            </a:graphic>
          </wp:inline>
        </w:drawing>
      </w:r>
    </w:p>
    <w:p w14:paraId="49C58452" w14:textId="77777777" w:rsidR="00246740" w:rsidRPr="002B069B" w:rsidRDefault="00246740" w:rsidP="00246740">
      <w:pPr>
        <w:pStyle w:val="Altyaz"/>
        <w:framePr w:wrap="notBeside"/>
        <w:ind w:firstLine="0"/>
        <w:jc w:val="both"/>
      </w:pPr>
      <w:r>
        <w:t xml:space="preserve">Resim </w:t>
      </w:r>
      <w:r w:rsidRPr="000B25E8">
        <w:t>1</w:t>
      </w:r>
      <w:r>
        <w:t xml:space="preserve">0 - </w:t>
      </w:r>
      <w:r w:rsidRPr="002B069B">
        <w:t xml:space="preserve">Hepatosit nukleusu (N), safra pigmenti içeren lizozom (ok) safra kanalikülünde dilatasyon, lümende elektron yoğun granüler materyal birikimi ve mikrovillus kaybı (yıldız), sinuzoid endoteli ve Disse aralığı yapısında bozulma (ok başı). Uranil asetat-Kurşun sitrat. TEM x6300 </w:t>
      </w:r>
    </w:p>
    <w:p w14:paraId="39720F3D" w14:textId="77777777" w:rsidR="00246740" w:rsidRPr="000B25E8" w:rsidRDefault="00246740" w:rsidP="00246740">
      <w:r w:rsidRPr="000B25E8">
        <w:rPr>
          <w:noProof/>
          <w:lang w:eastAsia="tr-TR"/>
        </w:rPr>
        <w:lastRenderedPageBreak/>
        <w:drawing>
          <wp:inline distT="0" distB="0" distL="0" distR="0" wp14:anchorId="539151A8" wp14:editId="08F678F8">
            <wp:extent cx="3704590" cy="2774974"/>
            <wp:effectExtent l="0" t="0" r="0" b="6350"/>
            <wp:docPr id="195" name="Resim 195" descr="G:\TEZ\TEZ TASLAK WORD\histoloji\Resimler Son\Resim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TEZ\TEZ TASLAK WORD\histoloji\Resimler Son\Resim3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06419" cy="2776344"/>
                    </a:xfrm>
                    <a:prstGeom prst="rect">
                      <a:avLst/>
                    </a:prstGeom>
                    <a:noFill/>
                    <a:ln>
                      <a:noFill/>
                    </a:ln>
                  </pic:spPr>
                </pic:pic>
              </a:graphicData>
            </a:graphic>
          </wp:inline>
        </w:drawing>
      </w:r>
    </w:p>
    <w:p w14:paraId="67BF5BA4" w14:textId="77777777" w:rsidR="00246740" w:rsidRPr="000B25E8" w:rsidRDefault="00246740" w:rsidP="00246740">
      <w:pPr>
        <w:pStyle w:val="Altyaz"/>
        <w:framePr w:wrap="notBeside"/>
        <w:ind w:firstLine="0"/>
        <w:jc w:val="both"/>
      </w:pPr>
      <w:r>
        <w:t xml:space="preserve">Resim 11 - </w:t>
      </w:r>
      <w:r w:rsidRPr="002B069B">
        <w:t>Hepatosit nukleusu (N), safra pigmenti içeren lizozom (ok), disse aralığında kollajen fibril demeti-fibrozis (yıldız). Uranil asetat-Kurşun sitrat. TEM x6300</w:t>
      </w:r>
    </w:p>
    <w:p w14:paraId="332BA388" w14:textId="77777777" w:rsidR="00246740" w:rsidRPr="000B25E8" w:rsidRDefault="00246740" w:rsidP="00246740"/>
    <w:p w14:paraId="2C2D6309" w14:textId="77777777" w:rsidR="00246740" w:rsidRDefault="00246740" w:rsidP="00246740">
      <w:r w:rsidRPr="000B25E8">
        <w:rPr>
          <w:noProof/>
          <w:lang w:eastAsia="tr-TR"/>
        </w:rPr>
        <w:drawing>
          <wp:inline distT="0" distB="0" distL="0" distR="0" wp14:anchorId="728B7AE3" wp14:editId="6BF64A87">
            <wp:extent cx="3705102" cy="2775357"/>
            <wp:effectExtent l="0" t="0" r="0" b="6350"/>
            <wp:docPr id="196" name="Resim 196" descr="G:\TEZ\TEZ TASLAK WORD\histoloji\Resimler Son\Resim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TEZ\TEZ TASLAK WORD\histoloji\Resimler Son\Resim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25425" cy="2790580"/>
                    </a:xfrm>
                    <a:prstGeom prst="rect">
                      <a:avLst/>
                    </a:prstGeom>
                    <a:noFill/>
                    <a:ln>
                      <a:noFill/>
                    </a:ln>
                  </pic:spPr>
                </pic:pic>
              </a:graphicData>
            </a:graphic>
          </wp:inline>
        </w:drawing>
      </w:r>
    </w:p>
    <w:p w14:paraId="643D26CF" w14:textId="77777777" w:rsidR="00246740" w:rsidRPr="002B069B" w:rsidRDefault="00246740" w:rsidP="00246740">
      <w:pPr>
        <w:pStyle w:val="Altyaz"/>
        <w:framePr w:wrap="notBeside"/>
        <w:ind w:firstLine="0"/>
        <w:jc w:val="both"/>
      </w:pPr>
      <w:r>
        <w:t>Resim 1</w:t>
      </w:r>
      <w:r w:rsidRPr="000B25E8">
        <w:t>2</w:t>
      </w:r>
      <w:r>
        <w:t xml:space="preserve"> - </w:t>
      </w:r>
      <w:r w:rsidRPr="002B069B">
        <w:t>Hepatositlerde intrasitoplazmik lipid vakuolü (Lv), otofajik vakuol içinde otofagozom (dört nokta yıldız), mitokondriyonlarda şekil bozukluğu-uzun şekilli mitokondriyon (ok), safra kanalikülünde dilatasyon ve mikrovillus hasarı (beş nokta yıldız), kanalikül lümeninde fibrinoid materyal birikimi (çift başlı ok), sinuzoid endoteli ve Disse aralığı yapısında bozulma (ok başı), hepatositler arası interselüler mesaf</w:t>
      </w:r>
      <w:r>
        <w:t>e</w:t>
      </w:r>
      <w:r w:rsidRPr="002B069B">
        <w:t xml:space="preserve">de ödematöz dilatasyon (ok başı), . Uranil asetat-Kurşun sitrat. TEM x4000 </w:t>
      </w:r>
    </w:p>
    <w:p w14:paraId="1906CB89" w14:textId="77777777" w:rsidR="00246740" w:rsidRDefault="00246740" w:rsidP="00246740">
      <w:pPr>
        <w:spacing w:after="160"/>
        <w:ind w:left="680" w:firstLine="0"/>
      </w:pPr>
      <w:r>
        <w:br w:type="page"/>
      </w:r>
      <w:r w:rsidRPr="00431EC5">
        <w:rPr>
          <w:noProof/>
          <w:lang w:eastAsia="tr-TR"/>
        </w:rPr>
        <w:lastRenderedPageBreak/>
        <w:drawing>
          <wp:inline distT="0" distB="0" distL="0" distR="0" wp14:anchorId="629604D1" wp14:editId="3043B5CC">
            <wp:extent cx="3841200" cy="2880000"/>
            <wp:effectExtent l="0" t="0" r="6985" b="0"/>
            <wp:docPr id="197" name="Resim 197" descr="G:\TEZ\TEZ TASLAK WORD\-histoloji\Resimler Son\Resim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EZ\TEZ TASLAK WORD\-histoloji\Resimler Son\Resim1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41200" cy="2880000"/>
                    </a:xfrm>
                    <a:prstGeom prst="rect">
                      <a:avLst/>
                    </a:prstGeom>
                    <a:noFill/>
                    <a:ln>
                      <a:noFill/>
                    </a:ln>
                  </pic:spPr>
                </pic:pic>
              </a:graphicData>
            </a:graphic>
          </wp:inline>
        </w:drawing>
      </w:r>
    </w:p>
    <w:p w14:paraId="34BB15AC" w14:textId="77777777" w:rsidR="00246740" w:rsidRPr="00431EC5" w:rsidRDefault="00246740" w:rsidP="00246740">
      <w:pPr>
        <w:pStyle w:val="Altyaz"/>
        <w:framePr w:wrap="notBeside"/>
        <w:ind w:firstLine="0"/>
        <w:jc w:val="both"/>
      </w:pPr>
      <w:r w:rsidRPr="00431EC5">
        <w:rPr>
          <w:rStyle w:val="Vurgu"/>
          <w:rFonts w:cs="Times New Roman"/>
          <w:i w:val="0"/>
        </w:rPr>
        <w:t>Resim 1</w:t>
      </w:r>
      <w:r>
        <w:rPr>
          <w:rStyle w:val="Vurgu"/>
          <w:rFonts w:cs="Times New Roman"/>
          <w:i w:val="0"/>
        </w:rPr>
        <w:t>3 -</w:t>
      </w:r>
      <w:r w:rsidRPr="00431EC5">
        <w:rPr>
          <w:rFonts w:eastAsia="+mn-ea"/>
          <w:color w:val="000000"/>
          <w:kern w:val="24"/>
          <w:lang w:eastAsia="tr-TR"/>
        </w:rPr>
        <w:t xml:space="preserve"> </w:t>
      </w:r>
      <w:r w:rsidRPr="00431EC5">
        <w:t xml:space="preserve">Mitokondriyon matriksinde kristalin birikimi (ok), mitokondriyonlarda krista hasarı (yıldız). Uranil asetat-Kurşun sitrat. TEM x12500, x40000 </w:t>
      </w:r>
    </w:p>
    <w:p w14:paraId="083B253B" w14:textId="77777777" w:rsidR="00246740" w:rsidRDefault="00246740" w:rsidP="00246740">
      <w:pPr>
        <w:spacing w:after="160"/>
        <w:ind w:left="680" w:firstLine="0"/>
      </w:pPr>
    </w:p>
    <w:p w14:paraId="600FEF52" w14:textId="77777777" w:rsidR="00246740" w:rsidRDefault="00246740" w:rsidP="00246740">
      <w:pPr>
        <w:spacing w:after="160"/>
        <w:ind w:left="680" w:firstLine="0"/>
        <w:rPr>
          <w:b/>
          <w:sz w:val="28"/>
          <w:szCs w:val="24"/>
        </w:rPr>
      </w:pPr>
      <w:r w:rsidRPr="00EA6E8D">
        <w:rPr>
          <w:b/>
          <w:noProof/>
          <w:sz w:val="28"/>
          <w:szCs w:val="24"/>
          <w:lang w:eastAsia="tr-TR"/>
        </w:rPr>
        <w:drawing>
          <wp:inline distT="0" distB="0" distL="0" distR="0" wp14:anchorId="30A20DDB" wp14:editId="53FA4D9E">
            <wp:extent cx="3841200" cy="2880000"/>
            <wp:effectExtent l="0" t="0" r="6985" b="0"/>
            <wp:docPr id="198" name="Resim 198" descr="G:\TEZ\TEZ TASLAK WORD\-histoloji\Resimler Son\Resim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EZ\TEZ TASLAK WORD\-histoloji\Resimler Son\Resim1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41200" cy="2880000"/>
                    </a:xfrm>
                    <a:prstGeom prst="rect">
                      <a:avLst/>
                    </a:prstGeom>
                    <a:noFill/>
                    <a:ln>
                      <a:noFill/>
                    </a:ln>
                  </pic:spPr>
                </pic:pic>
              </a:graphicData>
            </a:graphic>
          </wp:inline>
        </w:drawing>
      </w:r>
    </w:p>
    <w:p w14:paraId="5E5D010B" w14:textId="77777777" w:rsidR="00246740" w:rsidRPr="002B069B" w:rsidRDefault="00246740" w:rsidP="00246740">
      <w:pPr>
        <w:pStyle w:val="Altyaz"/>
        <w:framePr w:wrap="notBeside"/>
        <w:ind w:firstLine="0"/>
        <w:jc w:val="both"/>
      </w:pPr>
      <w:r w:rsidRPr="00EA6E8D">
        <w:rPr>
          <w:rStyle w:val="Vurgu"/>
          <w:rFonts w:cs="Times New Roman"/>
          <w:i w:val="0"/>
        </w:rPr>
        <w:t>Resim 1</w:t>
      </w:r>
      <w:r>
        <w:rPr>
          <w:rStyle w:val="Vurgu"/>
          <w:rFonts w:cs="Times New Roman"/>
          <w:i w:val="0"/>
        </w:rPr>
        <w:t>4</w:t>
      </w:r>
      <w:r>
        <w:rPr>
          <w:rStyle w:val="Vurgu"/>
          <w:rFonts w:cs="Times New Roman"/>
        </w:rPr>
        <w:t xml:space="preserve"> -</w:t>
      </w:r>
      <w:r w:rsidRPr="002B069B">
        <w:rPr>
          <w:rFonts w:eastAsia="+mn-ea"/>
          <w:color w:val="000000"/>
          <w:kern w:val="24"/>
          <w:lang w:eastAsia="tr-TR"/>
        </w:rPr>
        <w:t xml:space="preserve"> </w:t>
      </w:r>
      <w:r w:rsidRPr="002B069B">
        <w:t>Dejenere kolanjiyosit (yıldız),</w:t>
      </w:r>
      <w:r>
        <w:t xml:space="preserve"> </w:t>
      </w:r>
      <w:r w:rsidRPr="002B069B">
        <w:t xml:space="preserve">heterokromatik-piknotik görünümlü kolanjiyosit nukleusu (N), safra pigmenti (Bp), duktus lümeninde </w:t>
      </w:r>
      <w:r>
        <w:t>ve interselüler alanda (</w:t>
      </w:r>
      <w:r w:rsidRPr="002B069B">
        <w:t>ok) bakteriler. Uranil asetat-Kurşun sitrat. TEM x6300</w:t>
      </w:r>
      <w:r w:rsidRPr="003E3F04">
        <w:t>, x31500</w:t>
      </w:r>
    </w:p>
    <w:p w14:paraId="30FDDE2F" w14:textId="77777777" w:rsidR="00246740" w:rsidRDefault="00246740" w:rsidP="00246740">
      <w:pPr>
        <w:spacing w:after="160"/>
        <w:ind w:left="680" w:firstLine="0"/>
        <w:rPr>
          <w:noProof/>
          <w:szCs w:val="24"/>
          <w:lang w:eastAsia="tr-TR"/>
        </w:rPr>
      </w:pPr>
      <w:r>
        <w:rPr>
          <w:i/>
          <w:iCs/>
          <w:noProof/>
          <w:szCs w:val="24"/>
          <w:lang w:eastAsia="tr-TR"/>
        </w:rPr>
        <w:br w:type="page"/>
      </w:r>
    </w:p>
    <w:p w14:paraId="07423B09" w14:textId="514F073F" w:rsidR="00BF0F9A" w:rsidRDefault="00BF0F9A" w:rsidP="000573A5">
      <w:pPr>
        <w:ind w:firstLine="0"/>
        <w:rPr>
          <w:b/>
        </w:rPr>
      </w:pPr>
      <w:bookmarkStart w:id="608" w:name="_Toc49815810"/>
      <w:bookmarkStart w:id="609" w:name="_Toc55727869"/>
      <w:r w:rsidRPr="000573A5">
        <w:rPr>
          <w:b/>
        </w:rPr>
        <w:lastRenderedPageBreak/>
        <w:t>E</w:t>
      </w:r>
      <w:r w:rsidR="00B46233" w:rsidRPr="000573A5">
        <w:rPr>
          <w:b/>
        </w:rPr>
        <w:t>K-</w:t>
      </w:r>
      <w:r w:rsidRPr="000573A5">
        <w:rPr>
          <w:b/>
        </w:rPr>
        <w:t>2: Sepsis tablosundaki hastaların transplante karaciğer biyopsisinin ışık mikroskobu altında tespit edilen patolojik bulguları aşağıda</w:t>
      </w:r>
      <w:r w:rsidR="00B46233" w:rsidRPr="000573A5">
        <w:rPr>
          <w:b/>
        </w:rPr>
        <w:t>ki</w:t>
      </w:r>
      <w:r w:rsidRPr="000573A5">
        <w:rPr>
          <w:b/>
        </w:rPr>
        <w:t xml:space="preserve"> resimlerde gösterilmiştir.</w:t>
      </w:r>
      <w:bookmarkEnd w:id="608"/>
      <w:bookmarkEnd w:id="609"/>
      <w:r w:rsidRPr="000573A5">
        <w:rPr>
          <w:b/>
        </w:rPr>
        <w:t xml:space="preserve"> </w:t>
      </w:r>
    </w:p>
    <w:p w14:paraId="087315F5" w14:textId="77777777" w:rsidR="000573A5" w:rsidRPr="000573A5" w:rsidRDefault="000573A5" w:rsidP="000573A5">
      <w:pPr>
        <w:ind w:firstLine="0"/>
        <w:rPr>
          <w:b/>
        </w:rPr>
      </w:pPr>
    </w:p>
    <w:p w14:paraId="12DF75C1" w14:textId="77777777" w:rsidR="00BF0F9A" w:rsidRDefault="00BF0F9A" w:rsidP="00BF0F9A">
      <w:pPr>
        <w:spacing w:after="160"/>
        <w:rPr>
          <w:color w:val="000000" w:themeColor="text1"/>
          <w:szCs w:val="24"/>
        </w:rPr>
      </w:pPr>
      <w:r w:rsidRPr="00107631">
        <w:rPr>
          <w:noProof/>
          <w:lang w:eastAsia="tr-TR"/>
        </w:rPr>
        <w:drawing>
          <wp:anchor distT="0" distB="0" distL="114300" distR="114300" simplePos="0" relativeHeight="251711488" behindDoc="1" locked="0" layoutInCell="1" allowOverlap="1" wp14:anchorId="260BBA7B" wp14:editId="2AFDC35F">
            <wp:simplePos x="0" y="0"/>
            <wp:positionH relativeFrom="column">
              <wp:posOffset>496290</wp:posOffset>
            </wp:positionH>
            <wp:positionV relativeFrom="paragraph">
              <wp:posOffset>307975</wp:posOffset>
            </wp:positionV>
            <wp:extent cx="3844800" cy="2880000"/>
            <wp:effectExtent l="0" t="0" r="3810" b="0"/>
            <wp:wrapNone/>
            <wp:docPr id="11" name="Resim 11" descr="G:\TEZ\TEZ TASLAK WORD\-patoloji\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EZ\TEZ TASLAK WORD\-patoloji\_001.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B52A68" w14:textId="77777777" w:rsidR="00BF0F9A" w:rsidRDefault="00BF0F9A" w:rsidP="00BF0F9A"/>
    <w:p w14:paraId="3E28A196" w14:textId="77777777" w:rsidR="00BF0F9A" w:rsidRDefault="00BF0F9A" w:rsidP="00BF0F9A"/>
    <w:p w14:paraId="37CBCE1C" w14:textId="77777777" w:rsidR="00BF0F9A" w:rsidRDefault="00BF0F9A" w:rsidP="00BF0F9A">
      <w:pPr>
        <w:ind w:left="360"/>
      </w:pPr>
    </w:p>
    <w:p w14:paraId="20AEE11D" w14:textId="77777777" w:rsidR="00BF0F9A" w:rsidRDefault="00BF0F9A" w:rsidP="00BF0F9A">
      <w:pPr>
        <w:ind w:left="360"/>
      </w:pPr>
    </w:p>
    <w:p w14:paraId="6FFEE050" w14:textId="77777777" w:rsidR="00BF0F9A" w:rsidRDefault="00BF0F9A" w:rsidP="00BF0F9A">
      <w:pPr>
        <w:pStyle w:val="Altyaz"/>
        <w:framePr w:h="961" w:hRule="exact" w:wrap="notBeside" w:hAnchor="page" w:x="1891" w:y="9377"/>
        <w:ind w:left="0" w:firstLine="0"/>
      </w:pPr>
      <w:r>
        <w:t xml:space="preserve">               </w:t>
      </w:r>
      <w:r w:rsidRPr="00295706">
        <w:t>Resim</w:t>
      </w:r>
      <w:r>
        <w:t xml:space="preserve"> 2 – Portal alanda enflamasyon (TCMR), HEX20</w:t>
      </w:r>
    </w:p>
    <w:p w14:paraId="1FF0418B" w14:textId="77777777" w:rsidR="00BF0F9A" w:rsidRDefault="00BF0F9A" w:rsidP="00BF0F9A">
      <w:pPr>
        <w:ind w:left="360"/>
      </w:pPr>
    </w:p>
    <w:p w14:paraId="5F0F3B4D" w14:textId="77777777" w:rsidR="00BF0F9A" w:rsidRPr="007D4C02" w:rsidRDefault="00BF0F9A" w:rsidP="00BF0F9A"/>
    <w:p w14:paraId="6662CF96" w14:textId="77777777" w:rsidR="00BF0F9A" w:rsidRPr="007D4C02" w:rsidRDefault="00BF0F9A" w:rsidP="00BF0F9A"/>
    <w:p w14:paraId="77C2ACCB" w14:textId="77777777" w:rsidR="00BF0F9A" w:rsidRPr="007D4C02" w:rsidRDefault="00BF0F9A" w:rsidP="00BF0F9A"/>
    <w:p w14:paraId="026BD8E4" w14:textId="77777777" w:rsidR="00BF0F9A" w:rsidRPr="007D4C02" w:rsidRDefault="00BF0F9A" w:rsidP="00BF0F9A"/>
    <w:p w14:paraId="7E6C6117" w14:textId="77777777" w:rsidR="00BF0F9A" w:rsidRPr="007D4C02" w:rsidRDefault="00BF0F9A" w:rsidP="00BF0F9A"/>
    <w:p w14:paraId="1ED5AD64" w14:textId="77777777" w:rsidR="00BF0F9A" w:rsidRPr="007D4C02" w:rsidRDefault="00BF0F9A" w:rsidP="00BF0F9A"/>
    <w:p w14:paraId="06698D74" w14:textId="77777777" w:rsidR="00BF0F9A" w:rsidRDefault="00BF0F9A" w:rsidP="00BF0F9A">
      <w:pPr>
        <w:pStyle w:val="Altyaz"/>
        <w:framePr w:w="9428" w:wrap="notBeside" w:hAnchor="page" w:x="1927" w:y="218"/>
        <w:ind w:firstLine="0"/>
      </w:pPr>
      <w:r>
        <w:t>Resim 1 – Hafif portal enflamasyon, duktuler safra tıkacı, HEX20</w:t>
      </w:r>
    </w:p>
    <w:p w14:paraId="1A64507E" w14:textId="77777777" w:rsidR="00BF0F9A" w:rsidRDefault="00BF0F9A" w:rsidP="00BF0F9A">
      <w:r>
        <w:t xml:space="preserve">   </w:t>
      </w:r>
    </w:p>
    <w:p w14:paraId="1570B1D7" w14:textId="77777777" w:rsidR="00BF0F9A" w:rsidRPr="007D4C02" w:rsidRDefault="00BF0F9A" w:rsidP="00BF0F9A">
      <w:pPr>
        <w:tabs>
          <w:tab w:val="left" w:pos="3161"/>
        </w:tabs>
      </w:pPr>
      <w:r w:rsidRPr="004B7250">
        <w:rPr>
          <w:noProof/>
          <w:lang w:eastAsia="tr-TR"/>
        </w:rPr>
        <w:drawing>
          <wp:anchor distT="0" distB="0" distL="114300" distR="114300" simplePos="0" relativeHeight="251712512" behindDoc="0" locked="0" layoutInCell="1" allowOverlap="1" wp14:anchorId="643CE050" wp14:editId="0E763DE0">
            <wp:simplePos x="0" y="0"/>
            <wp:positionH relativeFrom="column">
              <wp:posOffset>438150</wp:posOffset>
            </wp:positionH>
            <wp:positionV relativeFrom="paragraph">
              <wp:posOffset>319597</wp:posOffset>
            </wp:positionV>
            <wp:extent cx="3844800" cy="2880000"/>
            <wp:effectExtent l="0" t="0" r="3810" b="0"/>
            <wp:wrapThrough wrapText="bothSides">
              <wp:wrapPolygon edited="0">
                <wp:start x="0" y="0"/>
                <wp:lineTo x="0" y="21433"/>
                <wp:lineTo x="21514" y="21433"/>
                <wp:lineTo x="21514" y="0"/>
                <wp:lineTo x="0" y="0"/>
              </wp:wrapPolygon>
            </wp:wrapThrough>
            <wp:docPr id="12" name="Resim 12" descr="G:\TEZ\TEZ TASLAK WORD\-patoloji\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EZ\TEZ TASLAK WORD\-patoloji\_002.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634433" w14:textId="77777777" w:rsidR="00BF0F9A" w:rsidRDefault="00BF0F9A" w:rsidP="00BF0F9A">
      <w:pPr>
        <w:ind w:left="360"/>
      </w:pPr>
      <w:r w:rsidRPr="001D30D4">
        <w:rPr>
          <w:noProof/>
          <w:lang w:eastAsia="tr-TR"/>
        </w:rPr>
        <w:lastRenderedPageBreak/>
        <w:drawing>
          <wp:inline distT="0" distB="0" distL="0" distR="0" wp14:anchorId="6930618F" wp14:editId="001BAB15">
            <wp:extent cx="3844800" cy="2880000"/>
            <wp:effectExtent l="0" t="0" r="3810" b="0"/>
            <wp:docPr id="13" name="Resim 13" descr="G:\TEZ\TEZ TASLAK WORD\-patoloji\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EZ\TEZ TASLAK WORD\-patoloji\_003.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3E3C09C1" w14:textId="77777777" w:rsidR="00BF0F9A" w:rsidRDefault="00BF0F9A" w:rsidP="00BF0F9A">
      <w:pPr>
        <w:pStyle w:val="Altyaz"/>
        <w:framePr w:wrap="notBeside"/>
        <w:ind w:left="0" w:firstLine="0"/>
      </w:pPr>
      <w:r>
        <w:t xml:space="preserve">                 Resim 3 – Sol tarafta nekroz, HEX20</w:t>
      </w:r>
    </w:p>
    <w:p w14:paraId="204F17EB" w14:textId="77777777" w:rsidR="00BF0F9A" w:rsidRDefault="00BF0F9A" w:rsidP="00BF0F9A">
      <w:pPr>
        <w:ind w:left="360"/>
      </w:pPr>
    </w:p>
    <w:p w14:paraId="15554DF1" w14:textId="77777777" w:rsidR="00BF0F9A" w:rsidRDefault="00BF0F9A" w:rsidP="00BF0F9A">
      <w:pPr>
        <w:ind w:left="360"/>
      </w:pPr>
    </w:p>
    <w:p w14:paraId="049BD98A" w14:textId="77777777" w:rsidR="00BF0F9A" w:rsidRDefault="00BF0F9A" w:rsidP="00BF0F9A">
      <w:pPr>
        <w:ind w:left="360"/>
      </w:pPr>
    </w:p>
    <w:p w14:paraId="69F54571" w14:textId="77777777" w:rsidR="00BF0F9A" w:rsidRDefault="00BF0F9A" w:rsidP="00BF0F9A">
      <w:pPr>
        <w:ind w:left="360"/>
      </w:pPr>
      <w:r w:rsidRPr="001D30D4">
        <w:rPr>
          <w:noProof/>
          <w:lang w:eastAsia="tr-TR"/>
        </w:rPr>
        <w:drawing>
          <wp:inline distT="0" distB="0" distL="0" distR="0" wp14:anchorId="407EE8F8" wp14:editId="5FBC4F9B">
            <wp:extent cx="3844800" cy="2880000"/>
            <wp:effectExtent l="0" t="0" r="3810" b="0"/>
            <wp:docPr id="14" name="Resim 14" descr="G:\TEZ\TEZ TASLAK WORD\-patoloji\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EZ\TEZ TASLAK WORD\-patoloji\_004.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0175F6BE" w14:textId="77777777" w:rsidR="00BF0F9A" w:rsidRDefault="00BF0F9A" w:rsidP="00BF0F9A">
      <w:pPr>
        <w:pStyle w:val="Altyaz"/>
        <w:framePr w:wrap="notBeside"/>
        <w:ind w:left="0" w:firstLine="0"/>
      </w:pPr>
      <w:r>
        <w:t xml:space="preserve">                 Resim 4 – Yaygın iskemik nekroz, HEX10</w:t>
      </w:r>
    </w:p>
    <w:p w14:paraId="25877FB6" w14:textId="77777777" w:rsidR="00BF0F9A" w:rsidRDefault="00BF0F9A" w:rsidP="00BF0F9A">
      <w:pPr>
        <w:ind w:left="360"/>
      </w:pPr>
    </w:p>
    <w:p w14:paraId="5A3B34CB" w14:textId="77777777" w:rsidR="00BF0F9A" w:rsidRDefault="00BF0F9A" w:rsidP="00BF0F9A">
      <w:pPr>
        <w:ind w:left="360"/>
      </w:pPr>
      <w:r w:rsidRPr="001D30D4">
        <w:rPr>
          <w:noProof/>
          <w:lang w:eastAsia="tr-TR"/>
        </w:rPr>
        <w:lastRenderedPageBreak/>
        <w:drawing>
          <wp:inline distT="0" distB="0" distL="0" distR="0" wp14:anchorId="5646C98B" wp14:editId="74AECA56">
            <wp:extent cx="3844800" cy="2880000"/>
            <wp:effectExtent l="0" t="0" r="3810" b="0"/>
            <wp:docPr id="15" name="Resim 15" descr="G:\TEZ\TEZ TASLAK WORD\-patoloji\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EZ\TEZ TASLAK WORD\-patoloji\_005.t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2C65469F" w14:textId="77777777" w:rsidR="00BF0F9A" w:rsidRPr="0082398A" w:rsidRDefault="00BF0F9A" w:rsidP="00BF0F9A">
      <w:pPr>
        <w:rPr>
          <w:sz w:val="20"/>
          <w:szCs w:val="20"/>
        </w:rPr>
      </w:pPr>
      <w:r>
        <w:t xml:space="preserve">        </w:t>
      </w:r>
      <w:r w:rsidRPr="0082398A">
        <w:rPr>
          <w:sz w:val="20"/>
          <w:szCs w:val="20"/>
        </w:rPr>
        <w:t>Resim 5 – Perisantral kanaliküler kolestaz ve steatoz, HEX20</w:t>
      </w:r>
    </w:p>
    <w:p w14:paraId="44530F16" w14:textId="77777777" w:rsidR="00BF0F9A" w:rsidRDefault="00BF0F9A" w:rsidP="00BF0F9A">
      <w:pPr>
        <w:ind w:left="360"/>
      </w:pPr>
    </w:p>
    <w:p w14:paraId="4176AA37" w14:textId="77777777" w:rsidR="00BF0F9A" w:rsidRDefault="00BF0F9A" w:rsidP="00BF0F9A">
      <w:pPr>
        <w:ind w:left="360"/>
      </w:pPr>
    </w:p>
    <w:p w14:paraId="006CD70D" w14:textId="77777777" w:rsidR="00BF0F9A" w:rsidRDefault="00BF0F9A" w:rsidP="00BF0F9A">
      <w:pPr>
        <w:ind w:left="360"/>
      </w:pPr>
      <w:r w:rsidRPr="001D30D4">
        <w:rPr>
          <w:noProof/>
          <w:lang w:eastAsia="tr-TR"/>
        </w:rPr>
        <w:drawing>
          <wp:inline distT="0" distB="0" distL="0" distR="0" wp14:anchorId="70953435" wp14:editId="2700D5E8">
            <wp:extent cx="3844800" cy="2880000"/>
            <wp:effectExtent l="0" t="0" r="3810" b="0"/>
            <wp:docPr id="16" name="Resim 16" descr="G:\TEZ\TEZ TASLAK WORD\-patoloji\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EZ\TEZ TASLAK WORD\-patoloji\_006.t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6A82C3BE" w14:textId="77777777" w:rsidR="00BF0F9A" w:rsidRPr="0082398A" w:rsidRDefault="00BF0F9A" w:rsidP="00BF0F9A">
      <w:pPr>
        <w:jc w:val="left"/>
        <w:rPr>
          <w:sz w:val="20"/>
          <w:szCs w:val="20"/>
        </w:rPr>
      </w:pPr>
      <w:r>
        <w:rPr>
          <w:sz w:val="20"/>
          <w:szCs w:val="20"/>
        </w:rPr>
        <w:t xml:space="preserve">         </w:t>
      </w:r>
      <w:r w:rsidRPr="0082398A">
        <w:rPr>
          <w:sz w:val="20"/>
          <w:szCs w:val="20"/>
        </w:rPr>
        <w:t>Resim 6 –</w:t>
      </w:r>
      <w:r>
        <w:rPr>
          <w:sz w:val="20"/>
          <w:szCs w:val="20"/>
        </w:rPr>
        <w:t xml:space="preserve"> Du</w:t>
      </w:r>
      <w:r w:rsidRPr="0082398A">
        <w:rPr>
          <w:sz w:val="20"/>
          <w:szCs w:val="20"/>
        </w:rPr>
        <w:t>kt</w:t>
      </w:r>
      <w:r>
        <w:rPr>
          <w:sz w:val="20"/>
          <w:szCs w:val="20"/>
        </w:rPr>
        <w:t>u</w:t>
      </w:r>
      <w:r w:rsidRPr="0082398A">
        <w:rPr>
          <w:sz w:val="20"/>
          <w:szCs w:val="20"/>
        </w:rPr>
        <w:t>ler Proliferasyon, CK-7</w:t>
      </w:r>
      <w:r>
        <w:rPr>
          <w:sz w:val="20"/>
          <w:szCs w:val="20"/>
        </w:rPr>
        <w:t xml:space="preserve"> pozitif safra duktusları, CK7X20</w:t>
      </w:r>
    </w:p>
    <w:p w14:paraId="359C4ECE" w14:textId="77777777" w:rsidR="00BF0F9A" w:rsidRDefault="00BF0F9A" w:rsidP="00BF0F9A">
      <w:pPr>
        <w:ind w:left="360"/>
      </w:pPr>
    </w:p>
    <w:p w14:paraId="488800AA" w14:textId="77777777" w:rsidR="00BF0F9A" w:rsidRDefault="00BF0F9A" w:rsidP="00BF0F9A">
      <w:pPr>
        <w:ind w:left="360"/>
      </w:pPr>
      <w:r w:rsidRPr="001D30D4">
        <w:rPr>
          <w:noProof/>
          <w:lang w:eastAsia="tr-TR"/>
        </w:rPr>
        <w:lastRenderedPageBreak/>
        <w:drawing>
          <wp:inline distT="0" distB="0" distL="0" distR="0" wp14:anchorId="661AFA79" wp14:editId="3407E1F4">
            <wp:extent cx="3844800" cy="2880000"/>
            <wp:effectExtent l="0" t="0" r="3810" b="0"/>
            <wp:docPr id="17" name="Resim 17" descr="G:\TEZ\TEZ TASLAK WORD\-patoloji\_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EZ\TEZ TASLAK WORD\-patoloji\_007.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248E4CB5" w14:textId="77777777" w:rsidR="00BF0F9A" w:rsidRPr="0082398A" w:rsidRDefault="00BF0F9A" w:rsidP="00BF0F9A">
      <w:pPr>
        <w:jc w:val="left"/>
        <w:rPr>
          <w:sz w:val="20"/>
          <w:szCs w:val="20"/>
        </w:rPr>
      </w:pPr>
      <w:r>
        <w:rPr>
          <w:sz w:val="20"/>
          <w:szCs w:val="20"/>
        </w:rPr>
        <w:t xml:space="preserve">         </w:t>
      </w:r>
      <w:r w:rsidRPr="0082398A">
        <w:rPr>
          <w:sz w:val="20"/>
          <w:szCs w:val="20"/>
        </w:rPr>
        <w:t>Resim 7 –</w:t>
      </w:r>
      <w:r>
        <w:rPr>
          <w:sz w:val="20"/>
          <w:szCs w:val="20"/>
        </w:rPr>
        <w:t xml:space="preserve"> Perisantral kolestaz ve hafif </w:t>
      </w:r>
      <w:r w:rsidRPr="0082398A">
        <w:rPr>
          <w:sz w:val="20"/>
          <w:szCs w:val="20"/>
        </w:rPr>
        <w:t>steatoz</w:t>
      </w:r>
      <w:r>
        <w:rPr>
          <w:sz w:val="20"/>
          <w:szCs w:val="20"/>
        </w:rPr>
        <w:t xml:space="preserve">, </w:t>
      </w:r>
      <w:r w:rsidRPr="0082398A">
        <w:rPr>
          <w:sz w:val="20"/>
          <w:szCs w:val="20"/>
        </w:rPr>
        <w:t>HEX1</w:t>
      </w:r>
      <w:r>
        <w:rPr>
          <w:sz w:val="20"/>
          <w:szCs w:val="20"/>
        </w:rPr>
        <w:t>0</w:t>
      </w:r>
    </w:p>
    <w:p w14:paraId="02217228" w14:textId="77777777" w:rsidR="00BF0F9A" w:rsidRDefault="00BF0F9A" w:rsidP="00BF0F9A">
      <w:pPr>
        <w:ind w:left="360"/>
      </w:pPr>
    </w:p>
    <w:p w14:paraId="58251710" w14:textId="77777777" w:rsidR="00BF0F9A" w:rsidRDefault="00BF0F9A" w:rsidP="00BF0F9A">
      <w:pPr>
        <w:ind w:left="360"/>
      </w:pPr>
    </w:p>
    <w:p w14:paraId="21F292F0" w14:textId="77777777" w:rsidR="00BF0F9A" w:rsidRDefault="00BF0F9A" w:rsidP="00BF0F9A">
      <w:pPr>
        <w:ind w:left="360"/>
      </w:pPr>
    </w:p>
    <w:p w14:paraId="71FBCEA9" w14:textId="77777777" w:rsidR="00BF0F9A" w:rsidRDefault="00BF0F9A" w:rsidP="00BF0F9A">
      <w:pPr>
        <w:pStyle w:val="Altyaz"/>
        <w:framePr w:wrap="notBeside" w:hAnchor="page" w:x="3031" w:y="4563"/>
        <w:ind w:left="0" w:firstLine="0"/>
        <w:jc w:val="both"/>
      </w:pPr>
      <w:r>
        <w:t xml:space="preserve"> Resim 8 – Kanaliküler kolestaz, HEX20</w:t>
      </w:r>
    </w:p>
    <w:p w14:paraId="6434228D" w14:textId="77777777" w:rsidR="00BF0F9A" w:rsidRDefault="00BF0F9A" w:rsidP="00BF0F9A">
      <w:pPr>
        <w:ind w:left="360"/>
      </w:pPr>
      <w:r w:rsidRPr="001D30D4">
        <w:rPr>
          <w:noProof/>
          <w:lang w:eastAsia="tr-TR"/>
        </w:rPr>
        <w:drawing>
          <wp:inline distT="0" distB="0" distL="0" distR="0" wp14:anchorId="2D7419FE" wp14:editId="5A1602A2">
            <wp:extent cx="3844800" cy="2880000"/>
            <wp:effectExtent l="0" t="0" r="3810" b="0"/>
            <wp:docPr id="18" name="Resim 18" descr="G:\TEZ\TEZ TASLAK WORD\-patoloji\_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TEZ\TEZ TASLAK WORD\-patoloji\_008.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3F1E707C" w14:textId="77777777" w:rsidR="00BF0F9A" w:rsidRDefault="00BF0F9A" w:rsidP="00BF0F9A">
      <w:pPr>
        <w:ind w:left="360"/>
      </w:pPr>
    </w:p>
    <w:p w14:paraId="0DCE2928" w14:textId="77777777" w:rsidR="00BF0F9A" w:rsidRDefault="00BF0F9A" w:rsidP="00BF0F9A">
      <w:pPr>
        <w:ind w:left="360"/>
      </w:pPr>
      <w:r w:rsidRPr="001D30D4">
        <w:rPr>
          <w:noProof/>
          <w:lang w:eastAsia="tr-TR"/>
        </w:rPr>
        <w:lastRenderedPageBreak/>
        <w:drawing>
          <wp:inline distT="0" distB="0" distL="0" distR="0" wp14:anchorId="196FE722" wp14:editId="7502B480">
            <wp:extent cx="3844800" cy="2880000"/>
            <wp:effectExtent l="0" t="0" r="3810" b="0"/>
            <wp:docPr id="19" name="Resim 19" descr="G:\TEZ\TEZ TASLAK WORD\-patoloji\_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EZ\TEZ TASLAK WORD\-patoloji\_009.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390D8A6B" w14:textId="77777777" w:rsidR="00BF0F9A" w:rsidRDefault="00BF0F9A" w:rsidP="00BF0F9A">
      <w:pPr>
        <w:rPr>
          <w:sz w:val="20"/>
          <w:szCs w:val="20"/>
        </w:rPr>
      </w:pPr>
      <w:r>
        <w:rPr>
          <w:sz w:val="20"/>
          <w:szCs w:val="20"/>
        </w:rPr>
        <w:t xml:space="preserve">         </w:t>
      </w:r>
      <w:r w:rsidRPr="0082398A">
        <w:rPr>
          <w:sz w:val="20"/>
          <w:szCs w:val="20"/>
        </w:rPr>
        <w:t>Resim 9 –</w:t>
      </w:r>
      <w:r>
        <w:rPr>
          <w:sz w:val="20"/>
          <w:szCs w:val="20"/>
        </w:rPr>
        <w:t xml:space="preserve"> K</w:t>
      </w:r>
      <w:r w:rsidRPr="0082398A">
        <w:rPr>
          <w:sz w:val="20"/>
          <w:szCs w:val="20"/>
        </w:rPr>
        <w:t xml:space="preserve">analiküler kolestaz, hafif steatoz, iskemik nekroz, </w:t>
      </w:r>
    </w:p>
    <w:p w14:paraId="57840F20" w14:textId="77777777" w:rsidR="00BF0F9A" w:rsidRPr="0082398A" w:rsidRDefault="00BF0F9A" w:rsidP="00BF0F9A">
      <w:pPr>
        <w:rPr>
          <w:sz w:val="20"/>
          <w:szCs w:val="20"/>
        </w:rPr>
      </w:pPr>
      <w:r>
        <w:rPr>
          <w:sz w:val="20"/>
          <w:szCs w:val="20"/>
        </w:rPr>
        <w:t xml:space="preserve">         hafif portal enflamasyon, </w:t>
      </w:r>
      <w:r w:rsidRPr="0082398A">
        <w:rPr>
          <w:sz w:val="20"/>
          <w:szCs w:val="20"/>
        </w:rPr>
        <w:t>HEX10</w:t>
      </w:r>
    </w:p>
    <w:p w14:paraId="004519D1" w14:textId="77777777" w:rsidR="00BF0F9A" w:rsidRDefault="00BF0F9A" w:rsidP="00BF0F9A">
      <w:pPr>
        <w:ind w:left="360"/>
      </w:pPr>
    </w:p>
    <w:p w14:paraId="75FC1C92" w14:textId="77777777" w:rsidR="00BF0F9A" w:rsidRDefault="00BF0F9A" w:rsidP="00BF0F9A">
      <w:pPr>
        <w:ind w:left="360"/>
      </w:pPr>
      <w:r w:rsidRPr="001D30D4">
        <w:rPr>
          <w:noProof/>
          <w:lang w:eastAsia="tr-TR"/>
        </w:rPr>
        <w:drawing>
          <wp:inline distT="0" distB="0" distL="0" distR="0" wp14:anchorId="03D398B3" wp14:editId="6795CACA">
            <wp:extent cx="3844800" cy="2880000"/>
            <wp:effectExtent l="0" t="0" r="3810" b="0"/>
            <wp:docPr id="20" name="Resim 20" descr="G:\TEZ\TEZ TASLAK WORD\-patoloji\_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TEZ\TEZ TASLAK WORD\-patoloji\_010.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63E10F57" w14:textId="77777777" w:rsidR="00BF0F9A" w:rsidRPr="0082398A" w:rsidRDefault="00BF0F9A" w:rsidP="00BF0F9A">
      <w:pPr>
        <w:rPr>
          <w:sz w:val="20"/>
          <w:szCs w:val="20"/>
        </w:rPr>
      </w:pPr>
      <w:r>
        <w:t xml:space="preserve">        </w:t>
      </w:r>
      <w:r w:rsidRPr="0082398A">
        <w:rPr>
          <w:sz w:val="20"/>
          <w:szCs w:val="20"/>
        </w:rPr>
        <w:t xml:space="preserve">Resim 10 – Kolestaz, iskemik nekroz, portal </w:t>
      </w:r>
      <w:r>
        <w:rPr>
          <w:sz w:val="20"/>
          <w:szCs w:val="20"/>
        </w:rPr>
        <w:t>enflamasy</w:t>
      </w:r>
      <w:r w:rsidRPr="0082398A">
        <w:rPr>
          <w:sz w:val="20"/>
          <w:szCs w:val="20"/>
        </w:rPr>
        <w:t>on, HEX20</w:t>
      </w:r>
    </w:p>
    <w:p w14:paraId="4C166009" w14:textId="77777777" w:rsidR="00BF0F9A" w:rsidRDefault="00BF0F9A" w:rsidP="00BF0F9A">
      <w:pPr>
        <w:ind w:left="360"/>
      </w:pPr>
    </w:p>
    <w:p w14:paraId="116F1489" w14:textId="77777777" w:rsidR="00BF0F9A" w:rsidRDefault="00BF0F9A" w:rsidP="00BF0F9A">
      <w:pPr>
        <w:ind w:left="360"/>
      </w:pPr>
      <w:r w:rsidRPr="001D30D4">
        <w:rPr>
          <w:noProof/>
          <w:lang w:eastAsia="tr-TR"/>
        </w:rPr>
        <w:lastRenderedPageBreak/>
        <w:drawing>
          <wp:inline distT="0" distB="0" distL="0" distR="0" wp14:anchorId="78919753" wp14:editId="0467333B">
            <wp:extent cx="3844800" cy="2880000"/>
            <wp:effectExtent l="0" t="0" r="3810" b="0"/>
            <wp:docPr id="21" name="Resim 21" descr="G:\TEZ\TEZ TASLAK WORD\-patoloji\_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EZ\TEZ TASLAK WORD\-patoloji\_011.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6D738862" w14:textId="77777777" w:rsidR="00BF0F9A" w:rsidRDefault="00BF0F9A" w:rsidP="00BF0F9A">
      <w:pPr>
        <w:pStyle w:val="Altyaz"/>
        <w:framePr w:wrap="notBeside"/>
      </w:pPr>
      <w:r>
        <w:t>Resim 11 – Hafif-orta TCMR, HEX20</w:t>
      </w:r>
    </w:p>
    <w:p w14:paraId="044415C9" w14:textId="77777777" w:rsidR="00BF0F9A" w:rsidRDefault="00BF0F9A" w:rsidP="00BF0F9A">
      <w:pPr>
        <w:ind w:left="360"/>
      </w:pPr>
    </w:p>
    <w:p w14:paraId="43046F00" w14:textId="77777777" w:rsidR="00BF0F9A" w:rsidRDefault="00BF0F9A" w:rsidP="00BF0F9A">
      <w:pPr>
        <w:ind w:left="360"/>
      </w:pPr>
    </w:p>
    <w:p w14:paraId="1C232892" w14:textId="77777777" w:rsidR="00BF0F9A" w:rsidRDefault="00BF0F9A" w:rsidP="00BF0F9A">
      <w:pPr>
        <w:ind w:left="360"/>
      </w:pPr>
    </w:p>
    <w:p w14:paraId="0BD82D27" w14:textId="77777777" w:rsidR="00BF0F9A" w:rsidRDefault="00BF0F9A" w:rsidP="00BF0F9A">
      <w:pPr>
        <w:pStyle w:val="Altyaz"/>
        <w:framePr w:wrap="notBeside" w:hAnchor="page" w:x="2896" w:y="4652"/>
        <w:ind w:left="0" w:firstLine="0"/>
      </w:pPr>
      <w:r>
        <w:t xml:space="preserve">  Resim 12 – Fokal nekroz, steatoz, kolestaz, HEX20</w:t>
      </w:r>
    </w:p>
    <w:p w14:paraId="7F48E8E9" w14:textId="77777777" w:rsidR="00BF0F9A" w:rsidRDefault="00BF0F9A" w:rsidP="00BF0F9A">
      <w:pPr>
        <w:ind w:left="360"/>
      </w:pPr>
      <w:r w:rsidRPr="001D30D4">
        <w:rPr>
          <w:noProof/>
          <w:lang w:eastAsia="tr-TR"/>
        </w:rPr>
        <w:drawing>
          <wp:inline distT="0" distB="0" distL="0" distR="0" wp14:anchorId="06251D74" wp14:editId="58E79566">
            <wp:extent cx="3844800" cy="2880000"/>
            <wp:effectExtent l="0" t="0" r="3810" b="0"/>
            <wp:docPr id="22" name="Resim 22" descr="G:\TEZ\TEZ TASLAK WORD\-patoloji\_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TEZ\TEZ TASLAK WORD\-patoloji\_012.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44800" cy="2880000"/>
                    </a:xfrm>
                    <a:prstGeom prst="rect">
                      <a:avLst/>
                    </a:prstGeom>
                    <a:noFill/>
                    <a:ln>
                      <a:noFill/>
                    </a:ln>
                  </pic:spPr>
                </pic:pic>
              </a:graphicData>
            </a:graphic>
          </wp:inline>
        </w:drawing>
      </w:r>
    </w:p>
    <w:p w14:paraId="2B1C383E" w14:textId="77777777" w:rsidR="00BF0F9A" w:rsidRDefault="00BF0F9A" w:rsidP="00BF0F9A">
      <w:r>
        <w:t xml:space="preserve">                          </w:t>
      </w:r>
    </w:p>
    <w:p w14:paraId="74A67744" w14:textId="77777777" w:rsidR="00BF0F9A" w:rsidRPr="004B7250" w:rsidRDefault="00BF0F9A" w:rsidP="00BF0F9A">
      <w:pPr>
        <w:tabs>
          <w:tab w:val="left" w:pos="1995"/>
        </w:tabs>
      </w:pPr>
    </w:p>
    <w:p w14:paraId="313A5641" w14:textId="77777777" w:rsidR="00BF0F9A" w:rsidRDefault="00BF0F9A" w:rsidP="00BF0F9A">
      <w:pPr>
        <w:spacing w:after="160"/>
        <w:ind w:left="680" w:firstLine="0"/>
        <w:rPr>
          <w:rFonts w:eastAsiaTheme="majorEastAsia" w:cstheme="majorBidi"/>
          <w:b/>
          <w:color w:val="000000" w:themeColor="text1"/>
          <w:szCs w:val="26"/>
        </w:rPr>
      </w:pPr>
      <w:r>
        <w:rPr>
          <w:rFonts w:eastAsiaTheme="majorEastAsia" w:cstheme="majorBidi"/>
          <w:b/>
          <w:color w:val="000000" w:themeColor="text1"/>
          <w:szCs w:val="26"/>
        </w:rPr>
        <w:br w:type="page"/>
      </w:r>
    </w:p>
    <w:p w14:paraId="31CB2D46" w14:textId="1BD2E2C9" w:rsidR="00AE01EB" w:rsidRDefault="00AF00FB" w:rsidP="001D5092">
      <w:pPr>
        <w:pStyle w:val="Balk1"/>
      </w:pPr>
      <w:bookmarkStart w:id="610" w:name="_Toc55727870"/>
      <w:r w:rsidRPr="003656DA">
        <w:lastRenderedPageBreak/>
        <w:t>KAYNAKLAR</w:t>
      </w:r>
      <w:bookmarkEnd w:id="606"/>
      <w:bookmarkEnd w:id="607"/>
      <w:bookmarkEnd w:id="610"/>
    </w:p>
    <w:p w14:paraId="31CB2D47" w14:textId="77777777" w:rsidR="00732E31" w:rsidRPr="00732E31" w:rsidRDefault="00732E31" w:rsidP="000C24C7"/>
    <w:p w14:paraId="58178709" w14:textId="13A64B99" w:rsidR="000A36FC" w:rsidRPr="000A36FC" w:rsidRDefault="00FC67F9" w:rsidP="000A36FC">
      <w:pPr>
        <w:widowControl w:val="0"/>
        <w:autoSpaceDE w:val="0"/>
        <w:autoSpaceDN w:val="0"/>
        <w:adjustRightInd w:val="0"/>
        <w:ind w:left="640" w:hanging="640"/>
        <w:rPr>
          <w:noProof/>
          <w:szCs w:val="24"/>
        </w:rPr>
      </w:pPr>
      <w:r>
        <w:rPr>
          <w:b/>
        </w:rPr>
        <w:fldChar w:fldCharType="begin" w:fldLock="1"/>
      </w:r>
      <w:r>
        <w:rPr>
          <w:b/>
        </w:rPr>
        <w:instrText xml:space="preserve">ADDIN Mendeley Bibliography CSL_BIBLIOGRAPHY </w:instrText>
      </w:r>
      <w:r>
        <w:rPr>
          <w:b/>
        </w:rPr>
        <w:fldChar w:fldCharType="separate"/>
      </w:r>
      <w:r w:rsidR="000A36FC" w:rsidRPr="000A36FC">
        <w:rPr>
          <w:noProof/>
          <w:szCs w:val="24"/>
        </w:rPr>
        <w:t xml:space="preserve">1. </w:t>
      </w:r>
      <w:r w:rsidR="000A36FC" w:rsidRPr="000A36FC">
        <w:rPr>
          <w:noProof/>
          <w:szCs w:val="24"/>
        </w:rPr>
        <w:tab/>
        <w:t xml:space="preserve">Yan J, Li S, Li S. The role of the liver in sepsis. International reviews of immunology. 2014;33(6):498-510. </w:t>
      </w:r>
    </w:p>
    <w:p w14:paraId="19A443E1"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2. </w:t>
      </w:r>
      <w:r w:rsidRPr="000A36FC">
        <w:rPr>
          <w:noProof/>
          <w:szCs w:val="24"/>
        </w:rPr>
        <w:tab/>
        <w:t xml:space="preserve">Ferrario, M. Et al. Mortality prediction in patients with severe septic shock: a pilot study using a target metabolomics approach. Sci. Rep. 6, 20391; 2016. </w:t>
      </w:r>
    </w:p>
    <w:p w14:paraId="4DCCDFE3"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3. </w:t>
      </w:r>
      <w:r w:rsidRPr="000A36FC">
        <w:rPr>
          <w:noProof/>
          <w:szCs w:val="24"/>
        </w:rPr>
        <w:tab/>
        <w:t xml:space="preserve">Khwannimit B, Bhurayanontachai R. The epidemiology of, and risk factors for, mortaliy from severe sepsis and septic shock in a tertiary-care university hospital setting. Epidemiology and Infection 2009;137:1333-41. </w:t>
      </w:r>
    </w:p>
    <w:p w14:paraId="47B5D670"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4. </w:t>
      </w:r>
      <w:r w:rsidRPr="000A36FC">
        <w:rPr>
          <w:noProof/>
          <w:szCs w:val="24"/>
        </w:rPr>
        <w:tab/>
        <w:t xml:space="preserve">Aristotelis Perrakis, Volker Müller, Werner Hohenberger and Roland S. Croner (2012). The Role of Procalcitonin in the Early Diagnosis of Septic and NonSeptic Complications in the Immediate Postoperative Setting After Orthotopic Liver Transplantation, Seps. </w:t>
      </w:r>
    </w:p>
    <w:p w14:paraId="25F071C3"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5. </w:t>
      </w:r>
      <w:r w:rsidRPr="000A36FC">
        <w:rPr>
          <w:noProof/>
          <w:szCs w:val="24"/>
        </w:rPr>
        <w:tab/>
        <w:t xml:space="preserve">Kusne S, Dummer JS, Singh N, et al. Infections after liver transplantation. An analysis of 101 consecutive cases. Medicine 1988; 67: 132-43. </w:t>
      </w:r>
    </w:p>
    <w:p w14:paraId="14490EF9" w14:textId="1CDD3225"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6. </w:t>
      </w:r>
      <w:r w:rsidRPr="000A36FC">
        <w:rPr>
          <w:noProof/>
          <w:szCs w:val="24"/>
        </w:rPr>
        <w:tab/>
        <w:t>Pan H-C, Jenq C-C, Lee W-C, Tsai M-H, Fan P-C, Chang C-H, et al. (2014) Scoring Systems for Predicting Mortality after Li</w:t>
      </w:r>
      <w:r w:rsidR="008D4CC9">
        <w:rPr>
          <w:noProof/>
          <w:szCs w:val="24"/>
        </w:rPr>
        <w:t>ver Transplantation. PloS ONE 9</w:t>
      </w:r>
      <w:r w:rsidRPr="000A36FC">
        <w:rPr>
          <w:noProof/>
          <w:szCs w:val="24"/>
        </w:rPr>
        <w:t xml:space="preserve">: e107138. </w:t>
      </w:r>
    </w:p>
    <w:p w14:paraId="51D024B9"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7. </w:t>
      </w:r>
      <w:r w:rsidRPr="000A36FC">
        <w:rPr>
          <w:noProof/>
          <w:szCs w:val="24"/>
        </w:rPr>
        <w:tab/>
        <w:t xml:space="preserve">Huang SW1, Guan XD, He XS, Chen J, Ouyang B. The scoring system for patients with severe sepsis after orthotopic liver transplantation. Hepatobiliary Pancreat Dis Int. 2006 Aug;5(3):364-7. </w:t>
      </w:r>
    </w:p>
    <w:p w14:paraId="391DA4E0" w14:textId="0BB656B3"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8. </w:t>
      </w:r>
      <w:r w:rsidRPr="000A36FC">
        <w:rPr>
          <w:noProof/>
          <w:szCs w:val="24"/>
        </w:rPr>
        <w:tab/>
        <w:t>Strnad P, Tacke F, Koch A, Trautwein C. Liver-guardian, modifier and target of sepsis [Internet]. Vol. 14, Nature Reviews Gastroenterology and Hepatology. Nature Publishing Group; 2017. p. 55–66. Available from: www.nature.com/nrgastro</w:t>
      </w:r>
    </w:p>
    <w:p w14:paraId="414AECC8" w14:textId="24EA3CB1"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9. </w:t>
      </w:r>
      <w:r w:rsidRPr="000A36FC">
        <w:rPr>
          <w:noProof/>
          <w:szCs w:val="24"/>
        </w:rPr>
        <w:tab/>
        <w:t>Kalra A, Tuma F. Physiology, Liver [Internet]. StatPear</w:t>
      </w:r>
      <w:r w:rsidR="008D4CC9">
        <w:rPr>
          <w:noProof/>
          <w:szCs w:val="24"/>
        </w:rPr>
        <w:t>ls. StatPearls Publishing; 2018.</w:t>
      </w:r>
    </w:p>
    <w:p w14:paraId="726A9277" w14:textId="6688CAE1"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10. </w:t>
      </w:r>
      <w:r w:rsidRPr="000A36FC">
        <w:rPr>
          <w:noProof/>
          <w:szCs w:val="24"/>
        </w:rPr>
        <w:tab/>
        <w:t>Casotti V, D’antiga L. Principles of liver physiology. In: Pediatric Hepatology and Liver Transplantation [Internet]. Springer International Publishing; 2019</w:t>
      </w:r>
      <w:r w:rsidR="008D4CC9">
        <w:rPr>
          <w:noProof/>
          <w:szCs w:val="24"/>
        </w:rPr>
        <w:t xml:space="preserve">. </w:t>
      </w:r>
      <w:r w:rsidRPr="000A36FC">
        <w:rPr>
          <w:noProof/>
          <w:szCs w:val="24"/>
        </w:rPr>
        <w:t xml:space="preserve"> </w:t>
      </w:r>
    </w:p>
    <w:p w14:paraId="7D81C8F3"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11. </w:t>
      </w:r>
      <w:r w:rsidRPr="000A36FC">
        <w:rPr>
          <w:noProof/>
          <w:szCs w:val="24"/>
        </w:rPr>
        <w:tab/>
        <w:t xml:space="preserve">Ozier Y, Steib A, Ickx B, Nathan N, Derlon A, Guay J, De Moerloose P: Hemostatic disorders during liver transplantation. European Journal of Anesthesiology. (2001); 18:208- 18. </w:t>
      </w:r>
    </w:p>
    <w:p w14:paraId="77071DDE" w14:textId="28DBF441"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12. </w:t>
      </w:r>
      <w:r w:rsidRPr="000A36FC">
        <w:rPr>
          <w:noProof/>
          <w:szCs w:val="24"/>
        </w:rPr>
        <w:tab/>
        <w:t xml:space="preserve">FB C. Hypermetabolism, organ failure, and metabolic support. Surgery </w:t>
      </w:r>
      <w:r w:rsidRPr="000A36FC">
        <w:rPr>
          <w:noProof/>
          <w:szCs w:val="24"/>
        </w:rPr>
        <w:lastRenderedPageBreak/>
        <w:t>1987;101:1-14.</w:t>
      </w:r>
    </w:p>
    <w:p w14:paraId="6711B6C5"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13. </w:t>
      </w:r>
      <w:r w:rsidRPr="000A36FC">
        <w:rPr>
          <w:noProof/>
          <w:szCs w:val="24"/>
        </w:rPr>
        <w:tab/>
        <w:t xml:space="preserve">Miller RD. Organ Transplantasyonu Aydın D, çev. Editörü. Miller Anestezi 6. </w:t>
      </w:r>
    </w:p>
    <w:p w14:paraId="2D9D9DC7"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14. </w:t>
      </w:r>
      <w:r w:rsidRPr="000A36FC">
        <w:rPr>
          <w:noProof/>
          <w:szCs w:val="24"/>
        </w:rPr>
        <w:tab/>
        <w:t xml:space="preserve">Hepatik Fizyoloji ve Anestezi Lange Klinik Anesteziyoloji Ç.Ed. Tulunay M, Cuhruk H. 773-88. </w:t>
      </w:r>
    </w:p>
    <w:p w14:paraId="12BA9896" w14:textId="33BDCF99"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15. </w:t>
      </w:r>
      <w:r w:rsidRPr="000A36FC">
        <w:rPr>
          <w:noProof/>
          <w:szCs w:val="24"/>
        </w:rPr>
        <w:tab/>
        <w:t>Albrecht J, Norenberg MD. Glutamine: A Trojan hor</w:t>
      </w:r>
      <w:r w:rsidR="008D4CC9">
        <w:rPr>
          <w:noProof/>
          <w:szCs w:val="24"/>
        </w:rPr>
        <w:t>se in ammonia neurotoxicity</w:t>
      </w:r>
      <w:r w:rsidRPr="000A36FC">
        <w:rPr>
          <w:noProof/>
          <w:szCs w:val="24"/>
        </w:rPr>
        <w:t>. Vol. 44, Hepatology. Hepatology; 2006</w:t>
      </w:r>
      <w:r w:rsidR="008D4CC9">
        <w:rPr>
          <w:noProof/>
          <w:szCs w:val="24"/>
        </w:rPr>
        <w:t>.</w:t>
      </w:r>
    </w:p>
    <w:p w14:paraId="1B7C7C4D"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16. </w:t>
      </w:r>
      <w:r w:rsidRPr="000A36FC">
        <w:rPr>
          <w:noProof/>
          <w:szCs w:val="24"/>
        </w:rPr>
        <w:tab/>
        <w:t xml:space="preserve">Rabie M, Negmi H, Hammad Y, Al Oufi H KH. Living donor hepatectomy (LDH) comparative study between two different anesthetic techniques. Middle East J Anaesthesiol. 2006;18:743-56. </w:t>
      </w:r>
    </w:p>
    <w:p w14:paraId="11B9463B" w14:textId="7DAE895D"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17. </w:t>
      </w:r>
      <w:r w:rsidRPr="000A36FC">
        <w:rPr>
          <w:noProof/>
          <w:szCs w:val="24"/>
        </w:rPr>
        <w:tab/>
        <w:t>McClelland DB. ABC of transfusio</w:t>
      </w:r>
      <w:r w:rsidR="008D4CC9">
        <w:rPr>
          <w:noProof/>
          <w:szCs w:val="24"/>
        </w:rPr>
        <w:t>n. Human albumin solutions. BMJ. 1990, Jan 6.</w:t>
      </w:r>
    </w:p>
    <w:p w14:paraId="0BC7F804"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18. </w:t>
      </w:r>
      <w:r w:rsidRPr="000A36FC">
        <w:rPr>
          <w:noProof/>
          <w:szCs w:val="24"/>
        </w:rPr>
        <w:tab/>
        <w:t xml:space="preserve">Zoellner H, Höfler M, Beckmann R  et al. Serum albumin is a specific inhibitor of apoptosis in human endothelial cells. J Cell Sci. 1996;109:2571-80. </w:t>
      </w:r>
    </w:p>
    <w:p w14:paraId="118255DF" w14:textId="3CD24C25"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19. </w:t>
      </w:r>
      <w:r w:rsidRPr="000A36FC">
        <w:rPr>
          <w:noProof/>
          <w:szCs w:val="24"/>
        </w:rPr>
        <w:tab/>
        <w:t>Reinhardt GF, Myscofski JW, Wilkens DB, Dobrin PB, Mangan JE, Stannard RT. Incidence and Mortality of Hypoalbuminemic Patients in Hospitalized V</w:t>
      </w:r>
      <w:r w:rsidR="008D4CC9">
        <w:rPr>
          <w:noProof/>
          <w:szCs w:val="24"/>
        </w:rPr>
        <w:t>eterans. J Parenter Enter Nutr</w:t>
      </w:r>
      <w:r w:rsidRPr="000A36FC">
        <w:rPr>
          <w:noProof/>
          <w:szCs w:val="24"/>
        </w:rPr>
        <w:t>. 1980 Jul 1</w:t>
      </w:r>
      <w:r w:rsidR="008D4CC9">
        <w:rPr>
          <w:noProof/>
          <w:szCs w:val="24"/>
        </w:rPr>
        <w:t>.</w:t>
      </w:r>
      <w:r w:rsidRPr="000A36FC">
        <w:rPr>
          <w:noProof/>
          <w:szCs w:val="24"/>
        </w:rPr>
        <w:t xml:space="preserve"> </w:t>
      </w:r>
    </w:p>
    <w:p w14:paraId="50250A20"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20. </w:t>
      </w:r>
      <w:r w:rsidRPr="000A36FC">
        <w:rPr>
          <w:noProof/>
          <w:szCs w:val="24"/>
        </w:rPr>
        <w:tab/>
        <w:t xml:space="preserve">Brenner DA, Buck M, Feitelberg SP, Chojkier M. Tumor necrosis factor-α inhibits albumin gene expression in a murine model of cachexia. J Clin Invest. 1990 Jan 1;85(1):248–55. </w:t>
      </w:r>
    </w:p>
    <w:p w14:paraId="38025DB8"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21. </w:t>
      </w:r>
      <w:r w:rsidRPr="000A36FC">
        <w:rPr>
          <w:noProof/>
          <w:szCs w:val="24"/>
        </w:rPr>
        <w:tab/>
        <w:t xml:space="preserve">Mao SA, Glorioso JM, Nyberg SL. Liver regeneration. Vol. 163, Translational Research. Mosby Inc.; 2014. p. 352–62. </w:t>
      </w:r>
    </w:p>
    <w:p w14:paraId="4DD22B7E"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22. </w:t>
      </w:r>
      <w:r w:rsidRPr="000A36FC">
        <w:rPr>
          <w:noProof/>
          <w:szCs w:val="24"/>
        </w:rPr>
        <w:tab/>
        <w:t xml:space="preserve">Adam R, McMaster P, O’Grady JG, Castaing D, Klempnauer JL, Jamieson N, et al. Evolution of liver transplantation in Europe: Report of the European Liver Transplant Registry. Vol. 9, Liver Transplantation. W.B. Saunders; 2003. p. 1231–43. </w:t>
      </w:r>
    </w:p>
    <w:p w14:paraId="12DB5DD6" w14:textId="51934701"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23. </w:t>
      </w:r>
      <w:r w:rsidRPr="000A36FC">
        <w:rPr>
          <w:noProof/>
          <w:szCs w:val="24"/>
        </w:rPr>
        <w:tab/>
        <w:t>Kasapoğlu B, Serkan YALÇIN K, Türkay C, Üniversitesi Tıp Fakültesi F, Hastalıkları Ana Bilim Dalı İ, Bilim Dalı G. Canlı Donö</w:t>
      </w:r>
      <w:r w:rsidR="008D4CC9">
        <w:rPr>
          <w:noProof/>
          <w:szCs w:val="24"/>
        </w:rPr>
        <w:t>rden Karaciğer Transplantasyonu.</w:t>
      </w:r>
      <w:r w:rsidRPr="000A36FC">
        <w:rPr>
          <w:noProof/>
          <w:szCs w:val="24"/>
        </w:rPr>
        <w:t xml:space="preserve"> http://guncel.tgv.org.tr/journal/33/pdf/353.pdf</w:t>
      </w:r>
      <w:r w:rsidR="008D4CC9">
        <w:rPr>
          <w:noProof/>
          <w:szCs w:val="24"/>
        </w:rPr>
        <w:t>.</w:t>
      </w:r>
    </w:p>
    <w:p w14:paraId="04ABA526" w14:textId="304A1D3E"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24. </w:t>
      </w:r>
      <w:r w:rsidRPr="000A36FC">
        <w:rPr>
          <w:noProof/>
          <w:szCs w:val="24"/>
        </w:rPr>
        <w:tab/>
        <w:t>del Pozo JL. del Pozo JL. Update and actual trends on bacterial infections following liver transplantation. World J Gastroenterol 2008; 14: 4977-83. World J Gastroenterol [Internet]. 2008 Aug 28</w:t>
      </w:r>
      <w:r w:rsidR="008D4CC9">
        <w:rPr>
          <w:noProof/>
          <w:szCs w:val="24"/>
        </w:rPr>
        <w:t>.</w:t>
      </w:r>
    </w:p>
    <w:p w14:paraId="47EB6471" w14:textId="4EFEE66F"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25. </w:t>
      </w:r>
      <w:r w:rsidRPr="000A36FC">
        <w:rPr>
          <w:noProof/>
          <w:szCs w:val="24"/>
        </w:rPr>
        <w:tab/>
        <w:t>Soave R. Prophylaxis Strategies for Solid‐Organ Transplantation. Clin Infect Dis [Internet]. 2001 Jul 1;33(s1):S26–31.</w:t>
      </w:r>
    </w:p>
    <w:p w14:paraId="2C792163" w14:textId="270FC97E"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26. </w:t>
      </w:r>
      <w:r w:rsidRPr="000A36FC">
        <w:rPr>
          <w:noProof/>
          <w:szCs w:val="24"/>
        </w:rPr>
        <w:tab/>
        <w:t xml:space="preserve">Faix JD, Gandhi NA, Pirozzi G, Graham NMH, Epstein FH, Beutler B, et al. </w:t>
      </w:r>
      <w:r w:rsidRPr="000A36FC">
        <w:rPr>
          <w:noProof/>
          <w:szCs w:val="24"/>
        </w:rPr>
        <w:lastRenderedPageBreak/>
        <w:t>Andrea R. Mueller Klaus-Peter Platz Bernd Kremer Universita tsklinikum Schleswig Holstein, Campus Kiel, Klinik fu r Allgemeine Chirurgie und Thoraxchirurgie, Arnold-Heller Str. 7, 24105 Kiel, Germany. Epstein FH, editor. N Engl J Med [Internet]. 2001 Feb 12</w:t>
      </w:r>
      <w:r w:rsidR="008D4CC9">
        <w:rPr>
          <w:noProof/>
          <w:szCs w:val="24"/>
        </w:rPr>
        <w:t>.</w:t>
      </w:r>
    </w:p>
    <w:p w14:paraId="3E02A0BE"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27. </w:t>
      </w:r>
      <w:r w:rsidRPr="000A36FC">
        <w:rPr>
          <w:noProof/>
          <w:szCs w:val="24"/>
        </w:rPr>
        <w:tab/>
        <w:t xml:space="preserve">Busuttil RW &amp; Lake JR. Role of tacrolimus in evolution of liver transplantation. Transplantation 2004; 77: S44–S51. </w:t>
      </w:r>
    </w:p>
    <w:p w14:paraId="05DD6155"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28. </w:t>
      </w:r>
      <w:r w:rsidRPr="000A36FC">
        <w:rPr>
          <w:noProof/>
          <w:szCs w:val="24"/>
        </w:rPr>
        <w:tab/>
        <w:t xml:space="preserve">Avolio AW, Agnes S, Chirico ASA, Citterio F, Montemagno S, Castagneto M. Outcome of liver transplantation after acute rejection and sepsis. In: Transplantation Proceedings. Elsevier; 1998. p. 3962–6. </w:t>
      </w:r>
    </w:p>
    <w:p w14:paraId="18EBB839"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29. </w:t>
      </w:r>
      <w:r w:rsidRPr="000A36FC">
        <w:rPr>
          <w:noProof/>
          <w:szCs w:val="24"/>
        </w:rPr>
        <w:tab/>
        <w:t xml:space="preserve">Dellinger RP, Levy MM, Rhodes A, et al. Surviving sepsis campaign: international guidelines for management of severe sepsis and septic shock: 2012. Crit Care Med 2013; 41:580. </w:t>
      </w:r>
    </w:p>
    <w:p w14:paraId="26071AFB"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30. </w:t>
      </w:r>
      <w:r w:rsidRPr="000A36FC">
        <w:rPr>
          <w:noProof/>
          <w:szCs w:val="24"/>
        </w:rPr>
        <w:tab/>
        <w:t xml:space="preserve">Rhodes A, Evans LE, Alhazzani W et al. Surviving sepsis campaign: international guidelines for management of sepsis and septic shock: 2016. Intensive Care Med 2017; 43(3): 304-377. </w:t>
      </w:r>
    </w:p>
    <w:p w14:paraId="79A2D277"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31. </w:t>
      </w:r>
      <w:r w:rsidRPr="000A36FC">
        <w:rPr>
          <w:noProof/>
          <w:szCs w:val="24"/>
        </w:rPr>
        <w:tab/>
        <w:t xml:space="preserve">Harris RL, Musher K, Bloom K et al. Manifestations of sepsis. Archives of Internal Medicine 1987; 147(11): 1895-1906. </w:t>
      </w:r>
    </w:p>
    <w:p w14:paraId="767123C7"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32. </w:t>
      </w:r>
      <w:r w:rsidRPr="000A36FC">
        <w:rPr>
          <w:noProof/>
          <w:szCs w:val="24"/>
        </w:rPr>
        <w:tab/>
        <w:t xml:space="preserve">Shao M, Wan Q, Xie W, Ye Q. Bloodstream infections among solid organ transplant recipients: Epidemiology, microbiology, associated risk factors for morbility and mortality. Vol. 28, Transplantation Reviews. W.B. Saunders; 2014. p. 176–81. </w:t>
      </w:r>
    </w:p>
    <w:p w14:paraId="6D766F91"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33. </w:t>
      </w:r>
      <w:r w:rsidRPr="000A36FC">
        <w:rPr>
          <w:noProof/>
          <w:szCs w:val="24"/>
        </w:rPr>
        <w:tab/>
        <w:t xml:space="preserve">Khwannimit, B., &amp; Bhurayanontachai, R. (2009). The epidemiology of, and risk factors for, mortality from severe sepsis and septic shock in a tertiary-care university hospital setting. Epidemiology &amp; Infection, 137(9), 1333-1341. </w:t>
      </w:r>
    </w:p>
    <w:p w14:paraId="73A30BA1"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34. </w:t>
      </w:r>
      <w:r w:rsidRPr="000A36FC">
        <w:rPr>
          <w:noProof/>
          <w:szCs w:val="24"/>
        </w:rPr>
        <w:tab/>
        <w:t xml:space="preserve">Tsertsvadze, A., Royle, P., &amp; McCarthy, N. (2015). Community-onset sepsis and its public health burden: protocol of a systematic review. Systematic reviews, 4(1), 119. </w:t>
      </w:r>
    </w:p>
    <w:p w14:paraId="5102065D" w14:textId="4C213824"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35. </w:t>
      </w:r>
      <w:r w:rsidRPr="000A36FC">
        <w:rPr>
          <w:noProof/>
          <w:szCs w:val="24"/>
        </w:rPr>
        <w:tab/>
        <w:t>Hotchkiss RS, Karl IE. The pathophysiology and treatment of sepsis [Internet]. Vol. 348, New England Journal of Medicine.  Massa</w:t>
      </w:r>
      <w:r w:rsidR="008D4CC9">
        <w:rPr>
          <w:noProof/>
          <w:szCs w:val="24"/>
        </w:rPr>
        <w:t>chusetts Medical Society ; 2003.</w:t>
      </w:r>
    </w:p>
    <w:p w14:paraId="55BB06C2"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36. </w:t>
      </w:r>
      <w:r w:rsidRPr="000A36FC">
        <w:rPr>
          <w:noProof/>
          <w:szCs w:val="24"/>
        </w:rPr>
        <w:tab/>
        <w:t xml:space="preserve">Bone RC, Grodzin CJ, Balk RA. Sepsis: a new hypothesis for pathogenesis of the disease process. Chest. 1997 Jul; 112(1):235-43. </w:t>
      </w:r>
    </w:p>
    <w:p w14:paraId="02FF2CAD" w14:textId="2469C735"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37. </w:t>
      </w:r>
      <w:r w:rsidRPr="000A36FC">
        <w:rPr>
          <w:noProof/>
          <w:szCs w:val="24"/>
        </w:rPr>
        <w:tab/>
        <w:t>Cohen J. The immunopathogenesis of sepsis [Internet]. Vol. 420, Nature. Nature Publishing Group; 2002</w:t>
      </w:r>
      <w:r w:rsidR="008D4CC9">
        <w:rPr>
          <w:noProof/>
          <w:szCs w:val="24"/>
        </w:rPr>
        <w:t>. p. 885–91.</w:t>
      </w:r>
    </w:p>
    <w:p w14:paraId="1261A76A"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lastRenderedPageBreak/>
        <w:t xml:space="preserve">38. </w:t>
      </w:r>
      <w:r w:rsidRPr="000A36FC">
        <w:rPr>
          <w:noProof/>
          <w:szCs w:val="24"/>
        </w:rPr>
        <w:tab/>
        <w:t xml:space="preserve">Uzun O. Nozokomiyal sepsis: Patogenezi ve Klinik özellikleri. Hastane Enfeksiyonları Dergisi. 1998; 2(4):188-93. </w:t>
      </w:r>
    </w:p>
    <w:p w14:paraId="47605AB0"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39. </w:t>
      </w:r>
      <w:r w:rsidRPr="000A36FC">
        <w:rPr>
          <w:noProof/>
          <w:szCs w:val="24"/>
        </w:rPr>
        <w:tab/>
        <w:t xml:space="preserve">Wheeler AP, Bernard GR. Treating patients with severe sepsis. N Engl J Med. 1999 Jan 21; 340(3):207-14. PubMed PMID: 9895401. Epub 1999/01/23. eng. </w:t>
      </w:r>
    </w:p>
    <w:p w14:paraId="5683DFDD" w14:textId="2EEF3172"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40. </w:t>
      </w:r>
      <w:r w:rsidRPr="000A36FC">
        <w:rPr>
          <w:noProof/>
          <w:szCs w:val="24"/>
        </w:rPr>
        <w:tab/>
        <w:t>Wiest R, Lawson M, Geuking M. Pathological bacterial translocation in liver cirrhosis [Internet]. Vol. 60, Journal of Hepatology. Elsevier; 2014</w:t>
      </w:r>
      <w:r w:rsidR="008D4CC9">
        <w:rPr>
          <w:noProof/>
          <w:szCs w:val="24"/>
        </w:rPr>
        <w:t>. p. 197–209.</w:t>
      </w:r>
    </w:p>
    <w:p w14:paraId="1C2FF788" w14:textId="2948A95F"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41. </w:t>
      </w:r>
      <w:r w:rsidRPr="000A36FC">
        <w:rPr>
          <w:noProof/>
          <w:szCs w:val="24"/>
        </w:rPr>
        <w:tab/>
        <w:t>Molnar L, Fülesdi B, Németh N, Molnár C. Sepsis-associated encephalopathy: A review of literature. Neurol India [Internet]. 2018 Mar 1;66(2):352.</w:t>
      </w:r>
    </w:p>
    <w:p w14:paraId="7737D280"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42. </w:t>
      </w:r>
      <w:r w:rsidRPr="000A36FC">
        <w:rPr>
          <w:noProof/>
          <w:szCs w:val="24"/>
        </w:rPr>
        <w:tab/>
        <w:t xml:space="preserve">Singer M, Deutschman CS, Seymour CW, Shankar-Hari M, Annane D, Bauer M, et al. The Third International Consensus Definitions for Sepsis and Septic Shock (Sepsis-3) JAMA. 2016;315(8):801–10. </w:t>
      </w:r>
    </w:p>
    <w:p w14:paraId="33937E40" w14:textId="1F1B1C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43. </w:t>
      </w:r>
      <w:r w:rsidRPr="000A36FC">
        <w:rPr>
          <w:noProof/>
          <w:szCs w:val="24"/>
        </w:rPr>
        <w:tab/>
        <w:t xml:space="preserve">Sigakis MJG, Jewell E, Maile MD, Cinti SK, Bateman BT, Engoren M. Culture-Negative and Culture-Positive Sepsis. Anesth Analg [Internet]. 2019 Nov;129(5):1300–9. </w:t>
      </w:r>
    </w:p>
    <w:p w14:paraId="3C5F1991" w14:textId="30761CD5"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44. </w:t>
      </w:r>
      <w:r w:rsidRPr="000A36FC">
        <w:rPr>
          <w:noProof/>
          <w:szCs w:val="24"/>
        </w:rPr>
        <w:tab/>
        <w:t>Saravolatz LD, Manzor O, VanderVelde N, Pawlak J, Belian B. Broad‐Range Bacterial Polymerase Chain Reaction for Early Detection of Bacterial Meningitis. Clin Infect Dis [Internet]. 2003 Jan 1;36(1):40–5.</w:t>
      </w:r>
    </w:p>
    <w:p w14:paraId="2764B1FC" w14:textId="4357DF02"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45. </w:t>
      </w:r>
      <w:r w:rsidRPr="000A36FC">
        <w:rPr>
          <w:noProof/>
          <w:szCs w:val="24"/>
        </w:rPr>
        <w:tab/>
        <w:t xml:space="preserve">Degawa-Yamauchi M, Bovenkerk JE, Juliar BE, Watson W, Kerr K, Jones R, et al. Serum Resistin (FIZZ3) Protein Is Increased in Obese Humans. J Clin Endocrinol Metab [Internet]. 2003 Nov 1;88(11):5452–5. </w:t>
      </w:r>
    </w:p>
    <w:p w14:paraId="5D0CD002" w14:textId="26F02469"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46. </w:t>
      </w:r>
      <w:r w:rsidRPr="000A36FC">
        <w:rPr>
          <w:noProof/>
          <w:szCs w:val="24"/>
        </w:rPr>
        <w:tab/>
        <w:t>Esper AM, Martin GS. Extending international sepsis epidemiology: the impact of organ dysfunction. [Internet]. Vol. 13, Critical care (London, England). BioMed Central; 2009</w:t>
      </w:r>
      <w:r w:rsidR="008D4CC9">
        <w:rPr>
          <w:noProof/>
          <w:szCs w:val="24"/>
        </w:rPr>
        <w:t>.</w:t>
      </w:r>
    </w:p>
    <w:p w14:paraId="4F94D729" w14:textId="1D5F66F8"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47. </w:t>
      </w:r>
      <w:r w:rsidRPr="000A36FC">
        <w:rPr>
          <w:noProof/>
          <w:szCs w:val="24"/>
        </w:rPr>
        <w:tab/>
        <w:t xml:space="preserve">Martin GS, Mannino DM, Eaton S, Moss M. The Epidemiology of Sepsis in the United States from 1979 through 2000. N Engl J Med [Internet]. 2003 Apr </w:t>
      </w:r>
      <w:r w:rsidR="00417F3D">
        <w:rPr>
          <w:noProof/>
          <w:szCs w:val="24"/>
        </w:rPr>
        <w:t>17</w:t>
      </w:r>
      <w:r w:rsidRPr="000A36FC">
        <w:rPr>
          <w:noProof/>
          <w:szCs w:val="24"/>
        </w:rPr>
        <w:t>;348(16):1546–54.</w:t>
      </w:r>
    </w:p>
    <w:p w14:paraId="1C0F1218" w14:textId="0EF02630"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48. </w:t>
      </w:r>
      <w:r w:rsidRPr="000A36FC">
        <w:rPr>
          <w:noProof/>
          <w:szCs w:val="24"/>
        </w:rPr>
        <w:tab/>
        <w:t>Vincent JL, Bihari DJ, Suter PM, Bruining HA, White J, Nicolas Chanoin MH, et al. The Prevalence of Nosocomial Infection in Intensive Care Units in Europe: Results of the European Prevalence of Infection in Intensive Care (EPIC) Study. JAMA J Am Med Assoc [Internet]. 1995 Aug 23</w:t>
      </w:r>
      <w:r w:rsidR="004D58E5">
        <w:rPr>
          <w:noProof/>
          <w:szCs w:val="24"/>
        </w:rPr>
        <w:t>.</w:t>
      </w:r>
    </w:p>
    <w:p w14:paraId="0935E02A" w14:textId="5F6E7199"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49. </w:t>
      </w:r>
      <w:r w:rsidRPr="000A36FC">
        <w:rPr>
          <w:noProof/>
          <w:szCs w:val="24"/>
        </w:rPr>
        <w:tab/>
        <w:t>Kim S Il. Bacterial infection after liver transplantation. World J Gastroenterol [Internet]. 2014 May 28</w:t>
      </w:r>
      <w:r w:rsidR="004D58E5">
        <w:rPr>
          <w:noProof/>
          <w:szCs w:val="24"/>
        </w:rPr>
        <w:t>.</w:t>
      </w:r>
    </w:p>
    <w:p w14:paraId="72E55CA2" w14:textId="50BB0EDB"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50. </w:t>
      </w:r>
      <w:r w:rsidRPr="000A36FC">
        <w:rPr>
          <w:noProof/>
          <w:szCs w:val="24"/>
        </w:rPr>
        <w:tab/>
        <w:t xml:space="preserve">Singh N. Infectious complications in organ transplant recipients with the use of calcineurin-inhibitor agent-based immunosuppressive regimens. Curr Opin Infect </w:t>
      </w:r>
      <w:r w:rsidRPr="000A36FC">
        <w:rPr>
          <w:noProof/>
          <w:szCs w:val="24"/>
        </w:rPr>
        <w:lastRenderedPageBreak/>
        <w:t xml:space="preserve">Dis [Internet]. 2005 Aug;18(4):342–5. </w:t>
      </w:r>
    </w:p>
    <w:p w14:paraId="641FA797"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51. </w:t>
      </w:r>
      <w:r w:rsidRPr="000A36FC">
        <w:rPr>
          <w:noProof/>
          <w:szCs w:val="24"/>
        </w:rPr>
        <w:tab/>
        <w:t xml:space="preserve">Patel R, Paya C V. Infections in solid-organ transplant recipients. Clin Microbiol Rev. 1997;10(1). </w:t>
      </w:r>
    </w:p>
    <w:p w14:paraId="2D6D25B2" w14:textId="2D0D4484"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52. </w:t>
      </w:r>
      <w:r w:rsidRPr="000A36FC">
        <w:rPr>
          <w:noProof/>
          <w:szCs w:val="24"/>
        </w:rPr>
        <w:tab/>
        <w:t>Tsitsopoulos PP, Tsoulfas G, Tsonidis C, Imvrios G, Papanikolaou V, Giakoustidis D, et al. Successful, combined long-term treatment of cerebral aspergillosis in a liver transplant</w:t>
      </w:r>
      <w:r w:rsidR="00417F3D">
        <w:rPr>
          <w:noProof/>
          <w:szCs w:val="24"/>
        </w:rPr>
        <w:t xml:space="preserve"> patient.</w:t>
      </w:r>
      <w:r w:rsidRPr="000A36FC">
        <w:rPr>
          <w:noProof/>
          <w:szCs w:val="24"/>
        </w:rPr>
        <w:t xml:space="preserve">Vol. 1, Virulence. Taylor and Francis Inc.; 2010. p. 465–7. </w:t>
      </w:r>
    </w:p>
    <w:p w14:paraId="4F4BEF56" w14:textId="197AE870"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53. </w:t>
      </w:r>
      <w:r w:rsidRPr="000A36FC">
        <w:rPr>
          <w:noProof/>
          <w:szCs w:val="24"/>
        </w:rPr>
        <w:tab/>
        <w:t>Lease ED. Infections and Sepsis After Liver Transplantation. In: Cont</w:t>
      </w:r>
      <w:r w:rsidR="00417F3D">
        <w:rPr>
          <w:noProof/>
          <w:szCs w:val="24"/>
        </w:rPr>
        <w:t xml:space="preserve">emporary Liver Transplantation </w:t>
      </w:r>
      <w:r w:rsidRPr="000A36FC">
        <w:rPr>
          <w:noProof/>
          <w:szCs w:val="24"/>
        </w:rPr>
        <w:t>. Springer International Publishing; 2017. p. 255–66.</w:t>
      </w:r>
    </w:p>
    <w:p w14:paraId="2F298FA2" w14:textId="32ACF3E3"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54. </w:t>
      </w:r>
      <w:r w:rsidRPr="000A36FC">
        <w:rPr>
          <w:noProof/>
          <w:szCs w:val="24"/>
        </w:rPr>
        <w:tab/>
        <w:t xml:space="preserve">Iida T, Kaido T, Yagi S, Yoshizawa A, Hata K, Mizumoto M, et al. Posttransplant bacteremia in adult living donor liver transplant recipients. Liver Transplant [Internet]. 2010 Dec 1;16(12):1379–85. </w:t>
      </w:r>
    </w:p>
    <w:p w14:paraId="68780813" w14:textId="5A43FEA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55. </w:t>
      </w:r>
      <w:r w:rsidRPr="000A36FC">
        <w:rPr>
          <w:noProof/>
          <w:szCs w:val="24"/>
        </w:rPr>
        <w:tab/>
        <w:t xml:space="preserve">Faix JD. Biomarkers of sepsis. Crit Rev Clin Lab Sci [Internet]. 2013 Jan 12;50(1):23–36. </w:t>
      </w:r>
    </w:p>
    <w:p w14:paraId="5FDAB304" w14:textId="2B8C7515"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56. </w:t>
      </w:r>
      <w:r w:rsidRPr="000A36FC">
        <w:rPr>
          <w:noProof/>
          <w:szCs w:val="24"/>
        </w:rPr>
        <w:tab/>
        <w:t xml:space="preserve">Gabay C, Kushner I. Acute-phase proteins and other systemic responses to inflammation [Internet]. Epstein FH, editor. Vol. 340, New England Journal of Medicine.  Massachusetts Medical Society ; 1999. p. 448–54. </w:t>
      </w:r>
    </w:p>
    <w:p w14:paraId="641292CB"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57. </w:t>
      </w:r>
      <w:r w:rsidRPr="000A36FC">
        <w:rPr>
          <w:noProof/>
          <w:szCs w:val="24"/>
        </w:rPr>
        <w:tab/>
        <w:t xml:space="preserve">Dinarello CA. The acute phase response. In: Bennett JC, Plum F (eds). Cecil Textbook of Medicine. 20th ed, Philadelphia, WB Saunders, 1996: 1535-7. </w:t>
      </w:r>
    </w:p>
    <w:p w14:paraId="379656A1" w14:textId="46746019"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58. </w:t>
      </w:r>
      <w:r w:rsidRPr="000A36FC">
        <w:rPr>
          <w:noProof/>
          <w:szCs w:val="24"/>
        </w:rPr>
        <w:tab/>
        <w:t xml:space="preserve">Gogos CA, Drosou E, Bassaris HP, Skoutelis A. Pro‐ versus Anti‐inflammatory Cytokine Profile in Patients with Severe Sepsis: A Marker for Prognosis and Future Therapeutic Options. J Infect Dis [Internet]. 2000 Jan 1;181(1):176–80. </w:t>
      </w:r>
    </w:p>
    <w:p w14:paraId="1D863303"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59. </w:t>
      </w:r>
      <w:r w:rsidRPr="000A36FC">
        <w:rPr>
          <w:noProof/>
          <w:szCs w:val="24"/>
        </w:rPr>
        <w:tab/>
        <w:t xml:space="preserve">Steel DM, Whitehead AS. The major acute phase reactants: C-reactive protein, serum amyloid P component and serum amyloid A protein. Immunol Today. 1994 Feb 1;15(2):81–8. </w:t>
      </w:r>
    </w:p>
    <w:p w14:paraId="405FA95F" w14:textId="79978522"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60. </w:t>
      </w:r>
      <w:r w:rsidRPr="000A36FC">
        <w:rPr>
          <w:noProof/>
          <w:szCs w:val="24"/>
        </w:rPr>
        <w:tab/>
        <w:t>Póvoa P. C-reactive protein: A valuable marker of sepsis [Internet]. Vol. 28, Intensive Care Medicine. Springer; 2002. p. 235–43.</w:t>
      </w:r>
    </w:p>
    <w:p w14:paraId="30F16C97" w14:textId="60B8E921"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61. </w:t>
      </w:r>
      <w:r w:rsidRPr="000A36FC">
        <w:rPr>
          <w:noProof/>
          <w:szCs w:val="24"/>
        </w:rPr>
        <w:tab/>
        <w:t>Cytokines, nitrite/nitrate, soluble tumor necrosis factor re : Critical Care Medicine [Internet]. [cited 2020 Jun 22].</w:t>
      </w:r>
    </w:p>
    <w:p w14:paraId="38DFB6D8" w14:textId="64352171"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62. </w:t>
      </w:r>
      <w:r w:rsidRPr="000A36FC">
        <w:rPr>
          <w:noProof/>
          <w:szCs w:val="24"/>
        </w:rPr>
        <w:tab/>
        <w:t>Dandona P, Nix D, Wilson MF, Aljada A, Love J, Assicot M, et al. Procalcitonin increase after endotoxin injection in normal subjects. J Clin Endocrinol Metab [Internet]. 1994 Dec 1;79(6):1605–8.</w:t>
      </w:r>
    </w:p>
    <w:p w14:paraId="79765C13" w14:textId="6DAAC40D"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63. </w:t>
      </w:r>
      <w:r w:rsidRPr="000A36FC">
        <w:rPr>
          <w:noProof/>
          <w:szCs w:val="24"/>
        </w:rPr>
        <w:tab/>
        <w:t>Procalcitonin Eigenschaften eines neuen Parameters bei schweren bakteriellen Infektionen und Sepsis [</w:t>
      </w:r>
      <w:r w:rsidR="004D58E5">
        <w:rPr>
          <w:noProof/>
          <w:szCs w:val="24"/>
        </w:rPr>
        <w:t>Internet]. [cited 2020 Jun 21].</w:t>
      </w:r>
    </w:p>
    <w:p w14:paraId="4CB73C6A"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64. </w:t>
      </w:r>
      <w:r w:rsidRPr="000A36FC">
        <w:rPr>
          <w:noProof/>
          <w:szCs w:val="24"/>
        </w:rPr>
        <w:tab/>
        <w:t xml:space="preserve">Şahinoğlu AH. Yoğun bakım sorunları ve Tedavileri. Türkiye Klinikleri Yayınevi, </w:t>
      </w:r>
      <w:r w:rsidRPr="000A36FC">
        <w:rPr>
          <w:noProof/>
          <w:szCs w:val="24"/>
        </w:rPr>
        <w:lastRenderedPageBreak/>
        <w:t xml:space="preserve">Ankara, 1992. </w:t>
      </w:r>
    </w:p>
    <w:p w14:paraId="2C957D8F" w14:textId="70514930"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65. </w:t>
      </w:r>
      <w:r w:rsidRPr="000A36FC">
        <w:rPr>
          <w:noProof/>
          <w:szCs w:val="24"/>
        </w:rPr>
        <w:tab/>
        <w:t>Bouchon A, Dietrich J, Colonna M. Cutting Edge: Inflammatory Responses Can Be Triggered by TREM-1, a Novel Receptor Expressed on Neutrophils and Monocytes. J I</w:t>
      </w:r>
      <w:r w:rsidR="004D58E5">
        <w:rPr>
          <w:noProof/>
          <w:szCs w:val="24"/>
        </w:rPr>
        <w:t>mmunol [Internet]. 2000 May 15</w:t>
      </w:r>
      <w:r w:rsidRPr="000A36FC">
        <w:rPr>
          <w:noProof/>
          <w:szCs w:val="24"/>
        </w:rPr>
        <w:t xml:space="preserve">;164(10):4991–5. </w:t>
      </w:r>
    </w:p>
    <w:p w14:paraId="7DFEA2A0" w14:textId="2C39551C"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66. </w:t>
      </w:r>
      <w:r w:rsidRPr="000A36FC">
        <w:rPr>
          <w:noProof/>
          <w:szCs w:val="24"/>
        </w:rPr>
        <w:tab/>
        <w:t>Monneret G, Voirin N, Krawice-Radanne I, Bohé J, Lepape A, Rouas-Freiss N, et al. Soluble human leukocyte antigen-G5 in septic shock: Marked and persisting elevation as a predic</w:t>
      </w:r>
      <w:r w:rsidR="00417F3D">
        <w:rPr>
          <w:noProof/>
          <w:szCs w:val="24"/>
        </w:rPr>
        <w:t>tor of survival. Crit Care Med</w:t>
      </w:r>
      <w:r w:rsidRPr="000A36FC">
        <w:rPr>
          <w:noProof/>
          <w:szCs w:val="24"/>
        </w:rPr>
        <w:t>. 2007 Aug;35(8):1942–7.</w:t>
      </w:r>
    </w:p>
    <w:p w14:paraId="2CB1BF80" w14:textId="2E82EF8F"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67. </w:t>
      </w:r>
      <w:r w:rsidRPr="000A36FC">
        <w:rPr>
          <w:noProof/>
          <w:szCs w:val="24"/>
        </w:rPr>
        <w:tab/>
        <w:t>Epstein FH, Beutler B, Cerami A. Cachectin: More Than a Tumor Necrosis Factor [Internet]. Vol. 316, New England Journal of Medicine.  Massachusetts Medical Society ; 1987. p. 379–85.</w:t>
      </w:r>
    </w:p>
    <w:p w14:paraId="3A0C5037"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68. </w:t>
      </w:r>
      <w:r w:rsidRPr="000A36FC">
        <w:rPr>
          <w:noProof/>
          <w:szCs w:val="24"/>
        </w:rPr>
        <w:tab/>
        <w:t xml:space="preserve">Fijen JW, Kobold ACM, De Boer P, Jones CR, Van Der Werf TS, Tervaert JWC, et al. Leukocyte activation and cytokine production during experimental human endotoxemia. Eur J Intern Med. 2000 Apr 1;11(2):89–95. </w:t>
      </w:r>
    </w:p>
    <w:p w14:paraId="056E2919"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69. </w:t>
      </w:r>
      <w:r w:rsidRPr="000A36FC">
        <w:rPr>
          <w:noProof/>
          <w:szCs w:val="24"/>
        </w:rPr>
        <w:tab/>
        <w:t xml:space="preserve">Gandhi NA, Pirozzi G, Graham NMH. Commonality of the IL-4/IL-13 pathway in atopic diseases. Vol. 13, Expert Review of Clinical Immunology. Taylor and Francis Ltd; 2017. p. 425–37. </w:t>
      </w:r>
    </w:p>
    <w:p w14:paraId="6E2B52C3"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70. </w:t>
      </w:r>
      <w:r w:rsidRPr="000A36FC">
        <w:rPr>
          <w:noProof/>
          <w:szCs w:val="24"/>
        </w:rPr>
        <w:tab/>
        <w:t xml:space="preserve">Xia ZF, Wu GS. Role of cytokines in sepsis and its current situation of clinical application. Vol. 35, Zhonghua shao shang za zhi = Zhonghua shaoshang zazhi = Chinese journal of burns. NLM (Medline); 2019. p. 3–7. </w:t>
      </w:r>
    </w:p>
    <w:p w14:paraId="0F12E2E7" w14:textId="702D195D"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71. </w:t>
      </w:r>
      <w:r w:rsidRPr="000A36FC">
        <w:rPr>
          <w:noProof/>
          <w:szCs w:val="24"/>
        </w:rPr>
        <w:tab/>
        <w:t xml:space="preserve">Höpken U, Mohr M, Strüber A, Montz H, Burchardi H, Götze O, et al. Inhibition of interleukin-6 synthesis in an animal model of septic shock by anti-C5a monoclonal antibodies. Eur J Immunol [Internet]. 1996 May 1;26(5):1103–9. </w:t>
      </w:r>
    </w:p>
    <w:p w14:paraId="6297664C"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72. </w:t>
      </w:r>
      <w:r w:rsidRPr="000A36FC">
        <w:rPr>
          <w:noProof/>
          <w:szCs w:val="24"/>
        </w:rPr>
        <w:tab/>
        <w:t xml:space="preserve">Ghosh S, Latimer RD, Gray BM, Harwood RJ, Oduro A. Endotoxin-induced organ injury. Critical care medicine. 1993;21(2 Suppl):S19-24. </w:t>
      </w:r>
    </w:p>
    <w:p w14:paraId="653C5C28"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73. </w:t>
      </w:r>
      <w:r w:rsidRPr="000A36FC">
        <w:rPr>
          <w:noProof/>
          <w:szCs w:val="24"/>
        </w:rPr>
        <w:tab/>
        <w:t xml:space="preserve">Levy, M.M., Fink, M.P., Marshall, J.C., ve diğ., 2001 sccm/esicm/accp/ats/sis international sepsis definitions conference. Intensive care medicine, 2003. 29(4): 530-538. </w:t>
      </w:r>
    </w:p>
    <w:p w14:paraId="57A84F9C" w14:textId="0D32EB84"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74. </w:t>
      </w:r>
      <w:r w:rsidRPr="000A36FC">
        <w:rPr>
          <w:noProof/>
          <w:szCs w:val="24"/>
        </w:rPr>
        <w:tab/>
        <w:t xml:space="preserve">Protzer U, Maini MK, Knolle PA. Living in the liver: Hepatic infections [Internet]. Vol. 12, Nature Reviews Immunology. Nature Publishing Group; 2012. p. 201–13. </w:t>
      </w:r>
    </w:p>
    <w:p w14:paraId="6F02EEC8" w14:textId="11D37D91"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75. </w:t>
      </w:r>
      <w:r w:rsidRPr="000A36FC">
        <w:rPr>
          <w:noProof/>
          <w:szCs w:val="24"/>
        </w:rPr>
        <w:tab/>
        <w:t xml:space="preserve">Yan J, Li SS, Li SS. The Role of the Liver in Sepsis. Int Rev Immunol [Internet]. 2014 Nov 2;33(6):498–510. </w:t>
      </w:r>
    </w:p>
    <w:p w14:paraId="5E8F6A10" w14:textId="692C3A06"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76. </w:t>
      </w:r>
      <w:r w:rsidRPr="000A36FC">
        <w:rPr>
          <w:noProof/>
          <w:szCs w:val="24"/>
        </w:rPr>
        <w:tab/>
        <w:t>Traeger T, Mikulcak M, Eipel C, Abshagen K, Diedrich S, Heidecke C-D, et al. Kupffer cell depletion reduces hepatic inflammation and apoptosis but decreases survival in abdominal sepsi</w:t>
      </w:r>
      <w:r w:rsidR="00417F3D">
        <w:rPr>
          <w:noProof/>
          <w:szCs w:val="24"/>
        </w:rPr>
        <w:t>s. Eur J Gastroentr Hepatol</w:t>
      </w:r>
      <w:r w:rsidRPr="000A36FC">
        <w:rPr>
          <w:noProof/>
          <w:szCs w:val="24"/>
        </w:rPr>
        <w:t>. 2010 Sep;22(9):1039–49.</w:t>
      </w:r>
    </w:p>
    <w:p w14:paraId="3EE4C7F2" w14:textId="7D77E192" w:rsidR="000A36FC" w:rsidRPr="000A36FC" w:rsidRDefault="000A36FC" w:rsidP="000A36FC">
      <w:pPr>
        <w:widowControl w:val="0"/>
        <w:autoSpaceDE w:val="0"/>
        <w:autoSpaceDN w:val="0"/>
        <w:adjustRightInd w:val="0"/>
        <w:ind w:left="640" w:hanging="640"/>
        <w:rPr>
          <w:noProof/>
          <w:szCs w:val="24"/>
        </w:rPr>
      </w:pPr>
      <w:r w:rsidRPr="000A36FC">
        <w:rPr>
          <w:noProof/>
          <w:szCs w:val="24"/>
        </w:rPr>
        <w:lastRenderedPageBreak/>
        <w:t xml:space="preserve">77. </w:t>
      </w:r>
      <w:r w:rsidRPr="000A36FC">
        <w:rPr>
          <w:noProof/>
          <w:szCs w:val="24"/>
        </w:rPr>
        <w:tab/>
        <w:t>Wong CHY, Jenne CN, Petri B, Chrobok NL, Kubes P. Nucleation of platelets with blood-borne pathogens on Kupffer cells precedes other innate immunity and contributes to ba</w:t>
      </w:r>
      <w:r w:rsidR="00417F3D">
        <w:rPr>
          <w:noProof/>
          <w:szCs w:val="24"/>
        </w:rPr>
        <w:t>cterial clearance. Nat Immunol</w:t>
      </w:r>
      <w:r w:rsidRPr="000A36FC">
        <w:rPr>
          <w:noProof/>
          <w:szCs w:val="24"/>
        </w:rPr>
        <w:t>. 2013 Aug 16;14(8):785–92.</w:t>
      </w:r>
    </w:p>
    <w:p w14:paraId="69D76A79" w14:textId="03EC4A50"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78. </w:t>
      </w:r>
      <w:r w:rsidRPr="000A36FC">
        <w:rPr>
          <w:noProof/>
          <w:szCs w:val="24"/>
        </w:rPr>
        <w:tab/>
        <w:t xml:space="preserve">Kolios G, Valatas V, Manousou P, Xidakis C, Notas G, Kouroumalis E. Nitric oxide and MCP-1 regulation in LPS activated rat Kupffer cells. Mol Cell Biochem [Internet]. 2008 Dec 16;319(1–2):91–8. </w:t>
      </w:r>
    </w:p>
    <w:p w14:paraId="081CA2D0" w14:textId="1AEB8128"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79. </w:t>
      </w:r>
      <w:r w:rsidRPr="000A36FC">
        <w:rPr>
          <w:noProof/>
          <w:szCs w:val="24"/>
        </w:rPr>
        <w:tab/>
        <w:t>Doi F, Goya T, Torisu M. Potential role of hepatic macrophages in neutrophil-mediated liver injury in rats with sepsis. Hepatology [Internet]. 1993 Jun 1;17(6):1086–94.</w:t>
      </w:r>
    </w:p>
    <w:p w14:paraId="4D9ECCE5" w14:textId="7B20869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80. </w:t>
      </w:r>
      <w:r w:rsidRPr="000A36FC">
        <w:rPr>
          <w:noProof/>
          <w:szCs w:val="24"/>
        </w:rPr>
        <w:tab/>
        <w:t xml:space="preserve">Rauch PJ, Chudnovskiy A, Robbins CS, Weber GF, Etzrodt M, Hilgendorf I, et al. Innate response activator B cells protect against microbial sepsis. Science (80- ) [Internet]. 2012 Feb 3;335(6068):597–601. </w:t>
      </w:r>
    </w:p>
    <w:p w14:paraId="60274408" w14:textId="6316C6E4"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81. </w:t>
      </w:r>
      <w:r w:rsidRPr="000A36FC">
        <w:rPr>
          <w:noProof/>
          <w:szCs w:val="24"/>
        </w:rPr>
        <w:tab/>
        <w:t xml:space="preserve">Jarrar D, Wang P, Chaudry IH. Hepatocellular dysfunction–basic considerations. 2001 [cited 2020 Jun 23]; </w:t>
      </w:r>
    </w:p>
    <w:p w14:paraId="5D69D4C0" w14:textId="24C2BA04"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82. </w:t>
      </w:r>
      <w:r w:rsidRPr="000A36FC">
        <w:rPr>
          <w:noProof/>
          <w:szCs w:val="24"/>
        </w:rPr>
        <w:tab/>
        <w:t>Muftuoglu MAT, Aktekin A, Ozdemir NC, Saglam A. Liver injury in sepsis and abdominal compartmen</w:t>
      </w:r>
      <w:r w:rsidR="00417F3D">
        <w:rPr>
          <w:noProof/>
          <w:szCs w:val="24"/>
        </w:rPr>
        <w:t>t syndrome in rats. Surg Today</w:t>
      </w:r>
      <w:r w:rsidRPr="000A36FC">
        <w:rPr>
          <w:noProof/>
          <w:szCs w:val="24"/>
        </w:rPr>
        <w:t xml:space="preserve">. 2006 Jun;36(6):519–24. </w:t>
      </w:r>
    </w:p>
    <w:p w14:paraId="4013AE87"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83. </w:t>
      </w:r>
      <w:r w:rsidRPr="000A36FC">
        <w:rPr>
          <w:noProof/>
          <w:szCs w:val="24"/>
        </w:rPr>
        <w:tab/>
        <w:t xml:space="preserve">Akcan A, Kucuk C, Ok E, Canoz O, Muhtaroglu S, Yilmaz N, et al. The effect of amrinone on liver regeneration in experimental hepatic resection model. J Surg Res. 2006 Jan 1;130(1):66–72. </w:t>
      </w:r>
    </w:p>
    <w:p w14:paraId="4E1B56A5" w14:textId="6831E286"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84. </w:t>
      </w:r>
      <w:r w:rsidRPr="000A36FC">
        <w:rPr>
          <w:noProof/>
          <w:szCs w:val="24"/>
        </w:rPr>
        <w:tab/>
        <w:t xml:space="preserve">Koskinas J, Gomatos IP, Tiniakos DG, Memos N, Boutsikou M, Garatzioti A, et al. Liver histology in ICU patients dying from sepsis: A clinico-pathological study. World J Gastroenterol [Internet]. 2008 Mar 7;14(9):1389–93. </w:t>
      </w:r>
    </w:p>
    <w:p w14:paraId="09D7DD79" w14:textId="0387CCC6"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85. </w:t>
      </w:r>
      <w:r w:rsidRPr="000A36FC">
        <w:rPr>
          <w:noProof/>
          <w:szCs w:val="24"/>
        </w:rPr>
        <w:tab/>
        <w:t>Gonnert FA, Kunisch E, Gajda M, Lambeck S, Weber M, Claus RA, et al. Hepatic Fibrosis in a Long-term</w:t>
      </w:r>
      <w:r w:rsidR="00417F3D">
        <w:rPr>
          <w:noProof/>
          <w:szCs w:val="24"/>
        </w:rPr>
        <w:t xml:space="preserve"> Murine Model of Sepsis. Shock</w:t>
      </w:r>
      <w:r w:rsidRPr="000A36FC">
        <w:rPr>
          <w:noProof/>
          <w:szCs w:val="24"/>
        </w:rPr>
        <w:t>. 2012 Apr;37(4):399–407.</w:t>
      </w:r>
    </w:p>
    <w:p w14:paraId="39582327" w14:textId="7EE755AC"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86. </w:t>
      </w:r>
      <w:r w:rsidRPr="000A36FC">
        <w:rPr>
          <w:noProof/>
          <w:szCs w:val="24"/>
        </w:rPr>
        <w:tab/>
        <w:t xml:space="preserve">Deng M, Scott MJ, Loughran P, Gibson G, Sodhi C, Watkins S, et al. Lipopolysaccharide Clearance, Bacterial Clearance, and Systemic Inflammatory Responses Are Regulated by Cell Type–Specific Functions of TLR4 during Sepsis. J Immunol [Internet]. 2013 May 15;190(10):5152–60. </w:t>
      </w:r>
    </w:p>
    <w:p w14:paraId="054971DA" w14:textId="2D058F9E"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87. </w:t>
      </w:r>
      <w:r w:rsidRPr="000A36FC">
        <w:rPr>
          <w:noProof/>
          <w:szCs w:val="24"/>
        </w:rPr>
        <w:tab/>
        <w:t>Pine RW, Wertz MJ, Lennard ES, Dellinger EP, Carrico CJ, Minshew BH. Determinants of Organ Malfunction or Death in Patients With Intra-abdominal Sepsis: A Discriminant Analysis. A</w:t>
      </w:r>
      <w:r w:rsidR="00417F3D">
        <w:rPr>
          <w:noProof/>
          <w:szCs w:val="24"/>
        </w:rPr>
        <w:t>rch Surg [Internet]. 1983 Feb 1;</w:t>
      </w:r>
      <w:r w:rsidRPr="000A36FC">
        <w:rPr>
          <w:noProof/>
          <w:szCs w:val="24"/>
        </w:rPr>
        <w:t>118(2):242–9.</w:t>
      </w:r>
    </w:p>
    <w:p w14:paraId="6DA17423" w14:textId="49636688"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88. </w:t>
      </w:r>
      <w:r w:rsidRPr="000A36FC">
        <w:rPr>
          <w:noProof/>
          <w:szCs w:val="24"/>
        </w:rPr>
        <w:tab/>
        <w:t>Rockey DC, Caldwell SH, Goodman ZD, Nelson RC, Smith AD. Liver biopsy. Hepatology [Internet]. 2009 Mar 1;49(3):1017–44.</w:t>
      </w:r>
    </w:p>
    <w:p w14:paraId="65F1488A" w14:textId="18034ED5"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89. </w:t>
      </w:r>
      <w:r w:rsidRPr="000A36FC">
        <w:rPr>
          <w:noProof/>
          <w:szCs w:val="24"/>
        </w:rPr>
        <w:tab/>
        <w:t xml:space="preserve">Kremer JM, Kaye GI. Electron microscopic analysis of sequential liver biopsy </w:t>
      </w:r>
      <w:r w:rsidRPr="000A36FC">
        <w:rPr>
          <w:noProof/>
          <w:szCs w:val="24"/>
        </w:rPr>
        <w:lastRenderedPageBreak/>
        <w:t>samples from patients with rheumatoid arthritis. Correlation with light microscopic findings. Arthriti</w:t>
      </w:r>
      <w:r w:rsidR="004D58E5">
        <w:rPr>
          <w:noProof/>
          <w:szCs w:val="24"/>
        </w:rPr>
        <w:t>s Rheum [Internet]. 1989 Oct 1</w:t>
      </w:r>
      <w:r w:rsidRPr="000A36FC">
        <w:rPr>
          <w:noProof/>
          <w:szCs w:val="24"/>
        </w:rPr>
        <w:t xml:space="preserve">;32(10):1202–13. </w:t>
      </w:r>
    </w:p>
    <w:p w14:paraId="7478D0A3" w14:textId="005AC68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90. </w:t>
      </w:r>
      <w:r w:rsidRPr="000A36FC">
        <w:rPr>
          <w:noProof/>
          <w:szCs w:val="24"/>
        </w:rPr>
        <w:tab/>
        <w:t>Tasci I, Mas N, Mas MR, Tuncer M, Comert B. Ultrastructural changes in hepatocytes after taurine treatment in CCI4 induced liver injury. World J Gastroenterol [Internet]. 2008 Aug 21;14(31):4897–902</w:t>
      </w:r>
      <w:r w:rsidR="004D58E5">
        <w:rPr>
          <w:noProof/>
          <w:szCs w:val="24"/>
        </w:rPr>
        <w:t xml:space="preserve">. </w:t>
      </w:r>
    </w:p>
    <w:p w14:paraId="59E8FCBE" w14:textId="418337ED"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91. </w:t>
      </w:r>
      <w:r w:rsidRPr="000A36FC">
        <w:rPr>
          <w:noProof/>
          <w:szCs w:val="24"/>
        </w:rPr>
        <w:tab/>
        <w:t>Wang Y, Gu Y, Huang F, Liu D, Zhang Z, Zhou N, et al. Risk factors for sepsis based on sepsis-3 criteria after orthotopic liver transplantation. Mediators Inflamm [Internet]. 2018;2018.</w:t>
      </w:r>
    </w:p>
    <w:p w14:paraId="5A34E4DB"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92. </w:t>
      </w:r>
      <w:r w:rsidRPr="000A36FC">
        <w:rPr>
          <w:noProof/>
          <w:szCs w:val="24"/>
        </w:rPr>
        <w:tab/>
        <w:t xml:space="preserve">Sanchez-Bueno F, Robles R, Ramirez P et al. Hepatic artery complications after liver transplantation. Clin Transplant 1994; 8: 399–404. </w:t>
      </w:r>
    </w:p>
    <w:p w14:paraId="3A3C8B9D" w14:textId="19A21248"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93. </w:t>
      </w:r>
      <w:r w:rsidRPr="000A36FC">
        <w:rPr>
          <w:noProof/>
          <w:szCs w:val="24"/>
        </w:rPr>
        <w:tab/>
        <w:t>Becker KL, Nylén ES, White JC, Müller B, Snider RH. Procalcitonin and the calcitonin gene family of peptides in inflammation, infection, and sepsis: A journey from cal</w:t>
      </w:r>
      <w:r w:rsidR="00417F3D">
        <w:rPr>
          <w:noProof/>
          <w:szCs w:val="24"/>
        </w:rPr>
        <w:t>citonin back to its precursors</w:t>
      </w:r>
      <w:r w:rsidRPr="000A36FC">
        <w:rPr>
          <w:noProof/>
          <w:szCs w:val="24"/>
        </w:rPr>
        <w:t xml:space="preserve">. Vol. 89, Journal of Clinical Endocrinology and Metabolism. Oxford Academic; 2004. p. 1512–25. </w:t>
      </w:r>
    </w:p>
    <w:p w14:paraId="3FC4C8A6" w14:textId="525AAC58"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94. </w:t>
      </w:r>
      <w:r w:rsidRPr="000A36FC">
        <w:rPr>
          <w:noProof/>
          <w:szCs w:val="24"/>
        </w:rPr>
        <w:tab/>
        <w:t>Bert F, Larroque B, Paugam-Burtz C, Janny S, Durand F, Dondero F, et al. Microbial epidemiology and outcome of bloodstream infections in liver transplant recipients: An analysis of 259 episode</w:t>
      </w:r>
      <w:r w:rsidR="00417F3D">
        <w:rPr>
          <w:noProof/>
          <w:szCs w:val="24"/>
        </w:rPr>
        <w:t>s. Liver Transp.</w:t>
      </w:r>
      <w:r w:rsidRPr="000A36FC">
        <w:rPr>
          <w:noProof/>
          <w:szCs w:val="24"/>
        </w:rPr>
        <w:t xml:space="preserve"> 2010 Mar 1;16(3):393–401.</w:t>
      </w:r>
    </w:p>
    <w:p w14:paraId="7B524E22" w14:textId="1D8285B0"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95. </w:t>
      </w:r>
      <w:r w:rsidRPr="000A36FC">
        <w:rPr>
          <w:noProof/>
          <w:szCs w:val="24"/>
        </w:rPr>
        <w:tab/>
        <w:t>Mehrabi A, Fonouni H, Wente M, Sadeghi M, Eisenbach C, Encke J, et al. Wound complications following kidney and liver transplantation [Internet]. Vol. 20, Clinical Transplantation.</w:t>
      </w:r>
      <w:r w:rsidR="004D58E5">
        <w:rPr>
          <w:noProof/>
          <w:szCs w:val="24"/>
        </w:rPr>
        <w:t xml:space="preserve"> John Wiley &amp; Sons, Ltd; 2006</w:t>
      </w:r>
      <w:r w:rsidRPr="000A36FC">
        <w:rPr>
          <w:noProof/>
          <w:szCs w:val="24"/>
        </w:rPr>
        <w:t xml:space="preserve">. p. 97–110. </w:t>
      </w:r>
    </w:p>
    <w:p w14:paraId="1F8C79A5" w14:textId="716FE4A5"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96. </w:t>
      </w:r>
      <w:r w:rsidRPr="000A36FC">
        <w:rPr>
          <w:noProof/>
          <w:szCs w:val="24"/>
        </w:rPr>
        <w:tab/>
        <w:t>Safdar N, Said A, Lucey MR, Knechtle SJ, D’Alessandro A, Musat A, et al. Infected Bilomas in Liver Transplant Recipients: Clinical Features, Optimal Management, and Risk Factors for Mortality. Clin Infe</w:t>
      </w:r>
      <w:r w:rsidR="004D58E5">
        <w:rPr>
          <w:noProof/>
          <w:szCs w:val="24"/>
        </w:rPr>
        <w:t>ct Dis [Internet]. 2004 Aug 15</w:t>
      </w:r>
      <w:r w:rsidRPr="000A36FC">
        <w:rPr>
          <w:noProof/>
          <w:szCs w:val="24"/>
        </w:rPr>
        <w:t xml:space="preserve">;39(4):517–25. </w:t>
      </w:r>
    </w:p>
    <w:p w14:paraId="6B237C31" w14:textId="3DAB239C"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97. </w:t>
      </w:r>
      <w:r w:rsidRPr="000A36FC">
        <w:rPr>
          <w:noProof/>
          <w:szCs w:val="24"/>
        </w:rPr>
        <w:tab/>
        <w:t>Shi SH, Kong HS, Xu J, Zhang WJ, Jia CK, Wang WL, et al. Multidrug resistant gram-negative bacilli as predominant bacteremic pathogens in liver transplant recipients. Transpl Infect Dis [Internet]. 200</w:t>
      </w:r>
      <w:r w:rsidR="004D58E5">
        <w:rPr>
          <w:noProof/>
          <w:szCs w:val="24"/>
        </w:rPr>
        <w:t>9 Oct 1</w:t>
      </w:r>
      <w:r w:rsidRPr="000A36FC">
        <w:rPr>
          <w:noProof/>
          <w:szCs w:val="24"/>
        </w:rPr>
        <w:t xml:space="preserve">;11(5):405–12. </w:t>
      </w:r>
    </w:p>
    <w:p w14:paraId="4B60480E" w14:textId="59422A39"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98. </w:t>
      </w:r>
      <w:r w:rsidRPr="000A36FC">
        <w:rPr>
          <w:noProof/>
          <w:szCs w:val="24"/>
        </w:rPr>
        <w:tab/>
        <w:t>Husain S, Tollemar J, Dominguez EA, Baumgarten K, Humar A, Paterson DL, et al. Changes in the spectrum and risk factors for invasive candidiasis in liver transplant recipients: prospective, multicenter, case-controlled study1. Transpla</w:t>
      </w:r>
      <w:r w:rsidR="004D58E5">
        <w:rPr>
          <w:noProof/>
          <w:szCs w:val="24"/>
        </w:rPr>
        <w:t xml:space="preserve">ntation [Internet]. 2003 Jun 27;75(12):2023–9. </w:t>
      </w:r>
    </w:p>
    <w:p w14:paraId="47B91C6C" w14:textId="30CB12A9"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99. </w:t>
      </w:r>
      <w:r w:rsidRPr="000A36FC">
        <w:rPr>
          <w:noProof/>
          <w:szCs w:val="24"/>
        </w:rPr>
        <w:tab/>
        <w:t xml:space="preserve">Hlava N, Niemann CU, Gropper MA, Melcher ML. Analytic reviews: Postoperative infectious complications of abdominal solid organ transplantation [Internet]. Vol. 24, Journal of Intensive Care Medicine. SAGE PublicationsSage </w:t>
      </w:r>
      <w:r w:rsidRPr="000A36FC">
        <w:rPr>
          <w:noProof/>
          <w:szCs w:val="24"/>
        </w:rPr>
        <w:lastRenderedPageBreak/>
        <w:t>CA: Los Angeles, CA; 20</w:t>
      </w:r>
      <w:r w:rsidR="004D58E5">
        <w:rPr>
          <w:noProof/>
          <w:szCs w:val="24"/>
        </w:rPr>
        <w:t>09. p. 3–17.</w:t>
      </w:r>
    </w:p>
    <w:p w14:paraId="2384452F" w14:textId="78AC3E44"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100. </w:t>
      </w:r>
      <w:r w:rsidRPr="000A36FC">
        <w:rPr>
          <w:noProof/>
          <w:szCs w:val="24"/>
        </w:rPr>
        <w:tab/>
        <w:t>Al-Hasan MN, Razonable RR, Eckel-Passow JE, Baddour LM. Incidence Rate and Outcome of Gram-Negative Bloodstream Infection in Solid Organ Transplant Recipients. Am J Transplant [Inte</w:t>
      </w:r>
      <w:r w:rsidR="00621CAB">
        <w:rPr>
          <w:noProof/>
          <w:szCs w:val="24"/>
        </w:rPr>
        <w:t>rnet]. 2009 Apr 1</w:t>
      </w:r>
      <w:r w:rsidRPr="000A36FC">
        <w:rPr>
          <w:noProof/>
          <w:szCs w:val="24"/>
        </w:rPr>
        <w:t xml:space="preserve">;9(4):835–43. </w:t>
      </w:r>
    </w:p>
    <w:p w14:paraId="245EEFC5"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101. </w:t>
      </w:r>
      <w:r w:rsidRPr="000A36FC">
        <w:rPr>
          <w:noProof/>
          <w:szCs w:val="24"/>
        </w:rPr>
        <w:tab/>
        <w:t xml:space="preserve">Van Delden C, Blumberg EA. Multidrug resistant gram-negative bacteria in solid organ transplant recipients. Vol. 9, American Journal of Transplantation. 2009. </w:t>
      </w:r>
    </w:p>
    <w:p w14:paraId="69212E48"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102. </w:t>
      </w:r>
      <w:r w:rsidRPr="000A36FC">
        <w:rPr>
          <w:noProof/>
          <w:szCs w:val="24"/>
        </w:rPr>
        <w:tab/>
        <w:t xml:space="preserve">Gouvêa EF, Branco RC, Monteiro RCM, Halpern M, Ribeiro-Filho J, Silveira VG, et al. Outcome of infections caused by multiple drug-resistant bacteria in liver transplant recipients. In: Transplantation Proceedings. Elsevier; 2004. p. 958–60. </w:t>
      </w:r>
    </w:p>
    <w:p w14:paraId="38F97891" w14:textId="46DEF1C8"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103. </w:t>
      </w:r>
      <w:r w:rsidRPr="000A36FC">
        <w:rPr>
          <w:noProof/>
          <w:szCs w:val="24"/>
        </w:rPr>
        <w:tab/>
        <w:t>Romero FA, Razonable RR. Infections in liver transplant recipients [Internet]. Vol. 3, World Journal of Hepatology. Baishi</w:t>
      </w:r>
      <w:r w:rsidR="00621CAB">
        <w:rPr>
          <w:noProof/>
          <w:szCs w:val="24"/>
        </w:rPr>
        <w:t>deng Publishing Group Inc; 2011</w:t>
      </w:r>
      <w:r w:rsidRPr="000A36FC">
        <w:rPr>
          <w:noProof/>
          <w:szCs w:val="24"/>
        </w:rPr>
        <w:t xml:space="preserve"> p. 83–92.</w:t>
      </w:r>
    </w:p>
    <w:p w14:paraId="5593288B" w14:textId="1815E3B3"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104. </w:t>
      </w:r>
      <w:r w:rsidRPr="000A36FC">
        <w:rPr>
          <w:noProof/>
          <w:szCs w:val="24"/>
        </w:rPr>
        <w:tab/>
        <w:t>DJ W, C E, RW B. Infections in Liver Transplant Recipients. Cl</w:t>
      </w:r>
      <w:r w:rsidR="00621CAB">
        <w:rPr>
          <w:noProof/>
          <w:szCs w:val="24"/>
        </w:rPr>
        <w:t>in Infect Dis [Internet]. 1995</w:t>
      </w:r>
      <w:r w:rsidRPr="000A36FC">
        <w:rPr>
          <w:noProof/>
          <w:szCs w:val="24"/>
        </w:rPr>
        <w:t>;21(5).</w:t>
      </w:r>
    </w:p>
    <w:p w14:paraId="09873C7C" w14:textId="77D44DAB"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105. </w:t>
      </w:r>
      <w:r w:rsidRPr="000A36FC">
        <w:rPr>
          <w:noProof/>
          <w:szCs w:val="24"/>
        </w:rPr>
        <w:tab/>
        <w:t>Singh N. Infections in solid organ transplant recipients [Internet]. Vol. 11, Current Opinion in Infectious Diseases. American Society f</w:t>
      </w:r>
      <w:r w:rsidR="00621CAB">
        <w:rPr>
          <w:noProof/>
          <w:szCs w:val="24"/>
        </w:rPr>
        <w:t>or Microbiology Journals; 1998</w:t>
      </w:r>
      <w:r w:rsidRPr="000A36FC">
        <w:rPr>
          <w:noProof/>
          <w:szCs w:val="24"/>
        </w:rPr>
        <w:t xml:space="preserve">. p. 411–7. </w:t>
      </w:r>
    </w:p>
    <w:p w14:paraId="24280850" w14:textId="0EC53094"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106. </w:t>
      </w:r>
      <w:r w:rsidRPr="000A36FC">
        <w:rPr>
          <w:noProof/>
          <w:szCs w:val="24"/>
        </w:rPr>
        <w:tab/>
        <w:t>Watt KDS, Pedersen RA, Kremers WK, Heimbach JK, Charlton MR. Evolution of causes and risk factors for mortality post-liver transplant: Results of the NIDDK long-term follow-up study. Am J Tr</w:t>
      </w:r>
      <w:r w:rsidR="00621CAB">
        <w:rPr>
          <w:noProof/>
          <w:szCs w:val="24"/>
        </w:rPr>
        <w:t>ansplant [Internet]. 2010 Jun 1</w:t>
      </w:r>
      <w:r w:rsidRPr="000A36FC">
        <w:rPr>
          <w:noProof/>
          <w:szCs w:val="24"/>
        </w:rPr>
        <w:t xml:space="preserve">;10(6):1420–7. </w:t>
      </w:r>
    </w:p>
    <w:p w14:paraId="2ED39F6F" w14:textId="3F2C8205" w:rsidR="000A36FC" w:rsidRPr="000A36FC" w:rsidRDefault="00621CAB" w:rsidP="000A36FC">
      <w:pPr>
        <w:widowControl w:val="0"/>
        <w:autoSpaceDE w:val="0"/>
        <w:autoSpaceDN w:val="0"/>
        <w:adjustRightInd w:val="0"/>
        <w:ind w:left="640" w:hanging="640"/>
        <w:rPr>
          <w:noProof/>
          <w:szCs w:val="24"/>
        </w:rPr>
      </w:pPr>
      <w:r>
        <w:rPr>
          <w:noProof/>
          <w:szCs w:val="24"/>
        </w:rPr>
        <w:t xml:space="preserve">107. </w:t>
      </w:r>
      <w:r>
        <w:rPr>
          <w:noProof/>
          <w:szCs w:val="24"/>
        </w:rPr>
        <w:tab/>
        <w:t>Tachopoulou O, Vogt D, JH-, 2003</w:t>
      </w:r>
      <w:r w:rsidR="000A36FC" w:rsidRPr="000A36FC">
        <w:rPr>
          <w:noProof/>
          <w:szCs w:val="24"/>
        </w:rPr>
        <w:t>. Hepatic abscess after liver transplantation: 1990–2000</w:t>
      </w:r>
      <w:r>
        <w:rPr>
          <w:noProof/>
          <w:szCs w:val="24"/>
        </w:rPr>
        <w:t xml:space="preserve">. </w:t>
      </w:r>
      <w:r w:rsidR="000A36FC" w:rsidRPr="000A36FC">
        <w:rPr>
          <w:noProof/>
          <w:szCs w:val="24"/>
        </w:rPr>
        <w:t xml:space="preserve"> </w:t>
      </w:r>
    </w:p>
    <w:p w14:paraId="07982BE9" w14:textId="6ADCBF8F"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108. </w:t>
      </w:r>
      <w:r w:rsidRPr="000A36FC">
        <w:rPr>
          <w:noProof/>
          <w:szCs w:val="24"/>
        </w:rPr>
        <w:tab/>
        <w:t>Busund R, Koukline V, Utrobin U, Nedashkovsky E. Plasmapheresis in severe sepsis and septic shock: A prospective, randomised, controlled trial. Intensive Care Med [Internet]. 2002</w:t>
      </w:r>
      <w:r w:rsidR="00621CAB">
        <w:rPr>
          <w:noProof/>
          <w:szCs w:val="24"/>
        </w:rPr>
        <w:t>;28(10):1434–9.</w:t>
      </w:r>
    </w:p>
    <w:p w14:paraId="73D9412A" w14:textId="72C227FC"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109. </w:t>
      </w:r>
      <w:r w:rsidRPr="000A36FC">
        <w:rPr>
          <w:noProof/>
          <w:szCs w:val="24"/>
        </w:rPr>
        <w:tab/>
        <w:t>Zhou F, Peng Z, Murugan R, Kellum JA. Blood purification and mortality in sepsis: A meta-analysis of randomized trials [Internet]. Vol. 41, Critical Care Medicine. NIH Public Access; 2013. p. 2209–20.</w:t>
      </w:r>
    </w:p>
    <w:p w14:paraId="70A5D8F3" w14:textId="1725C3C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110. </w:t>
      </w:r>
      <w:r w:rsidRPr="000A36FC">
        <w:rPr>
          <w:noProof/>
          <w:szCs w:val="24"/>
        </w:rPr>
        <w:tab/>
        <w:t xml:space="preserve">Bouchon A, Facchetti F, Weigand MA, Colonna M. TREM-1 amplifies inflammation and is a crucial mediator of septic shock. Nature [Internet]. 2001 Apr 26;410(6832):1103–7. </w:t>
      </w:r>
    </w:p>
    <w:p w14:paraId="2580C350"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111. </w:t>
      </w:r>
      <w:r w:rsidRPr="000A36FC">
        <w:rPr>
          <w:noProof/>
          <w:szCs w:val="24"/>
        </w:rPr>
        <w:tab/>
        <w:t xml:space="preserve">Cuenca AG, Kim HB, Vakili K. Pediatric liver transplantation. Semin Pediatr Surg. 2017 Aug 1;26(4):217–23. </w:t>
      </w:r>
    </w:p>
    <w:p w14:paraId="57D1903B" w14:textId="4E1F5A58"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112. </w:t>
      </w:r>
      <w:r w:rsidRPr="000A36FC">
        <w:rPr>
          <w:noProof/>
          <w:szCs w:val="24"/>
        </w:rPr>
        <w:tab/>
        <w:t>Kita Y, Iwaki Y, Demetris AJ, Starzl TE. Evaluation of sequential serum interleukin-6 levels in liver allograft recipients. T</w:t>
      </w:r>
      <w:r w:rsidR="00621CAB">
        <w:rPr>
          <w:noProof/>
          <w:szCs w:val="24"/>
        </w:rPr>
        <w:t xml:space="preserve">ransplantation [Internet]. </w:t>
      </w:r>
      <w:r w:rsidR="00621CAB">
        <w:rPr>
          <w:noProof/>
          <w:szCs w:val="24"/>
        </w:rPr>
        <w:lastRenderedPageBreak/>
        <w:t>1994</w:t>
      </w:r>
      <w:r w:rsidRPr="000A36FC">
        <w:rPr>
          <w:noProof/>
          <w:szCs w:val="24"/>
        </w:rPr>
        <w:t>;57(7):1037–41.</w:t>
      </w:r>
    </w:p>
    <w:p w14:paraId="1D96FBCE" w14:textId="562E4076"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113. </w:t>
      </w:r>
      <w:r w:rsidRPr="000A36FC">
        <w:rPr>
          <w:noProof/>
          <w:szCs w:val="24"/>
        </w:rPr>
        <w:tab/>
        <w:t>Çetinkaya M, Özkan H, Köksal N, Çelebi S, Hacimustafaoǧlu M. Comparison of serum amyloid A concentrations with those of C-reactive protein and procalcitonin in diagnosis and follow-up of neonatal sepsis in premature infants. J Perinatol [Internet]. 2009 Dec 11;29(3):225–31.</w:t>
      </w:r>
    </w:p>
    <w:p w14:paraId="4446D58B" w14:textId="0F723D3C"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114. </w:t>
      </w:r>
      <w:r w:rsidRPr="000A36FC">
        <w:rPr>
          <w:noProof/>
          <w:szCs w:val="24"/>
        </w:rPr>
        <w:tab/>
        <w:t xml:space="preserve">Venkatesh B, Kennedy P, Kruger PS, Looke D, Jones M, Hal J, et al. Changes in serum procalcitonin and C-reactive protein following antimicrobial therapy as a guide to antibiotic duration in the critically ill: A prospective evaluation. Anaesth Intensive Care [Internet]. 2009 Jan 1;37(1):20–6. </w:t>
      </w:r>
    </w:p>
    <w:p w14:paraId="6C7B08D0" w14:textId="0E29C958"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115. </w:t>
      </w:r>
      <w:r w:rsidRPr="000A36FC">
        <w:rPr>
          <w:noProof/>
          <w:szCs w:val="24"/>
        </w:rPr>
        <w:tab/>
        <w:t>Castelli GP, Pognani C, Meisner M, Stuani A, Bellomi D, Sgarbi L. Procalcitonin and C-reactive protein during systemic inflammatory response syndrome, sepsis and organ dysfunction. Cri</w:t>
      </w:r>
      <w:r w:rsidR="00621CAB">
        <w:rPr>
          <w:noProof/>
          <w:szCs w:val="24"/>
        </w:rPr>
        <w:t>t Care [Internet]. 2004 Jun 10</w:t>
      </w:r>
      <w:r w:rsidRPr="000A36FC">
        <w:rPr>
          <w:noProof/>
          <w:szCs w:val="24"/>
        </w:rPr>
        <w:t xml:space="preserve">;8(4):1–9. </w:t>
      </w:r>
    </w:p>
    <w:p w14:paraId="470E132A" w14:textId="3BDDFE6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116. </w:t>
      </w:r>
      <w:r w:rsidRPr="000A36FC">
        <w:rPr>
          <w:noProof/>
          <w:szCs w:val="24"/>
        </w:rPr>
        <w:tab/>
        <w:t xml:space="preserve">Halac E, Dip M, Quiñonez E, Alvarez F, Espinoza JL, Romero P, et al. Split liver transplantation: Report of right and left graft outcomes from a multicenter Argentinean group. Liver Transplant [Internet]. 2016 Jan 1;22(1):63–70. </w:t>
      </w:r>
    </w:p>
    <w:p w14:paraId="020218FD" w14:textId="420FE5AD"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117. </w:t>
      </w:r>
      <w:r w:rsidRPr="000A36FC">
        <w:rPr>
          <w:noProof/>
          <w:szCs w:val="24"/>
        </w:rPr>
        <w:tab/>
        <w:t>Uemura T, Ikegami T, Sanchez EQ, Jennings LW, Narasimhan G, McKenna GJ, et al. Late acute rejection after liver transplantation impacts patient survival. Clin Transplant [Internet]. 2008 Jan 11</w:t>
      </w:r>
      <w:r w:rsidR="00621CAB">
        <w:rPr>
          <w:noProof/>
          <w:szCs w:val="24"/>
        </w:rPr>
        <w:t>;22(3):316–23.</w:t>
      </w:r>
    </w:p>
    <w:p w14:paraId="25855683" w14:textId="63BA11FC"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118. </w:t>
      </w:r>
      <w:r w:rsidRPr="000A36FC">
        <w:rPr>
          <w:noProof/>
          <w:szCs w:val="24"/>
        </w:rPr>
        <w:tab/>
        <w:t xml:space="preserve">Platz KP, Mueller AR, Rossaint R, Steinmüller T, Lemmens HP, Lobeck H, et al. Cytokine pattern during rejection and infection after liver transplantation - Improvements in postoperative monitoring? Transplantation [Internet]. 1996 Nov 27;62(10):1441–50. </w:t>
      </w:r>
    </w:p>
    <w:p w14:paraId="0754A6B4" w14:textId="1D88D045"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119. </w:t>
      </w:r>
      <w:r w:rsidRPr="000A36FC">
        <w:rPr>
          <w:noProof/>
          <w:szCs w:val="24"/>
        </w:rPr>
        <w:tab/>
        <w:t xml:space="preserve">Singh N, Paterson DL, Gayowski T, Wagener MM, Marino IR. Predicting bacteremia and bacteremic mortality in liver transplant recipients. Liver Transplant [Internet]. 2000 Jan;6(1):54–61. </w:t>
      </w:r>
    </w:p>
    <w:p w14:paraId="558BF9F7" w14:textId="42E016AC"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120. </w:t>
      </w:r>
      <w:r w:rsidRPr="000A36FC">
        <w:rPr>
          <w:noProof/>
          <w:szCs w:val="24"/>
        </w:rPr>
        <w:tab/>
        <w:t xml:space="preserve">DL G, PM A, AS F, AL B, JR T, JC E, et al. Bacterial Infection as a Complication of Liver Transplantation: Epidemiology and Risk Factors. Rev Infect Dis [Internet]. 1991;13(3). </w:t>
      </w:r>
    </w:p>
    <w:p w14:paraId="760169DF" w14:textId="7AFBB2E4"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121. </w:t>
      </w:r>
      <w:r w:rsidRPr="000A36FC">
        <w:rPr>
          <w:noProof/>
          <w:szCs w:val="24"/>
        </w:rPr>
        <w:tab/>
        <w:t>Ben-Ari Z, Weiss-Schmilovitz H, Sulkes J, Brown M, Bar-Nathan N, Shaharabani E, et al. Serum cholestasis markers as predictors of early outcome after liver transplantation. Clin Tra</w:t>
      </w:r>
      <w:r w:rsidR="00621CAB">
        <w:rPr>
          <w:noProof/>
          <w:szCs w:val="24"/>
        </w:rPr>
        <w:t>nsplant [Internet]. 2004 Apr 1;18(2):130–6.</w:t>
      </w:r>
    </w:p>
    <w:p w14:paraId="2F47747E" w14:textId="74F7646A"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122. </w:t>
      </w:r>
      <w:r w:rsidRPr="000A36FC">
        <w:rPr>
          <w:noProof/>
          <w:szCs w:val="24"/>
        </w:rPr>
        <w:tab/>
        <w:t>Arun Kumar R, Channabasappa S. A retrospective cohort study of perioperative prognostic factors associated with intra-abdominal sepsis. Ane</w:t>
      </w:r>
      <w:r w:rsidR="00621CAB">
        <w:rPr>
          <w:noProof/>
          <w:szCs w:val="24"/>
        </w:rPr>
        <w:t>sth Essays Res [Internet]. 2016</w:t>
      </w:r>
      <w:r w:rsidRPr="000A36FC">
        <w:rPr>
          <w:noProof/>
          <w:szCs w:val="24"/>
        </w:rPr>
        <w:t xml:space="preserve">;10(1):50. </w:t>
      </w:r>
    </w:p>
    <w:p w14:paraId="634CCF93" w14:textId="0CFB4366" w:rsidR="000A36FC" w:rsidRPr="000A36FC" w:rsidRDefault="000A36FC" w:rsidP="000A36FC">
      <w:pPr>
        <w:widowControl w:val="0"/>
        <w:autoSpaceDE w:val="0"/>
        <w:autoSpaceDN w:val="0"/>
        <w:adjustRightInd w:val="0"/>
        <w:ind w:left="640" w:hanging="640"/>
        <w:rPr>
          <w:noProof/>
          <w:szCs w:val="24"/>
        </w:rPr>
      </w:pPr>
      <w:r w:rsidRPr="000A36FC">
        <w:rPr>
          <w:noProof/>
          <w:szCs w:val="24"/>
        </w:rPr>
        <w:lastRenderedPageBreak/>
        <w:t xml:space="preserve">123. </w:t>
      </w:r>
      <w:r w:rsidRPr="000A36FC">
        <w:rPr>
          <w:noProof/>
          <w:szCs w:val="24"/>
        </w:rPr>
        <w:tab/>
        <w:t>Bernal W, Hyyrylainen A, Gera A, Audimoolam VK, McPhail MJW, Auzinger G, et al. Lessons from look-back in acute liver failure? A single centre experience of 3300 patients. J Hepatol [Internet]. 2013 Jul;59(1):74</w:t>
      </w:r>
      <w:r w:rsidR="00621CAB">
        <w:rPr>
          <w:noProof/>
          <w:szCs w:val="24"/>
        </w:rPr>
        <w:t>–80.</w:t>
      </w:r>
    </w:p>
    <w:p w14:paraId="14C43763" w14:textId="1E73A0C9"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124. </w:t>
      </w:r>
      <w:r w:rsidRPr="000A36FC">
        <w:rPr>
          <w:noProof/>
          <w:szCs w:val="24"/>
        </w:rPr>
        <w:tab/>
        <w:t>Farmer DG, Anselmo DM, Ghobrial RM, Yersiz H, McDiarmid S V., Cao C, et al. Liver Transplantation for Fulminant Hepatic Failure.</w:t>
      </w:r>
      <w:r w:rsidR="00621CAB">
        <w:rPr>
          <w:noProof/>
          <w:szCs w:val="24"/>
        </w:rPr>
        <w:t xml:space="preserve"> Ann Surg [Internet]. 2003 May; </w:t>
      </w:r>
      <w:r w:rsidRPr="000A36FC">
        <w:rPr>
          <w:noProof/>
          <w:szCs w:val="24"/>
        </w:rPr>
        <w:t xml:space="preserve">237(5):666–76. </w:t>
      </w:r>
    </w:p>
    <w:p w14:paraId="468D838B" w14:textId="6A49414B"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125. </w:t>
      </w:r>
      <w:r w:rsidRPr="000A36FC">
        <w:rPr>
          <w:noProof/>
          <w:szCs w:val="24"/>
        </w:rPr>
        <w:tab/>
        <w:t xml:space="preserve">Tsao C-M, Huang H-C, Chen Z-F, Liaw W-J, Lue W-M, Chen A, et al. Beneficial Effects of Hyperoncotic Albumin on Liver Injury and Survival in Peritonitis-Induced Sepsis Rats. Shock [Internet]. 2011 Feb;35(2):210–6. </w:t>
      </w:r>
    </w:p>
    <w:p w14:paraId="3DFC3646" w14:textId="04840C3E"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126. </w:t>
      </w:r>
      <w:r w:rsidRPr="000A36FC">
        <w:rPr>
          <w:noProof/>
          <w:szCs w:val="24"/>
        </w:rPr>
        <w:tab/>
        <w:t>Lelubre C, Vincent JL. Mechanisms and treatment of organ failure in sepsis [Internet]. Vol. 14, Nature Reviews Nephrology. Nature Publishing Group; 2018</w:t>
      </w:r>
      <w:r w:rsidR="00621CAB">
        <w:rPr>
          <w:noProof/>
          <w:szCs w:val="24"/>
        </w:rPr>
        <w:t>. p. 417–27.</w:t>
      </w:r>
    </w:p>
    <w:p w14:paraId="0FBAFFE9" w14:textId="53EA7C19"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127. </w:t>
      </w:r>
      <w:r w:rsidRPr="000A36FC">
        <w:rPr>
          <w:noProof/>
          <w:szCs w:val="24"/>
        </w:rPr>
        <w:tab/>
        <w:t>Ogston CM, Ogston D. Plasma fibrinogen and plasminogen levels in health and in ischaemic heart disease. J Cli</w:t>
      </w:r>
      <w:r w:rsidR="00621CAB">
        <w:rPr>
          <w:noProof/>
          <w:szCs w:val="24"/>
        </w:rPr>
        <w:t xml:space="preserve">n Pathol [Internet]. 1966 Jul 1;19(4):352–6. </w:t>
      </w:r>
    </w:p>
    <w:p w14:paraId="13F85761" w14:textId="1D00C484"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128. </w:t>
      </w:r>
      <w:r w:rsidRPr="000A36FC">
        <w:rPr>
          <w:noProof/>
          <w:szCs w:val="24"/>
        </w:rPr>
        <w:tab/>
        <w:t>Schröder J, Kahlke V, Staubach KH, Zabel P, Stüber F. Gender differences in human sepsis. Arch Surg [Internet]. 1998</w:t>
      </w:r>
      <w:r w:rsidR="00621CAB">
        <w:rPr>
          <w:noProof/>
          <w:szCs w:val="24"/>
        </w:rPr>
        <w:t xml:space="preserve">;133(11):1200–5. </w:t>
      </w:r>
    </w:p>
    <w:p w14:paraId="393CCD86"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129. </w:t>
      </w:r>
      <w:r w:rsidRPr="000A36FC">
        <w:rPr>
          <w:noProof/>
          <w:szCs w:val="24"/>
        </w:rPr>
        <w:tab/>
        <w:t>Role of Cytokines as a Double-edged Sword in Sepsis [Internet]. [cited 2020 Jul 9]. Available from: http://iv.iiarjournals.org/content/27/6/669.short</w:t>
      </w:r>
    </w:p>
    <w:p w14:paraId="6CA56ABD"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130. </w:t>
      </w:r>
      <w:r w:rsidRPr="000A36FC">
        <w:rPr>
          <w:noProof/>
          <w:szCs w:val="24"/>
        </w:rPr>
        <w:tab/>
        <w:t xml:space="preserve">Ramnath RD, Ng SW, Guglielmotti A, Bhatia M. Role of MCP-1 in endotoxemia and sepsis. Int Immunopharmacol. 2008 Jun 1;8(6):810–8. </w:t>
      </w:r>
    </w:p>
    <w:p w14:paraId="20FCC56E" w14:textId="5657861A"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131. </w:t>
      </w:r>
      <w:r w:rsidRPr="000A36FC">
        <w:rPr>
          <w:noProof/>
          <w:szCs w:val="24"/>
        </w:rPr>
        <w:tab/>
        <w:t>Yazigi NA. Long term outcomes after pediatric liver transplantation [Internet]. Vol. 16, Pediatric Gastroenterology, Hepatology and Nutrition. Korean Society of Pediartic Gastroenterology,</w:t>
      </w:r>
      <w:r w:rsidR="00621CAB">
        <w:rPr>
          <w:noProof/>
          <w:szCs w:val="24"/>
        </w:rPr>
        <w:t xml:space="preserve"> Hepatology and Nutrition; 2013. p. 207–18. </w:t>
      </w:r>
    </w:p>
    <w:p w14:paraId="1C2ECEAD" w14:textId="5EA43B68"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132. </w:t>
      </w:r>
      <w:r w:rsidRPr="000A36FC">
        <w:rPr>
          <w:noProof/>
          <w:szCs w:val="24"/>
        </w:rPr>
        <w:tab/>
        <w:t>Dehghani SM, Nikeghbalian S, Kazemi K, Dehghani M, Gholami S, Bahador A, et al. Outcome of bowel perforation after pediatric liver transplantation. Pediatr Tra</w:t>
      </w:r>
      <w:r w:rsidR="00621CAB">
        <w:rPr>
          <w:noProof/>
          <w:szCs w:val="24"/>
        </w:rPr>
        <w:t>nsplant [Internet]. 2008 Mar 1</w:t>
      </w:r>
      <w:r w:rsidRPr="000A36FC">
        <w:rPr>
          <w:noProof/>
          <w:szCs w:val="24"/>
        </w:rPr>
        <w:t>;12(2):146–9.</w:t>
      </w:r>
    </w:p>
    <w:p w14:paraId="4ABB81C9" w14:textId="52D493D2"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133. </w:t>
      </w:r>
      <w:r w:rsidRPr="000A36FC">
        <w:rPr>
          <w:noProof/>
          <w:szCs w:val="24"/>
        </w:rPr>
        <w:tab/>
        <w:t>Nasir N, Jamil B, Siddiqui S, Talat N, Khan FA, Hussain R. Mortality in sepsis and its relationship w</w:t>
      </w:r>
      <w:r w:rsidR="00F37779">
        <w:rPr>
          <w:noProof/>
          <w:szCs w:val="24"/>
        </w:rPr>
        <w:t>ith gender. Pakistan J Med Sci</w:t>
      </w:r>
      <w:r w:rsidRPr="000A36FC">
        <w:rPr>
          <w:noProof/>
          <w:szCs w:val="24"/>
        </w:rPr>
        <w:t>. 2015</w:t>
      </w:r>
      <w:r w:rsidR="00621CAB">
        <w:rPr>
          <w:noProof/>
          <w:szCs w:val="24"/>
        </w:rPr>
        <w:t>;31(5):1201–6.</w:t>
      </w:r>
    </w:p>
    <w:p w14:paraId="166EEC0A" w14:textId="52BF9CFA"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134. </w:t>
      </w:r>
      <w:r w:rsidRPr="000A36FC">
        <w:rPr>
          <w:noProof/>
          <w:szCs w:val="24"/>
        </w:rPr>
        <w:tab/>
        <w:t xml:space="preserve">Kawasaki T, Chaudry IH. The effects of estrogen on various organs: Therapeutic approach for sepsis, trauma, and reperfusion injury. Part 2: Liver, intestine, spleen, and kidney. J </w:t>
      </w:r>
      <w:r w:rsidR="00F37779">
        <w:rPr>
          <w:noProof/>
          <w:szCs w:val="24"/>
        </w:rPr>
        <w:t>Anesth [Internet]. 2012 Dec 23</w:t>
      </w:r>
      <w:r w:rsidRPr="000A36FC">
        <w:rPr>
          <w:noProof/>
          <w:szCs w:val="24"/>
        </w:rPr>
        <w:t xml:space="preserve">;26(6):892–9. </w:t>
      </w:r>
    </w:p>
    <w:p w14:paraId="38620450" w14:textId="3EB5B86B"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135. </w:t>
      </w:r>
      <w:r w:rsidRPr="000A36FC">
        <w:rPr>
          <w:noProof/>
          <w:szCs w:val="24"/>
        </w:rPr>
        <w:tab/>
        <w:t xml:space="preserve">Yao Y, Wang D, Yin Y. Advances in sepsis-associated liver dysfunction. Burn Trauma [Internet]. 2014 Jul 1;2(3):97. </w:t>
      </w:r>
    </w:p>
    <w:p w14:paraId="234C523F" w14:textId="6FB7FC4A"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136. </w:t>
      </w:r>
      <w:r w:rsidRPr="000A36FC">
        <w:rPr>
          <w:noProof/>
          <w:szCs w:val="24"/>
        </w:rPr>
        <w:tab/>
        <w:t xml:space="preserve">Moseley RH, Wang W, Takeda H, Lown K, Shick L, Ananthanarayanan M, et al. </w:t>
      </w:r>
      <w:r w:rsidRPr="000A36FC">
        <w:rPr>
          <w:noProof/>
          <w:szCs w:val="24"/>
        </w:rPr>
        <w:lastRenderedPageBreak/>
        <w:t>Effect of endotoxin on bile acid transport in rat liver: A potential model for sepsis-associated cholestasis. Am J Physiol - Gastrointest Liver Physiol [Internet]. 1996 Jul</w:t>
      </w:r>
      <w:r w:rsidR="00F37779">
        <w:rPr>
          <w:noProof/>
          <w:szCs w:val="24"/>
        </w:rPr>
        <w:t>;271(1 34-1).</w:t>
      </w:r>
    </w:p>
    <w:p w14:paraId="41FC04EB" w14:textId="77777777"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137. </w:t>
      </w:r>
      <w:r w:rsidRPr="000A36FC">
        <w:rPr>
          <w:noProof/>
          <w:szCs w:val="24"/>
        </w:rPr>
        <w:tab/>
        <w:t xml:space="preserve">Corbani A, Burroughs AK. Intrahepatic Cholestasis After Liver Transplantation. Vol. 12, Clinics in Liver Disease. Elsevier; 2008. p. 111–29. </w:t>
      </w:r>
    </w:p>
    <w:p w14:paraId="7C557087" w14:textId="120F8A8B"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138. </w:t>
      </w:r>
      <w:r w:rsidRPr="000A36FC">
        <w:rPr>
          <w:noProof/>
          <w:szCs w:val="24"/>
        </w:rPr>
        <w:tab/>
        <w:t xml:space="preserve">Lo RCL, Chan KKS, Chok KSH, Ng IOL. Liver allograft biopsies with histological cholestasis: A clinicopathological study of 254 cases from a single centre. J Clin Pathol [Internet]. 2018 Jan 1;71(1):72–8. </w:t>
      </w:r>
    </w:p>
    <w:p w14:paraId="74CADDFB" w14:textId="0CDAC5A8"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139. </w:t>
      </w:r>
      <w:r w:rsidRPr="000A36FC">
        <w:rPr>
          <w:noProof/>
          <w:szCs w:val="24"/>
        </w:rPr>
        <w:tab/>
        <w:t xml:space="preserve">Bernal W. The liver in systemic disease: Sepsis and critical illness [Internet]. Vol. </w:t>
      </w:r>
      <w:bookmarkStart w:id="611" w:name="_GoBack"/>
      <w:bookmarkEnd w:id="611"/>
      <w:r w:rsidRPr="000A36FC">
        <w:rPr>
          <w:noProof/>
          <w:szCs w:val="24"/>
        </w:rPr>
        <w:t>7, Clinical Liver Disease. John Wiley and Sons Inc.; 2016</w:t>
      </w:r>
      <w:r w:rsidR="00F37779">
        <w:rPr>
          <w:noProof/>
          <w:szCs w:val="24"/>
        </w:rPr>
        <w:t xml:space="preserve">. p. 88–91. </w:t>
      </w:r>
    </w:p>
    <w:p w14:paraId="25B2D89A" w14:textId="4D2294DB" w:rsidR="000A36FC" w:rsidRPr="000A36FC" w:rsidRDefault="000A36FC" w:rsidP="000A36FC">
      <w:pPr>
        <w:widowControl w:val="0"/>
        <w:autoSpaceDE w:val="0"/>
        <w:autoSpaceDN w:val="0"/>
        <w:adjustRightInd w:val="0"/>
        <w:ind w:left="640" w:hanging="640"/>
        <w:rPr>
          <w:noProof/>
          <w:szCs w:val="24"/>
        </w:rPr>
      </w:pPr>
      <w:r w:rsidRPr="000A36FC">
        <w:rPr>
          <w:noProof/>
          <w:szCs w:val="24"/>
        </w:rPr>
        <w:t xml:space="preserve">140. </w:t>
      </w:r>
      <w:r w:rsidRPr="000A36FC">
        <w:rPr>
          <w:noProof/>
          <w:szCs w:val="24"/>
        </w:rPr>
        <w:tab/>
        <w:t>A case for the panel intracellular collagen in hepatocytes [Internet]. Vol. 4, Ultrastructural Pathology. Informa Healthcare; 198</w:t>
      </w:r>
      <w:r w:rsidR="00F37779">
        <w:rPr>
          <w:noProof/>
          <w:szCs w:val="24"/>
        </w:rPr>
        <w:t>3. p. 101–5.</w:t>
      </w:r>
    </w:p>
    <w:p w14:paraId="592C4D82" w14:textId="5ED71CD7" w:rsidR="000A36FC" w:rsidRPr="000A36FC" w:rsidRDefault="000A36FC" w:rsidP="000A36FC">
      <w:pPr>
        <w:widowControl w:val="0"/>
        <w:autoSpaceDE w:val="0"/>
        <w:autoSpaceDN w:val="0"/>
        <w:adjustRightInd w:val="0"/>
        <w:ind w:left="640" w:hanging="640"/>
        <w:rPr>
          <w:noProof/>
        </w:rPr>
      </w:pPr>
      <w:r w:rsidRPr="000A36FC">
        <w:rPr>
          <w:noProof/>
          <w:szCs w:val="24"/>
        </w:rPr>
        <w:t xml:space="preserve">141. </w:t>
      </w:r>
      <w:r w:rsidRPr="000A36FC">
        <w:rPr>
          <w:noProof/>
          <w:szCs w:val="24"/>
        </w:rPr>
        <w:tab/>
        <w:t>WILLS EJ. CRYSTALLINE STRUCTURES IN THE MITOCHONDRIA OF NORMAL HUMAN LIVER PARENCHYMAL CELLS. J</w:t>
      </w:r>
      <w:r w:rsidR="00F37779">
        <w:rPr>
          <w:noProof/>
          <w:szCs w:val="24"/>
        </w:rPr>
        <w:t xml:space="preserve"> Cell Biol [Internet]. 1965</w:t>
      </w:r>
      <w:r w:rsidRPr="000A36FC">
        <w:rPr>
          <w:noProof/>
          <w:szCs w:val="24"/>
        </w:rPr>
        <w:t xml:space="preserve">;24(3):511–4. </w:t>
      </w:r>
    </w:p>
    <w:p w14:paraId="31CB2DC5" w14:textId="77777777" w:rsidR="00AF00FB" w:rsidRPr="00C50692" w:rsidRDefault="00FC67F9" w:rsidP="00C50692">
      <w:pPr>
        <w:ind w:firstLine="0"/>
        <w:rPr>
          <w:b/>
        </w:rPr>
      </w:pPr>
      <w:r>
        <w:rPr>
          <w:b/>
        </w:rPr>
        <w:fldChar w:fldCharType="end"/>
      </w:r>
    </w:p>
    <w:p w14:paraId="31CB2DC6" w14:textId="77777777" w:rsidR="001B285D" w:rsidRPr="003656DA" w:rsidRDefault="001B285D" w:rsidP="000C24C7"/>
    <w:p w14:paraId="31CB2DC8" w14:textId="77777777" w:rsidR="00CB2211" w:rsidRPr="003656DA" w:rsidRDefault="00CB2211" w:rsidP="001A3F4C">
      <w:pPr>
        <w:ind w:firstLine="0"/>
      </w:pPr>
    </w:p>
    <w:sectPr w:rsidR="00CB2211" w:rsidRPr="003656DA" w:rsidSect="00923C54">
      <w:pgSz w:w="11906" w:h="16838"/>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847F7D" w14:textId="77777777" w:rsidR="00944812" w:rsidRDefault="00944812" w:rsidP="000C24C7">
      <w:r>
        <w:separator/>
      </w:r>
    </w:p>
  </w:endnote>
  <w:endnote w:type="continuationSeparator" w:id="0">
    <w:p w14:paraId="64E62A0C" w14:textId="77777777" w:rsidR="00944812" w:rsidRDefault="00944812" w:rsidP="000C24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A2"/>
    <w:family w:val="swiss"/>
    <w:pitch w:val="variable"/>
    <w:sig w:usb0="E4002EFF" w:usb1="C000247B" w:usb2="00000009" w:usb3="00000000" w:csb0="000001FF" w:csb1="00000000"/>
  </w:font>
  <w:font w:name="TimesNewRomanPS-BoldMT">
    <w:altName w:val="Times New Roman"/>
    <w:panose1 w:val="00000000000000000000"/>
    <w:charset w:val="00"/>
    <w:family w:val="roman"/>
    <w:notTrueType/>
    <w:pitch w:val="default"/>
  </w:font>
  <w:font w:name="TimesNewRomanPSMT">
    <w:altName w:val="MS Gothic"/>
    <w:panose1 w:val="00000000000000000000"/>
    <w:charset w:val="80"/>
    <w:family w:val="auto"/>
    <w:notTrueType/>
    <w:pitch w:val="default"/>
    <w:sig w:usb0="00000000" w:usb1="08070000" w:usb2="00000010" w:usb3="00000000" w:csb0="00020011" w:csb1="00000000"/>
  </w:font>
  <w:font w:name="Segoe UI">
    <w:panose1 w:val="020B0502040204020203"/>
    <w:charset w:val="A2"/>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A2"/>
    <w:family w:val="swiss"/>
    <w:pitch w:val="variable"/>
    <w:sig w:usb0="E0002EFF" w:usb1="C000785B" w:usb2="00000009" w:usb3="00000000" w:csb0="000001FF" w:csb1="00000000"/>
  </w:font>
  <w:font w:name="ArialMT">
    <w:altName w:val="Times New Roman"/>
    <w:panose1 w:val="00000000000000000000"/>
    <w:charset w:val="00"/>
    <w:family w:val="roman"/>
    <w:notTrueType/>
    <w:pitch w:val="default"/>
  </w:font>
  <w:font w:name="Arial-BoldMT">
    <w:altName w:val="Times New Roman"/>
    <w:panose1 w:val="00000000000000000000"/>
    <w:charset w:val="00"/>
    <w:family w:val="roman"/>
    <w:notTrueType/>
    <w:pitch w:val="default"/>
  </w:font>
  <w:font w:name="OpenSans-Italic">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Georgia">
    <w:panose1 w:val="02040502050405020303"/>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Cambria Math">
    <w:panose1 w:val="02040503050406030204"/>
    <w:charset w:val="A2"/>
    <w:family w:val="roman"/>
    <w:pitch w:val="variable"/>
    <w:sig w:usb0="E00006FF" w:usb1="420024FF" w:usb2="02000000" w:usb3="00000000" w:csb0="0000019F" w:csb1="00000000"/>
  </w:font>
  <w:font w:name="STIXGeneral-Regular">
    <w:altName w:val="Cambria"/>
    <w:panose1 w:val="00000000000000000000"/>
    <w:charset w:val="00"/>
    <w:family w:val="roman"/>
    <w:notTrueType/>
    <w:pitch w:val="default"/>
  </w:font>
  <w:font w:name="+mn-ea">
    <w:panose1 w:val="00000000000000000000"/>
    <w:charset w:val="00"/>
    <w:family w:val="roman"/>
    <w:notTrueType/>
    <w:pitch w:val="default"/>
  </w:font>
  <w:font w:name="Book Antiqua">
    <w:panose1 w:val="02040602050305030304"/>
    <w:charset w:val="A2"/>
    <w:family w:val="roman"/>
    <w:pitch w:val="variable"/>
    <w:sig w:usb0="00000287" w:usb1="00000000" w:usb2="00000000" w:usb3="00000000" w:csb0="0000009F" w:csb1="00000000"/>
  </w:font>
  <w:font w:name="InterFace-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76197851"/>
      <w:docPartObj>
        <w:docPartGallery w:val="Page Numbers (Bottom of Page)"/>
        <w:docPartUnique/>
      </w:docPartObj>
    </w:sdtPr>
    <w:sdtContent>
      <w:p w14:paraId="31CB2E25" w14:textId="65AF9164" w:rsidR="009F02C6" w:rsidRDefault="009F02C6">
        <w:pPr>
          <w:pStyle w:val="Altbilgi"/>
          <w:jc w:val="right"/>
        </w:pPr>
        <w:r>
          <w:fldChar w:fldCharType="begin"/>
        </w:r>
        <w:r>
          <w:instrText>PAGE   \* MERGEFORMAT</w:instrText>
        </w:r>
        <w:r>
          <w:fldChar w:fldCharType="separate"/>
        </w:r>
        <w:r w:rsidR="00087D64">
          <w:rPr>
            <w:noProof/>
          </w:rPr>
          <w:t>87</w:t>
        </w:r>
        <w:r>
          <w:fldChar w:fldCharType="end"/>
        </w:r>
      </w:p>
    </w:sdtContent>
  </w:sdt>
  <w:p w14:paraId="31CB2E26" w14:textId="77777777" w:rsidR="009F02C6" w:rsidRDefault="009F02C6" w:rsidP="000C24C7">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43E413" w14:textId="77777777" w:rsidR="00944812" w:rsidRDefault="00944812" w:rsidP="000C24C7">
      <w:r>
        <w:separator/>
      </w:r>
    </w:p>
  </w:footnote>
  <w:footnote w:type="continuationSeparator" w:id="0">
    <w:p w14:paraId="506155EC" w14:textId="77777777" w:rsidR="00944812" w:rsidRDefault="00944812" w:rsidP="000C24C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592853"/>
    <w:multiLevelType w:val="multilevel"/>
    <w:tmpl w:val="238AAC6A"/>
    <w:lvl w:ilvl="0">
      <w:start w:val="2"/>
      <w:numFmt w:val="decimal"/>
      <w:lvlText w:val="%1"/>
      <w:lvlJc w:val="left"/>
      <w:pPr>
        <w:ind w:left="480" w:hanging="480"/>
      </w:pPr>
      <w:rPr>
        <w:rFonts w:hint="default"/>
      </w:rPr>
    </w:lvl>
    <w:lvl w:ilvl="1">
      <w:start w:val="7"/>
      <w:numFmt w:val="decimal"/>
      <w:lvlText w:val="%1.%2"/>
      <w:lvlJc w:val="left"/>
      <w:pPr>
        <w:ind w:left="1452" w:hanging="480"/>
      </w:pPr>
      <w:rPr>
        <w:rFonts w:hint="default"/>
      </w:rPr>
    </w:lvl>
    <w:lvl w:ilvl="2">
      <w:start w:val="1"/>
      <w:numFmt w:val="decimal"/>
      <w:lvlText w:val="%1.11.%3"/>
      <w:lvlJc w:val="left"/>
      <w:pPr>
        <w:ind w:left="2664" w:hanging="720"/>
      </w:pPr>
      <w:rPr>
        <w:rFonts w:hint="default"/>
      </w:rPr>
    </w:lvl>
    <w:lvl w:ilvl="3">
      <w:start w:val="1"/>
      <w:numFmt w:val="decimal"/>
      <w:lvlText w:val="%1.%2.%3.%4"/>
      <w:lvlJc w:val="left"/>
      <w:pPr>
        <w:ind w:left="3636" w:hanging="720"/>
      </w:pPr>
      <w:rPr>
        <w:rFonts w:hint="default"/>
      </w:rPr>
    </w:lvl>
    <w:lvl w:ilvl="4">
      <w:start w:val="1"/>
      <w:numFmt w:val="decimal"/>
      <w:lvlText w:val="%1.%2.%3.%4.%5"/>
      <w:lvlJc w:val="left"/>
      <w:pPr>
        <w:ind w:left="4968" w:hanging="1080"/>
      </w:pPr>
      <w:rPr>
        <w:rFonts w:hint="default"/>
      </w:rPr>
    </w:lvl>
    <w:lvl w:ilvl="5">
      <w:start w:val="1"/>
      <w:numFmt w:val="decimal"/>
      <w:lvlText w:val="%1.%2.%3.%4.%5.%6"/>
      <w:lvlJc w:val="left"/>
      <w:pPr>
        <w:ind w:left="5940" w:hanging="1080"/>
      </w:pPr>
      <w:rPr>
        <w:rFonts w:hint="default"/>
      </w:rPr>
    </w:lvl>
    <w:lvl w:ilvl="6">
      <w:start w:val="1"/>
      <w:numFmt w:val="decimal"/>
      <w:lvlText w:val="%1.%2.%3.%4.%5.%6.%7"/>
      <w:lvlJc w:val="left"/>
      <w:pPr>
        <w:ind w:left="7272" w:hanging="1440"/>
      </w:pPr>
      <w:rPr>
        <w:rFonts w:hint="default"/>
      </w:rPr>
    </w:lvl>
    <w:lvl w:ilvl="7">
      <w:start w:val="1"/>
      <w:numFmt w:val="decimal"/>
      <w:lvlText w:val="%1.%2.%3.%4.%5.%6.%7.%8"/>
      <w:lvlJc w:val="left"/>
      <w:pPr>
        <w:ind w:left="8244" w:hanging="1440"/>
      </w:pPr>
      <w:rPr>
        <w:rFonts w:hint="default"/>
      </w:rPr>
    </w:lvl>
    <w:lvl w:ilvl="8">
      <w:start w:val="1"/>
      <w:numFmt w:val="decimal"/>
      <w:lvlText w:val="%1.%2.%3.%4.%5.%6.%7.%8.%9"/>
      <w:lvlJc w:val="left"/>
      <w:pPr>
        <w:ind w:left="9576" w:hanging="1800"/>
      </w:pPr>
      <w:rPr>
        <w:rFonts w:hint="default"/>
      </w:rPr>
    </w:lvl>
  </w:abstractNum>
  <w:abstractNum w:abstractNumId="1" w15:restartNumberingAfterBreak="0">
    <w:nsid w:val="08E30EA2"/>
    <w:multiLevelType w:val="multilevel"/>
    <w:tmpl w:val="33361674"/>
    <w:lvl w:ilvl="0">
      <w:start w:val="2"/>
      <w:numFmt w:val="decimal"/>
      <w:lvlText w:val="%1"/>
      <w:lvlJc w:val="left"/>
      <w:pPr>
        <w:ind w:left="480" w:hanging="480"/>
      </w:pPr>
      <w:rPr>
        <w:rFonts w:hint="default"/>
      </w:rPr>
    </w:lvl>
    <w:lvl w:ilvl="1">
      <w:start w:val="7"/>
      <w:numFmt w:val="decimal"/>
      <w:lvlText w:val="%1.%2"/>
      <w:lvlJc w:val="left"/>
      <w:pPr>
        <w:ind w:left="1452" w:hanging="480"/>
      </w:pPr>
      <w:rPr>
        <w:rFonts w:hint="default"/>
      </w:rPr>
    </w:lvl>
    <w:lvl w:ilvl="2">
      <w:start w:val="1"/>
      <w:numFmt w:val="decimal"/>
      <w:lvlText w:val="%1.8.%3"/>
      <w:lvlJc w:val="left"/>
      <w:pPr>
        <w:ind w:left="2664" w:hanging="720"/>
      </w:pPr>
      <w:rPr>
        <w:rFonts w:hint="default"/>
      </w:rPr>
    </w:lvl>
    <w:lvl w:ilvl="3">
      <w:start w:val="1"/>
      <w:numFmt w:val="decimal"/>
      <w:lvlText w:val="%1.%2.%3.%4"/>
      <w:lvlJc w:val="left"/>
      <w:pPr>
        <w:ind w:left="3636" w:hanging="720"/>
      </w:pPr>
      <w:rPr>
        <w:rFonts w:hint="default"/>
      </w:rPr>
    </w:lvl>
    <w:lvl w:ilvl="4">
      <w:start w:val="1"/>
      <w:numFmt w:val="decimal"/>
      <w:lvlText w:val="%1.%2.%3.%4.%5"/>
      <w:lvlJc w:val="left"/>
      <w:pPr>
        <w:ind w:left="4968" w:hanging="1080"/>
      </w:pPr>
      <w:rPr>
        <w:rFonts w:hint="default"/>
      </w:rPr>
    </w:lvl>
    <w:lvl w:ilvl="5">
      <w:start w:val="1"/>
      <w:numFmt w:val="decimal"/>
      <w:lvlText w:val="%1.%2.%3.%4.%5.%6"/>
      <w:lvlJc w:val="left"/>
      <w:pPr>
        <w:ind w:left="5940" w:hanging="1080"/>
      </w:pPr>
      <w:rPr>
        <w:rFonts w:hint="default"/>
      </w:rPr>
    </w:lvl>
    <w:lvl w:ilvl="6">
      <w:start w:val="1"/>
      <w:numFmt w:val="decimal"/>
      <w:lvlText w:val="%1.%2.%3.%4.%5.%6.%7"/>
      <w:lvlJc w:val="left"/>
      <w:pPr>
        <w:ind w:left="7272" w:hanging="1440"/>
      </w:pPr>
      <w:rPr>
        <w:rFonts w:hint="default"/>
      </w:rPr>
    </w:lvl>
    <w:lvl w:ilvl="7">
      <w:start w:val="1"/>
      <w:numFmt w:val="decimal"/>
      <w:lvlText w:val="%1.%2.%3.%4.%5.%6.%7.%8"/>
      <w:lvlJc w:val="left"/>
      <w:pPr>
        <w:ind w:left="8244" w:hanging="1440"/>
      </w:pPr>
      <w:rPr>
        <w:rFonts w:hint="default"/>
      </w:rPr>
    </w:lvl>
    <w:lvl w:ilvl="8">
      <w:start w:val="1"/>
      <w:numFmt w:val="decimal"/>
      <w:lvlText w:val="%1.%2.%3.%4.%5.%6.%7.%8.%9"/>
      <w:lvlJc w:val="left"/>
      <w:pPr>
        <w:ind w:left="9576" w:hanging="1800"/>
      </w:pPr>
      <w:rPr>
        <w:rFonts w:hint="default"/>
      </w:rPr>
    </w:lvl>
  </w:abstractNum>
  <w:abstractNum w:abstractNumId="2" w15:restartNumberingAfterBreak="0">
    <w:nsid w:val="11B15FA9"/>
    <w:multiLevelType w:val="hybridMultilevel"/>
    <w:tmpl w:val="2D3A9122"/>
    <w:lvl w:ilvl="0" w:tplc="041F0001">
      <w:start w:val="1"/>
      <w:numFmt w:val="bullet"/>
      <w:lvlText w:val=""/>
      <w:lvlJc w:val="left"/>
      <w:pPr>
        <w:ind w:left="1400" w:hanging="360"/>
      </w:pPr>
      <w:rPr>
        <w:rFonts w:ascii="Symbol" w:hAnsi="Symbol" w:hint="default"/>
      </w:rPr>
    </w:lvl>
    <w:lvl w:ilvl="1" w:tplc="041F0003" w:tentative="1">
      <w:start w:val="1"/>
      <w:numFmt w:val="bullet"/>
      <w:lvlText w:val="o"/>
      <w:lvlJc w:val="left"/>
      <w:pPr>
        <w:ind w:left="2120" w:hanging="360"/>
      </w:pPr>
      <w:rPr>
        <w:rFonts w:ascii="Courier New" w:hAnsi="Courier New" w:cs="Courier New" w:hint="default"/>
      </w:rPr>
    </w:lvl>
    <w:lvl w:ilvl="2" w:tplc="041F0005" w:tentative="1">
      <w:start w:val="1"/>
      <w:numFmt w:val="bullet"/>
      <w:lvlText w:val=""/>
      <w:lvlJc w:val="left"/>
      <w:pPr>
        <w:ind w:left="2840" w:hanging="360"/>
      </w:pPr>
      <w:rPr>
        <w:rFonts w:ascii="Wingdings" w:hAnsi="Wingdings" w:hint="default"/>
      </w:rPr>
    </w:lvl>
    <w:lvl w:ilvl="3" w:tplc="041F0001" w:tentative="1">
      <w:start w:val="1"/>
      <w:numFmt w:val="bullet"/>
      <w:lvlText w:val=""/>
      <w:lvlJc w:val="left"/>
      <w:pPr>
        <w:ind w:left="3560" w:hanging="360"/>
      </w:pPr>
      <w:rPr>
        <w:rFonts w:ascii="Symbol" w:hAnsi="Symbol" w:hint="default"/>
      </w:rPr>
    </w:lvl>
    <w:lvl w:ilvl="4" w:tplc="041F0003" w:tentative="1">
      <w:start w:val="1"/>
      <w:numFmt w:val="bullet"/>
      <w:lvlText w:val="o"/>
      <w:lvlJc w:val="left"/>
      <w:pPr>
        <w:ind w:left="4280" w:hanging="360"/>
      </w:pPr>
      <w:rPr>
        <w:rFonts w:ascii="Courier New" w:hAnsi="Courier New" w:cs="Courier New" w:hint="default"/>
      </w:rPr>
    </w:lvl>
    <w:lvl w:ilvl="5" w:tplc="041F0005" w:tentative="1">
      <w:start w:val="1"/>
      <w:numFmt w:val="bullet"/>
      <w:lvlText w:val=""/>
      <w:lvlJc w:val="left"/>
      <w:pPr>
        <w:ind w:left="5000" w:hanging="360"/>
      </w:pPr>
      <w:rPr>
        <w:rFonts w:ascii="Wingdings" w:hAnsi="Wingdings" w:hint="default"/>
      </w:rPr>
    </w:lvl>
    <w:lvl w:ilvl="6" w:tplc="041F0001" w:tentative="1">
      <w:start w:val="1"/>
      <w:numFmt w:val="bullet"/>
      <w:lvlText w:val=""/>
      <w:lvlJc w:val="left"/>
      <w:pPr>
        <w:ind w:left="5720" w:hanging="360"/>
      </w:pPr>
      <w:rPr>
        <w:rFonts w:ascii="Symbol" w:hAnsi="Symbol" w:hint="default"/>
      </w:rPr>
    </w:lvl>
    <w:lvl w:ilvl="7" w:tplc="041F0003" w:tentative="1">
      <w:start w:val="1"/>
      <w:numFmt w:val="bullet"/>
      <w:lvlText w:val="o"/>
      <w:lvlJc w:val="left"/>
      <w:pPr>
        <w:ind w:left="6440" w:hanging="360"/>
      </w:pPr>
      <w:rPr>
        <w:rFonts w:ascii="Courier New" w:hAnsi="Courier New" w:cs="Courier New" w:hint="default"/>
      </w:rPr>
    </w:lvl>
    <w:lvl w:ilvl="8" w:tplc="041F0005" w:tentative="1">
      <w:start w:val="1"/>
      <w:numFmt w:val="bullet"/>
      <w:lvlText w:val=""/>
      <w:lvlJc w:val="left"/>
      <w:pPr>
        <w:ind w:left="7160" w:hanging="360"/>
      </w:pPr>
      <w:rPr>
        <w:rFonts w:ascii="Wingdings" w:hAnsi="Wingdings" w:hint="default"/>
      </w:rPr>
    </w:lvl>
  </w:abstractNum>
  <w:abstractNum w:abstractNumId="3" w15:restartNumberingAfterBreak="0">
    <w:nsid w:val="16A16530"/>
    <w:multiLevelType w:val="multilevel"/>
    <w:tmpl w:val="C4D6E16E"/>
    <w:styleLink w:val="Stil1"/>
    <w:lvl w:ilvl="0">
      <w:start w:val="1"/>
      <w:numFmt w:val="decimal"/>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EC35A12"/>
    <w:multiLevelType w:val="hybridMultilevel"/>
    <w:tmpl w:val="7C985944"/>
    <w:lvl w:ilvl="0" w:tplc="BA34F374">
      <w:start w:val="1"/>
      <w:numFmt w:val="decimal"/>
      <w:lvlText w:val="2.%1"/>
      <w:lvlJc w:val="left"/>
      <w:pPr>
        <w:ind w:left="2080" w:hanging="360"/>
      </w:pPr>
      <w:rPr>
        <w:rFonts w:hint="default"/>
      </w:rPr>
    </w:lvl>
    <w:lvl w:ilvl="1" w:tplc="041F0019" w:tentative="1">
      <w:start w:val="1"/>
      <w:numFmt w:val="lowerLetter"/>
      <w:lvlText w:val="%2."/>
      <w:lvlJc w:val="left"/>
      <w:pPr>
        <w:ind w:left="2800" w:hanging="360"/>
      </w:pPr>
    </w:lvl>
    <w:lvl w:ilvl="2" w:tplc="041F001B" w:tentative="1">
      <w:start w:val="1"/>
      <w:numFmt w:val="lowerRoman"/>
      <w:lvlText w:val="%3."/>
      <w:lvlJc w:val="right"/>
      <w:pPr>
        <w:ind w:left="3520" w:hanging="180"/>
      </w:pPr>
    </w:lvl>
    <w:lvl w:ilvl="3" w:tplc="041F000F" w:tentative="1">
      <w:start w:val="1"/>
      <w:numFmt w:val="decimal"/>
      <w:lvlText w:val="%4."/>
      <w:lvlJc w:val="left"/>
      <w:pPr>
        <w:ind w:left="4240" w:hanging="360"/>
      </w:pPr>
    </w:lvl>
    <w:lvl w:ilvl="4" w:tplc="041F0019" w:tentative="1">
      <w:start w:val="1"/>
      <w:numFmt w:val="lowerLetter"/>
      <w:lvlText w:val="%5."/>
      <w:lvlJc w:val="left"/>
      <w:pPr>
        <w:ind w:left="4960" w:hanging="360"/>
      </w:pPr>
    </w:lvl>
    <w:lvl w:ilvl="5" w:tplc="041F001B" w:tentative="1">
      <w:start w:val="1"/>
      <w:numFmt w:val="lowerRoman"/>
      <w:lvlText w:val="%6."/>
      <w:lvlJc w:val="right"/>
      <w:pPr>
        <w:ind w:left="5680" w:hanging="180"/>
      </w:pPr>
    </w:lvl>
    <w:lvl w:ilvl="6" w:tplc="041F000F" w:tentative="1">
      <w:start w:val="1"/>
      <w:numFmt w:val="decimal"/>
      <w:lvlText w:val="%7."/>
      <w:lvlJc w:val="left"/>
      <w:pPr>
        <w:ind w:left="6400" w:hanging="360"/>
      </w:pPr>
    </w:lvl>
    <w:lvl w:ilvl="7" w:tplc="041F0019" w:tentative="1">
      <w:start w:val="1"/>
      <w:numFmt w:val="lowerLetter"/>
      <w:lvlText w:val="%8."/>
      <w:lvlJc w:val="left"/>
      <w:pPr>
        <w:ind w:left="7120" w:hanging="360"/>
      </w:pPr>
    </w:lvl>
    <w:lvl w:ilvl="8" w:tplc="041F001B" w:tentative="1">
      <w:start w:val="1"/>
      <w:numFmt w:val="lowerRoman"/>
      <w:lvlText w:val="%9."/>
      <w:lvlJc w:val="right"/>
      <w:pPr>
        <w:ind w:left="7840" w:hanging="180"/>
      </w:pPr>
    </w:lvl>
  </w:abstractNum>
  <w:abstractNum w:abstractNumId="5" w15:restartNumberingAfterBreak="0">
    <w:nsid w:val="2023147A"/>
    <w:multiLevelType w:val="multilevel"/>
    <w:tmpl w:val="F342E872"/>
    <w:styleLink w:val="Stil2"/>
    <w:lvl w:ilvl="0">
      <w:start w:val="2"/>
      <w:numFmt w:val="decimal"/>
      <w:lvlText w:val="%1)"/>
      <w:lvlJc w:val="left"/>
      <w:pPr>
        <w:ind w:left="1080" w:hanging="360"/>
      </w:pPr>
      <w:rPr>
        <w:rFonts w:hint="default"/>
      </w:rPr>
    </w:lvl>
    <w:lvl w:ilvl="1">
      <w:start w:val="1"/>
      <w:numFmt w:val="none"/>
      <w:lvlText w:val="4."/>
      <w:lvlJc w:val="left"/>
      <w:pPr>
        <w:ind w:left="1440" w:hanging="360"/>
      </w:pPr>
      <w:rPr>
        <w:rFonts w:hint="default"/>
      </w:rPr>
    </w:lvl>
    <w:lvl w:ilvl="2">
      <w:start w:val="1"/>
      <w:numFmt w:val="none"/>
      <w:lvlText w:val="1."/>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 w15:restartNumberingAfterBreak="0">
    <w:nsid w:val="21B669C7"/>
    <w:multiLevelType w:val="hybridMultilevel"/>
    <w:tmpl w:val="C5805F40"/>
    <w:lvl w:ilvl="0" w:tplc="041F000F">
      <w:start w:val="1"/>
      <w:numFmt w:val="decimal"/>
      <w:lvlText w:val="%1."/>
      <w:lvlJc w:val="left"/>
      <w:pPr>
        <w:ind w:left="3912" w:hanging="360"/>
      </w:pPr>
    </w:lvl>
    <w:lvl w:ilvl="1" w:tplc="041F0019" w:tentative="1">
      <w:start w:val="1"/>
      <w:numFmt w:val="lowerLetter"/>
      <w:lvlText w:val="%2."/>
      <w:lvlJc w:val="left"/>
      <w:pPr>
        <w:ind w:left="4632" w:hanging="360"/>
      </w:pPr>
    </w:lvl>
    <w:lvl w:ilvl="2" w:tplc="041F001B" w:tentative="1">
      <w:start w:val="1"/>
      <w:numFmt w:val="lowerRoman"/>
      <w:lvlText w:val="%3."/>
      <w:lvlJc w:val="right"/>
      <w:pPr>
        <w:ind w:left="5352" w:hanging="180"/>
      </w:pPr>
    </w:lvl>
    <w:lvl w:ilvl="3" w:tplc="041F000F" w:tentative="1">
      <w:start w:val="1"/>
      <w:numFmt w:val="decimal"/>
      <w:lvlText w:val="%4."/>
      <w:lvlJc w:val="left"/>
      <w:pPr>
        <w:ind w:left="6072" w:hanging="360"/>
      </w:pPr>
    </w:lvl>
    <w:lvl w:ilvl="4" w:tplc="041F0019" w:tentative="1">
      <w:start w:val="1"/>
      <w:numFmt w:val="lowerLetter"/>
      <w:lvlText w:val="%5."/>
      <w:lvlJc w:val="left"/>
      <w:pPr>
        <w:ind w:left="6792" w:hanging="360"/>
      </w:pPr>
    </w:lvl>
    <w:lvl w:ilvl="5" w:tplc="041F001B" w:tentative="1">
      <w:start w:val="1"/>
      <w:numFmt w:val="lowerRoman"/>
      <w:lvlText w:val="%6."/>
      <w:lvlJc w:val="right"/>
      <w:pPr>
        <w:ind w:left="7512" w:hanging="180"/>
      </w:pPr>
    </w:lvl>
    <w:lvl w:ilvl="6" w:tplc="041F000F" w:tentative="1">
      <w:start w:val="1"/>
      <w:numFmt w:val="decimal"/>
      <w:lvlText w:val="%7."/>
      <w:lvlJc w:val="left"/>
      <w:pPr>
        <w:ind w:left="8232" w:hanging="360"/>
      </w:pPr>
    </w:lvl>
    <w:lvl w:ilvl="7" w:tplc="041F0019" w:tentative="1">
      <w:start w:val="1"/>
      <w:numFmt w:val="lowerLetter"/>
      <w:lvlText w:val="%8."/>
      <w:lvlJc w:val="left"/>
      <w:pPr>
        <w:ind w:left="8952" w:hanging="360"/>
      </w:pPr>
    </w:lvl>
    <w:lvl w:ilvl="8" w:tplc="041F001B" w:tentative="1">
      <w:start w:val="1"/>
      <w:numFmt w:val="lowerRoman"/>
      <w:lvlText w:val="%9."/>
      <w:lvlJc w:val="right"/>
      <w:pPr>
        <w:ind w:left="9672" w:hanging="180"/>
      </w:pPr>
    </w:lvl>
  </w:abstractNum>
  <w:abstractNum w:abstractNumId="7" w15:restartNumberingAfterBreak="0">
    <w:nsid w:val="26D91904"/>
    <w:multiLevelType w:val="hybridMultilevel"/>
    <w:tmpl w:val="7F80DFC2"/>
    <w:lvl w:ilvl="0" w:tplc="BA34F374">
      <w:start w:val="1"/>
      <w:numFmt w:val="decimal"/>
      <w:lvlText w:val="2.%1"/>
      <w:lvlJc w:val="left"/>
      <w:pPr>
        <w:ind w:left="2080" w:hanging="360"/>
      </w:pPr>
      <w:rPr>
        <w:rFonts w:hint="default"/>
      </w:rPr>
    </w:lvl>
    <w:lvl w:ilvl="1" w:tplc="041F0019" w:tentative="1">
      <w:start w:val="1"/>
      <w:numFmt w:val="lowerLetter"/>
      <w:lvlText w:val="%2."/>
      <w:lvlJc w:val="left"/>
      <w:pPr>
        <w:ind w:left="2800" w:hanging="360"/>
      </w:pPr>
    </w:lvl>
    <w:lvl w:ilvl="2" w:tplc="041F001B" w:tentative="1">
      <w:start w:val="1"/>
      <w:numFmt w:val="lowerRoman"/>
      <w:lvlText w:val="%3."/>
      <w:lvlJc w:val="right"/>
      <w:pPr>
        <w:ind w:left="3520" w:hanging="180"/>
      </w:pPr>
    </w:lvl>
    <w:lvl w:ilvl="3" w:tplc="041F000F" w:tentative="1">
      <w:start w:val="1"/>
      <w:numFmt w:val="decimal"/>
      <w:lvlText w:val="%4."/>
      <w:lvlJc w:val="left"/>
      <w:pPr>
        <w:ind w:left="4240" w:hanging="360"/>
      </w:pPr>
    </w:lvl>
    <w:lvl w:ilvl="4" w:tplc="041F0019" w:tentative="1">
      <w:start w:val="1"/>
      <w:numFmt w:val="lowerLetter"/>
      <w:lvlText w:val="%5."/>
      <w:lvlJc w:val="left"/>
      <w:pPr>
        <w:ind w:left="4960" w:hanging="360"/>
      </w:pPr>
    </w:lvl>
    <w:lvl w:ilvl="5" w:tplc="041F001B" w:tentative="1">
      <w:start w:val="1"/>
      <w:numFmt w:val="lowerRoman"/>
      <w:lvlText w:val="%6."/>
      <w:lvlJc w:val="right"/>
      <w:pPr>
        <w:ind w:left="5680" w:hanging="180"/>
      </w:pPr>
    </w:lvl>
    <w:lvl w:ilvl="6" w:tplc="041F000F" w:tentative="1">
      <w:start w:val="1"/>
      <w:numFmt w:val="decimal"/>
      <w:lvlText w:val="%7."/>
      <w:lvlJc w:val="left"/>
      <w:pPr>
        <w:ind w:left="6400" w:hanging="360"/>
      </w:pPr>
    </w:lvl>
    <w:lvl w:ilvl="7" w:tplc="041F0019" w:tentative="1">
      <w:start w:val="1"/>
      <w:numFmt w:val="lowerLetter"/>
      <w:lvlText w:val="%8."/>
      <w:lvlJc w:val="left"/>
      <w:pPr>
        <w:ind w:left="7120" w:hanging="360"/>
      </w:pPr>
    </w:lvl>
    <w:lvl w:ilvl="8" w:tplc="041F001B" w:tentative="1">
      <w:start w:val="1"/>
      <w:numFmt w:val="lowerRoman"/>
      <w:lvlText w:val="%9."/>
      <w:lvlJc w:val="right"/>
      <w:pPr>
        <w:ind w:left="7840" w:hanging="180"/>
      </w:pPr>
    </w:lvl>
  </w:abstractNum>
  <w:abstractNum w:abstractNumId="8" w15:restartNumberingAfterBreak="0">
    <w:nsid w:val="32297ACC"/>
    <w:multiLevelType w:val="hybridMultilevel"/>
    <w:tmpl w:val="682CC8E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23B365E"/>
    <w:multiLevelType w:val="hybridMultilevel"/>
    <w:tmpl w:val="DBE8ED02"/>
    <w:lvl w:ilvl="0" w:tplc="855A33D4">
      <w:start w:val="1"/>
      <w:numFmt w:val="decimal"/>
      <w:lvlText w:val="3.1.%1"/>
      <w:lvlJc w:val="left"/>
      <w:pPr>
        <w:ind w:left="2109" w:hanging="360"/>
      </w:pPr>
      <w:rPr>
        <w:rFonts w:hint="default"/>
      </w:rPr>
    </w:lvl>
    <w:lvl w:ilvl="1" w:tplc="041F0019" w:tentative="1">
      <w:start w:val="1"/>
      <w:numFmt w:val="lowerLetter"/>
      <w:lvlText w:val="%2."/>
      <w:lvlJc w:val="left"/>
      <w:pPr>
        <w:ind w:left="2829" w:hanging="360"/>
      </w:pPr>
    </w:lvl>
    <w:lvl w:ilvl="2" w:tplc="041F001B" w:tentative="1">
      <w:start w:val="1"/>
      <w:numFmt w:val="lowerRoman"/>
      <w:lvlText w:val="%3."/>
      <w:lvlJc w:val="right"/>
      <w:pPr>
        <w:ind w:left="3549" w:hanging="180"/>
      </w:pPr>
    </w:lvl>
    <w:lvl w:ilvl="3" w:tplc="041F000F" w:tentative="1">
      <w:start w:val="1"/>
      <w:numFmt w:val="decimal"/>
      <w:lvlText w:val="%4."/>
      <w:lvlJc w:val="left"/>
      <w:pPr>
        <w:ind w:left="4269" w:hanging="360"/>
      </w:pPr>
    </w:lvl>
    <w:lvl w:ilvl="4" w:tplc="041F0019" w:tentative="1">
      <w:start w:val="1"/>
      <w:numFmt w:val="lowerLetter"/>
      <w:lvlText w:val="%5."/>
      <w:lvlJc w:val="left"/>
      <w:pPr>
        <w:ind w:left="4989" w:hanging="360"/>
      </w:pPr>
    </w:lvl>
    <w:lvl w:ilvl="5" w:tplc="041F001B" w:tentative="1">
      <w:start w:val="1"/>
      <w:numFmt w:val="lowerRoman"/>
      <w:lvlText w:val="%6."/>
      <w:lvlJc w:val="right"/>
      <w:pPr>
        <w:ind w:left="5709" w:hanging="180"/>
      </w:pPr>
    </w:lvl>
    <w:lvl w:ilvl="6" w:tplc="041F000F" w:tentative="1">
      <w:start w:val="1"/>
      <w:numFmt w:val="decimal"/>
      <w:lvlText w:val="%7."/>
      <w:lvlJc w:val="left"/>
      <w:pPr>
        <w:ind w:left="6429" w:hanging="360"/>
      </w:pPr>
    </w:lvl>
    <w:lvl w:ilvl="7" w:tplc="041F0019" w:tentative="1">
      <w:start w:val="1"/>
      <w:numFmt w:val="lowerLetter"/>
      <w:lvlText w:val="%8."/>
      <w:lvlJc w:val="left"/>
      <w:pPr>
        <w:ind w:left="7149" w:hanging="360"/>
      </w:pPr>
    </w:lvl>
    <w:lvl w:ilvl="8" w:tplc="041F001B" w:tentative="1">
      <w:start w:val="1"/>
      <w:numFmt w:val="lowerRoman"/>
      <w:lvlText w:val="%9."/>
      <w:lvlJc w:val="right"/>
      <w:pPr>
        <w:ind w:left="7869" w:hanging="180"/>
      </w:pPr>
    </w:lvl>
  </w:abstractNum>
  <w:abstractNum w:abstractNumId="10" w15:restartNumberingAfterBreak="0">
    <w:nsid w:val="388D4700"/>
    <w:multiLevelType w:val="hybridMultilevel"/>
    <w:tmpl w:val="2A9CFC2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D883902"/>
    <w:multiLevelType w:val="hybridMultilevel"/>
    <w:tmpl w:val="BB08927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43BA6ED3"/>
    <w:multiLevelType w:val="hybridMultilevel"/>
    <w:tmpl w:val="3A902E8C"/>
    <w:lvl w:ilvl="0" w:tplc="2FCE4580">
      <w:start w:val="1"/>
      <w:numFmt w:val="decimal"/>
      <w:lvlText w:val="%1-"/>
      <w:lvlJc w:val="left"/>
      <w:pPr>
        <w:ind w:left="1040" w:hanging="360"/>
      </w:pPr>
      <w:rPr>
        <w:rFonts w:hint="default"/>
        <w:b w:val="0"/>
        <w:sz w:val="24"/>
      </w:rPr>
    </w:lvl>
    <w:lvl w:ilvl="1" w:tplc="041F0019" w:tentative="1">
      <w:start w:val="1"/>
      <w:numFmt w:val="lowerLetter"/>
      <w:lvlText w:val="%2."/>
      <w:lvlJc w:val="left"/>
      <w:pPr>
        <w:ind w:left="1760" w:hanging="360"/>
      </w:pPr>
    </w:lvl>
    <w:lvl w:ilvl="2" w:tplc="041F001B" w:tentative="1">
      <w:start w:val="1"/>
      <w:numFmt w:val="lowerRoman"/>
      <w:lvlText w:val="%3."/>
      <w:lvlJc w:val="right"/>
      <w:pPr>
        <w:ind w:left="2480" w:hanging="180"/>
      </w:pPr>
    </w:lvl>
    <w:lvl w:ilvl="3" w:tplc="041F000F" w:tentative="1">
      <w:start w:val="1"/>
      <w:numFmt w:val="decimal"/>
      <w:lvlText w:val="%4."/>
      <w:lvlJc w:val="left"/>
      <w:pPr>
        <w:ind w:left="3200" w:hanging="360"/>
      </w:pPr>
    </w:lvl>
    <w:lvl w:ilvl="4" w:tplc="041F0019" w:tentative="1">
      <w:start w:val="1"/>
      <w:numFmt w:val="lowerLetter"/>
      <w:lvlText w:val="%5."/>
      <w:lvlJc w:val="left"/>
      <w:pPr>
        <w:ind w:left="3920" w:hanging="360"/>
      </w:pPr>
    </w:lvl>
    <w:lvl w:ilvl="5" w:tplc="041F001B" w:tentative="1">
      <w:start w:val="1"/>
      <w:numFmt w:val="lowerRoman"/>
      <w:lvlText w:val="%6."/>
      <w:lvlJc w:val="right"/>
      <w:pPr>
        <w:ind w:left="4640" w:hanging="180"/>
      </w:pPr>
    </w:lvl>
    <w:lvl w:ilvl="6" w:tplc="041F000F" w:tentative="1">
      <w:start w:val="1"/>
      <w:numFmt w:val="decimal"/>
      <w:lvlText w:val="%7."/>
      <w:lvlJc w:val="left"/>
      <w:pPr>
        <w:ind w:left="5360" w:hanging="360"/>
      </w:pPr>
    </w:lvl>
    <w:lvl w:ilvl="7" w:tplc="041F0019" w:tentative="1">
      <w:start w:val="1"/>
      <w:numFmt w:val="lowerLetter"/>
      <w:lvlText w:val="%8."/>
      <w:lvlJc w:val="left"/>
      <w:pPr>
        <w:ind w:left="6080" w:hanging="360"/>
      </w:pPr>
    </w:lvl>
    <w:lvl w:ilvl="8" w:tplc="041F001B" w:tentative="1">
      <w:start w:val="1"/>
      <w:numFmt w:val="lowerRoman"/>
      <w:lvlText w:val="%9."/>
      <w:lvlJc w:val="right"/>
      <w:pPr>
        <w:ind w:left="6800" w:hanging="180"/>
      </w:pPr>
    </w:lvl>
  </w:abstractNum>
  <w:abstractNum w:abstractNumId="13" w15:restartNumberingAfterBreak="0">
    <w:nsid w:val="44814D3B"/>
    <w:multiLevelType w:val="multilevel"/>
    <w:tmpl w:val="3B5ECE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D17438C"/>
    <w:multiLevelType w:val="hybridMultilevel"/>
    <w:tmpl w:val="1D22FCBE"/>
    <w:lvl w:ilvl="0" w:tplc="8E783734">
      <w:start w:val="1"/>
      <w:numFmt w:val="decimal"/>
      <w:lvlText w:val="3.%1"/>
      <w:lvlJc w:val="left"/>
      <w:pPr>
        <w:ind w:left="2080" w:hanging="360"/>
      </w:pPr>
      <w:rPr>
        <w:rFonts w:hint="default"/>
      </w:rPr>
    </w:lvl>
    <w:lvl w:ilvl="1" w:tplc="041F0019" w:tentative="1">
      <w:start w:val="1"/>
      <w:numFmt w:val="lowerLetter"/>
      <w:lvlText w:val="%2."/>
      <w:lvlJc w:val="left"/>
      <w:pPr>
        <w:ind w:left="2800" w:hanging="360"/>
      </w:pPr>
    </w:lvl>
    <w:lvl w:ilvl="2" w:tplc="041F001B" w:tentative="1">
      <w:start w:val="1"/>
      <w:numFmt w:val="lowerRoman"/>
      <w:lvlText w:val="%3."/>
      <w:lvlJc w:val="right"/>
      <w:pPr>
        <w:ind w:left="3520" w:hanging="180"/>
      </w:pPr>
    </w:lvl>
    <w:lvl w:ilvl="3" w:tplc="041F000F" w:tentative="1">
      <w:start w:val="1"/>
      <w:numFmt w:val="decimal"/>
      <w:lvlText w:val="%4."/>
      <w:lvlJc w:val="left"/>
      <w:pPr>
        <w:ind w:left="4240" w:hanging="360"/>
      </w:pPr>
    </w:lvl>
    <w:lvl w:ilvl="4" w:tplc="041F0019" w:tentative="1">
      <w:start w:val="1"/>
      <w:numFmt w:val="lowerLetter"/>
      <w:lvlText w:val="%5."/>
      <w:lvlJc w:val="left"/>
      <w:pPr>
        <w:ind w:left="4960" w:hanging="360"/>
      </w:pPr>
    </w:lvl>
    <w:lvl w:ilvl="5" w:tplc="041F001B" w:tentative="1">
      <w:start w:val="1"/>
      <w:numFmt w:val="lowerRoman"/>
      <w:lvlText w:val="%6."/>
      <w:lvlJc w:val="right"/>
      <w:pPr>
        <w:ind w:left="5680" w:hanging="180"/>
      </w:pPr>
    </w:lvl>
    <w:lvl w:ilvl="6" w:tplc="041F000F" w:tentative="1">
      <w:start w:val="1"/>
      <w:numFmt w:val="decimal"/>
      <w:lvlText w:val="%7."/>
      <w:lvlJc w:val="left"/>
      <w:pPr>
        <w:ind w:left="6400" w:hanging="360"/>
      </w:pPr>
    </w:lvl>
    <w:lvl w:ilvl="7" w:tplc="041F0019" w:tentative="1">
      <w:start w:val="1"/>
      <w:numFmt w:val="lowerLetter"/>
      <w:lvlText w:val="%8."/>
      <w:lvlJc w:val="left"/>
      <w:pPr>
        <w:ind w:left="7120" w:hanging="360"/>
      </w:pPr>
    </w:lvl>
    <w:lvl w:ilvl="8" w:tplc="041F001B" w:tentative="1">
      <w:start w:val="1"/>
      <w:numFmt w:val="lowerRoman"/>
      <w:lvlText w:val="%9."/>
      <w:lvlJc w:val="right"/>
      <w:pPr>
        <w:ind w:left="7840" w:hanging="180"/>
      </w:pPr>
    </w:lvl>
  </w:abstractNum>
  <w:abstractNum w:abstractNumId="15" w15:restartNumberingAfterBreak="0">
    <w:nsid w:val="50686357"/>
    <w:multiLevelType w:val="multilevel"/>
    <w:tmpl w:val="3604AD4C"/>
    <w:lvl w:ilvl="0">
      <w:start w:val="2"/>
      <w:numFmt w:val="decimal"/>
      <w:lvlText w:val="%1"/>
      <w:lvlJc w:val="left"/>
      <w:pPr>
        <w:ind w:left="480" w:hanging="480"/>
      </w:pPr>
      <w:rPr>
        <w:rFonts w:hint="default"/>
      </w:rPr>
    </w:lvl>
    <w:lvl w:ilvl="1">
      <w:start w:val="7"/>
      <w:numFmt w:val="decimal"/>
      <w:lvlText w:val="%1.%2"/>
      <w:lvlJc w:val="left"/>
      <w:pPr>
        <w:ind w:left="1452" w:hanging="480"/>
      </w:pPr>
      <w:rPr>
        <w:rFonts w:hint="default"/>
      </w:rPr>
    </w:lvl>
    <w:lvl w:ilvl="2">
      <w:start w:val="1"/>
      <w:numFmt w:val="decimal"/>
      <w:lvlText w:val="%1.%2.%3"/>
      <w:lvlJc w:val="left"/>
      <w:pPr>
        <w:ind w:left="2664" w:hanging="720"/>
      </w:pPr>
      <w:rPr>
        <w:rFonts w:hint="default"/>
      </w:rPr>
    </w:lvl>
    <w:lvl w:ilvl="3">
      <w:start w:val="1"/>
      <w:numFmt w:val="decimal"/>
      <w:lvlText w:val="%1.%2.%3.%4"/>
      <w:lvlJc w:val="left"/>
      <w:pPr>
        <w:ind w:left="3636" w:hanging="720"/>
      </w:pPr>
      <w:rPr>
        <w:rFonts w:hint="default"/>
      </w:rPr>
    </w:lvl>
    <w:lvl w:ilvl="4">
      <w:start w:val="1"/>
      <w:numFmt w:val="decimal"/>
      <w:lvlText w:val="%1.%2.%3.%4.%5"/>
      <w:lvlJc w:val="left"/>
      <w:pPr>
        <w:ind w:left="4968" w:hanging="1080"/>
      </w:pPr>
      <w:rPr>
        <w:rFonts w:hint="default"/>
      </w:rPr>
    </w:lvl>
    <w:lvl w:ilvl="5">
      <w:start w:val="1"/>
      <w:numFmt w:val="decimal"/>
      <w:lvlText w:val="%1.%2.%3.%4.%5.%6"/>
      <w:lvlJc w:val="left"/>
      <w:pPr>
        <w:ind w:left="5940" w:hanging="1080"/>
      </w:pPr>
      <w:rPr>
        <w:rFonts w:hint="default"/>
      </w:rPr>
    </w:lvl>
    <w:lvl w:ilvl="6">
      <w:start w:val="1"/>
      <w:numFmt w:val="decimal"/>
      <w:lvlText w:val="%1.%2.%3.%4.%5.%6.%7"/>
      <w:lvlJc w:val="left"/>
      <w:pPr>
        <w:ind w:left="7272" w:hanging="1440"/>
      </w:pPr>
      <w:rPr>
        <w:rFonts w:hint="default"/>
      </w:rPr>
    </w:lvl>
    <w:lvl w:ilvl="7">
      <w:start w:val="1"/>
      <w:numFmt w:val="decimal"/>
      <w:lvlText w:val="%1.%2.%3.%4.%5.%6.%7.%8"/>
      <w:lvlJc w:val="left"/>
      <w:pPr>
        <w:ind w:left="8244" w:hanging="1440"/>
      </w:pPr>
      <w:rPr>
        <w:rFonts w:hint="default"/>
      </w:rPr>
    </w:lvl>
    <w:lvl w:ilvl="8">
      <w:start w:val="1"/>
      <w:numFmt w:val="decimal"/>
      <w:lvlText w:val="%1.%2.%3.%4.%5.%6.%7.%8.%9"/>
      <w:lvlJc w:val="left"/>
      <w:pPr>
        <w:ind w:left="9576" w:hanging="1800"/>
      </w:pPr>
      <w:rPr>
        <w:rFonts w:hint="default"/>
      </w:rPr>
    </w:lvl>
  </w:abstractNum>
  <w:abstractNum w:abstractNumId="16" w15:restartNumberingAfterBreak="0">
    <w:nsid w:val="5C9C112E"/>
    <w:multiLevelType w:val="multilevel"/>
    <w:tmpl w:val="93CEC856"/>
    <w:lvl w:ilvl="0">
      <w:start w:val="1"/>
      <w:numFmt w:val="decimal"/>
      <w:lvlText w:val="%1"/>
      <w:lvlJc w:val="left"/>
      <w:pPr>
        <w:ind w:left="432" w:hanging="432"/>
      </w:pPr>
      <w:rPr>
        <w:rFonts w:hint="default"/>
      </w:rPr>
    </w:lvl>
    <w:lvl w:ilvl="1">
      <w:start w:val="1"/>
      <w:numFmt w:val="decimal"/>
      <w:pStyle w:val="Balk2"/>
      <w:lvlText w:val="%1.%2"/>
      <w:lvlJc w:val="left"/>
      <w:pPr>
        <w:ind w:left="576" w:hanging="576"/>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alk3"/>
      <w:lvlText w:val="2.9.%3"/>
      <w:lvlJc w:val="left"/>
      <w:pPr>
        <w:ind w:left="720" w:hanging="720"/>
      </w:pPr>
      <w:rPr>
        <w:rFonts w:hint="default"/>
      </w:rPr>
    </w:lvl>
    <w:lvl w:ilvl="3">
      <w:start w:val="1"/>
      <w:numFmt w:val="decimal"/>
      <w:pStyle w:val="Balk4"/>
      <w:lvlText w:val="%1.%2.%3.%4"/>
      <w:lvlJc w:val="left"/>
      <w:pPr>
        <w:ind w:left="864" w:hanging="864"/>
      </w:pPr>
      <w:rPr>
        <w:rFonts w:hint="default"/>
      </w:rPr>
    </w:lvl>
    <w:lvl w:ilvl="4">
      <w:start w:val="1"/>
      <w:numFmt w:val="decimal"/>
      <w:pStyle w:val="Balk5"/>
      <w:lvlText w:val="%1.%2.%3.%4.%5"/>
      <w:lvlJc w:val="left"/>
      <w:pPr>
        <w:ind w:left="1008" w:hanging="1008"/>
      </w:pPr>
      <w:rPr>
        <w:rFonts w:hint="default"/>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17" w15:restartNumberingAfterBreak="0">
    <w:nsid w:val="73AF5A96"/>
    <w:multiLevelType w:val="hybridMultilevel"/>
    <w:tmpl w:val="7AE8AACA"/>
    <w:lvl w:ilvl="0" w:tplc="041F0001">
      <w:start w:val="8"/>
      <w:numFmt w:val="bullet"/>
      <w:lvlText w:val=""/>
      <w:lvlJc w:val="left"/>
      <w:pPr>
        <w:ind w:left="720" w:hanging="360"/>
      </w:pPr>
      <w:rPr>
        <w:rFonts w:ascii="Symbol" w:eastAsia="Times New Roman"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76573200"/>
    <w:multiLevelType w:val="multilevel"/>
    <w:tmpl w:val="79A41D32"/>
    <w:lvl w:ilvl="0">
      <w:start w:val="1"/>
      <w:numFmt w:val="decimal"/>
      <w:lvlText w:val="2.3.%1"/>
      <w:lvlJc w:val="left"/>
      <w:pPr>
        <w:ind w:left="1429" w:hanging="360"/>
      </w:pPr>
      <w:rPr>
        <w:rFonts w:hint="default"/>
      </w:rPr>
    </w:lvl>
    <w:lvl w:ilvl="1">
      <w:start w:val="1"/>
      <w:numFmt w:val="lowerLetter"/>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19" w15:restartNumberingAfterBreak="0">
    <w:nsid w:val="7C3F5B55"/>
    <w:multiLevelType w:val="hybridMultilevel"/>
    <w:tmpl w:val="ABC898C2"/>
    <w:lvl w:ilvl="0" w:tplc="2FCE4580">
      <w:start w:val="1"/>
      <w:numFmt w:val="decimal"/>
      <w:lvlText w:val="%1-"/>
      <w:lvlJc w:val="left"/>
      <w:pPr>
        <w:ind w:left="1040" w:hanging="360"/>
      </w:pPr>
      <w:rPr>
        <w:rFonts w:hint="default"/>
        <w:b w:val="0"/>
        <w:sz w:val="24"/>
      </w:rPr>
    </w:lvl>
    <w:lvl w:ilvl="1" w:tplc="041F0019" w:tentative="1">
      <w:start w:val="1"/>
      <w:numFmt w:val="lowerLetter"/>
      <w:lvlText w:val="%2."/>
      <w:lvlJc w:val="left"/>
      <w:pPr>
        <w:ind w:left="1760" w:hanging="360"/>
      </w:pPr>
    </w:lvl>
    <w:lvl w:ilvl="2" w:tplc="041F001B" w:tentative="1">
      <w:start w:val="1"/>
      <w:numFmt w:val="lowerRoman"/>
      <w:lvlText w:val="%3."/>
      <w:lvlJc w:val="right"/>
      <w:pPr>
        <w:ind w:left="2480" w:hanging="180"/>
      </w:pPr>
    </w:lvl>
    <w:lvl w:ilvl="3" w:tplc="041F000F" w:tentative="1">
      <w:start w:val="1"/>
      <w:numFmt w:val="decimal"/>
      <w:lvlText w:val="%4."/>
      <w:lvlJc w:val="left"/>
      <w:pPr>
        <w:ind w:left="3200" w:hanging="360"/>
      </w:pPr>
    </w:lvl>
    <w:lvl w:ilvl="4" w:tplc="041F0019" w:tentative="1">
      <w:start w:val="1"/>
      <w:numFmt w:val="lowerLetter"/>
      <w:lvlText w:val="%5."/>
      <w:lvlJc w:val="left"/>
      <w:pPr>
        <w:ind w:left="3920" w:hanging="360"/>
      </w:pPr>
    </w:lvl>
    <w:lvl w:ilvl="5" w:tplc="041F001B" w:tentative="1">
      <w:start w:val="1"/>
      <w:numFmt w:val="lowerRoman"/>
      <w:lvlText w:val="%6."/>
      <w:lvlJc w:val="right"/>
      <w:pPr>
        <w:ind w:left="4640" w:hanging="180"/>
      </w:pPr>
    </w:lvl>
    <w:lvl w:ilvl="6" w:tplc="041F000F" w:tentative="1">
      <w:start w:val="1"/>
      <w:numFmt w:val="decimal"/>
      <w:lvlText w:val="%7."/>
      <w:lvlJc w:val="left"/>
      <w:pPr>
        <w:ind w:left="5360" w:hanging="360"/>
      </w:pPr>
    </w:lvl>
    <w:lvl w:ilvl="7" w:tplc="041F0019" w:tentative="1">
      <w:start w:val="1"/>
      <w:numFmt w:val="lowerLetter"/>
      <w:lvlText w:val="%8."/>
      <w:lvlJc w:val="left"/>
      <w:pPr>
        <w:ind w:left="6080" w:hanging="360"/>
      </w:pPr>
    </w:lvl>
    <w:lvl w:ilvl="8" w:tplc="041F001B" w:tentative="1">
      <w:start w:val="1"/>
      <w:numFmt w:val="lowerRoman"/>
      <w:lvlText w:val="%9."/>
      <w:lvlJc w:val="right"/>
      <w:pPr>
        <w:ind w:left="6800" w:hanging="180"/>
      </w:pPr>
    </w:lvl>
  </w:abstractNum>
  <w:num w:numId="1">
    <w:abstractNumId w:val="3"/>
  </w:num>
  <w:num w:numId="2">
    <w:abstractNumId w:val="5"/>
  </w:num>
  <w:num w:numId="3">
    <w:abstractNumId w:val="15"/>
  </w:num>
  <w:num w:numId="4">
    <w:abstractNumId w:val="1"/>
  </w:num>
  <w:num w:numId="5">
    <w:abstractNumId w:val="14"/>
  </w:num>
  <w:num w:numId="6">
    <w:abstractNumId w:val="9"/>
  </w:num>
  <w:num w:numId="7">
    <w:abstractNumId w:val="11"/>
  </w:num>
  <w:num w:numId="8">
    <w:abstractNumId w:val="7"/>
  </w:num>
  <w:num w:numId="9">
    <w:abstractNumId w:val="18"/>
  </w:num>
  <w:num w:numId="10">
    <w:abstractNumId w:val="0"/>
  </w:num>
  <w:num w:numId="11">
    <w:abstractNumId w:val="16"/>
  </w:num>
  <w:num w:numId="12">
    <w:abstractNumId w:val="4"/>
  </w:num>
  <w:num w:numId="13">
    <w:abstractNumId w:val="6"/>
  </w:num>
  <w:num w:numId="14">
    <w:abstractNumId w:val="17"/>
  </w:num>
  <w:num w:numId="15">
    <w:abstractNumId w:val="10"/>
  </w:num>
  <w:num w:numId="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num>
  <w:num w:numId="18">
    <w:abstractNumId w:val="12"/>
  </w:num>
  <w:num w:numId="19">
    <w:abstractNumId w:val="19"/>
  </w:num>
  <w:num w:numId="20">
    <w:abstractNumId w:val="8"/>
  </w:num>
  <w:num w:numId="21">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rU0NjKxNDIzNjCwMLZQ0lEKTi0uzszPAykwMqkFACfLOJotAAAA"/>
  </w:docVars>
  <w:rsids>
    <w:rsidRoot w:val="00F2283D"/>
    <w:rsid w:val="00000517"/>
    <w:rsid w:val="00000A7B"/>
    <w:rsid w:val="0000664D"/>
    <w:rsid w:val="00013FE6"/>
    <w:rsid w:val="00014CA1"/>
    <w:rsid w:val="00015F83"/>
    <w:rsid w:val="00022A96"/>
    <w:rsid w:val="000239F5"/>
    <w:rsid w:val="0002450E"/>
    <w:rsid w:val="000315BD"/>
    <w:rsid w:val="000317D3"/>
    <w:rsid w:val="00031DBB"/>
    <w:rsid w:val="00033E69"/>
    <w:rsid w:val="0003608B"/>
    <w:rsid w:val="00037DDE"/>
    <w:rsid w:val="000400EC"/>
    <w:rsid w:val="00040275"/>
    <w:rsid w:val="00042572"/>
    <w:rsid w:val="00042CE7"/>
    <w:rsid w:val="00043D2E"/>
    <w:rsid w:val="0004421A"/>
    <w:rsid w:val="00044AE9"/>
    <w:rsid w:val="000470F2"/>
    <w:rsid w:val="00052983"/>
    <w:rsid w:val="00052B7F"/>
    <w:rsid w:val="000531B6"/>
    <w:rsid w:val="000532CD"/>
    <w:rsid w:val="000568DB"/>
    <w:rsid w:val="000573A5"/>
    <w:rsid w:val="00057D9B"/>
    <w:rsid w:val="00063441"/>
    <w:rsid w:val="00063DD6"/>
    <w:rsid w:val="00066BCF"/>
    <w:rsid w:val="0007243D"/>
    <w:rsid w:val="0007304F"/>
    <w:rsid w:val="00074217"/>
    <w:rsid w:val="00075352"/>
    <w:rsid w:val="000768FA"/>
    <w:rsid w:val="0008071C"/>
    <w:rsid w:val="00081F2A"/>
    <w:rsid w:val="00084E0A"/>
    <w:rsid w:val="00087D64"/>
    <w:rsid w:val="00092E9B"/>
    <w:rsid w:val="00094011"/>
    <w:rsid w:val="0009715E"/>
    <w:rsid w:val="000974EB"/>
    <w:rsid w:val="000A309D"/>
    <w:rsid w:val="000A36FC"/>
    <w:rsid w:val="000A58F7"/>
    <w:rsid w:val="000A7323"/>
    <w:rsid w:val="000B1B7C"/>
    <w:rsid w:val="000B1FC6"/>
    <w:rsid w:val="000B2762"/>
    <w:rsid w:val="000B4F4B"/>
    <w:rsid w:val="000C1FFF"/>
    <w:rsid w:val="000C24C7"/>
    <w:rsid w:val="000C3554"/>
    <w:rsid w:val="000C3CB6"/>
    <w:rsid w:val="000C5828"/>
    <w:rsid w:val="000C5B42"/>
    <w:rsid w:val="000C6901"/>
    <w:rsid w:val="000C6F37"/>
    <w:rsid w:val="000D12B2"/>
    <w:rsid w:val="000D6070"/>
    <w:rsid w:val="000D66DA"/>
    <w:rsid w:val="000E1337"/>
    <w:rsid w:val="000E4087"/>
    <w:rsid w:val="000F02A1"/>
    <w:rsid w:val="000F08BA"/>
    <w:rsid w:val="000F0FBE"/>
    <w:rsid w:val="000F1929"/>
    <w:rsid w:val="000F1BAC"/>
    <w:rsid w:val="000F58AC"/>
    <w:rsid w:val="00100403"/>
    <w:rsid w:val="00100BF8"/>
    <w:rsid w:val="00100E48"/>
    <w:rsid w:val="0010189A"/>
    <w:rsid w:val="00101D91"/>
    <w:rsid w:val="00103B99"/>
    <w:rsid w:val="00107C2A"/>
    <w:rsid w:val="001110C5"/>
    <w:rsid w:val="00111217"/>
    <w:rsid w:val="00113711"/>
    <w:rsid w:val="00114959"/>
    <w:rsid w:val="00117AB6"/>
    <w:rsid w:val="00117FDA"/>
    <w:rsid w:val="00122373"/>
    <w:rsid w:val="0012303F"/>
    <w:rsid w:val="00123A98"/>
    <w:rsid w:val="001266E3"/>
    <w:rsid w:val="00126FA3"/>
    <w:rsid w:val="00127581"/>
    <w:rsid w:val="00133345"/>
    <w:rsid w:val="00133F3D"/>
    <w:rsid w:val="00137014"/>
    <w:rsid w:val="001379AC"/>
    <w:rsid w:val="0014051D"/>
    <w:rsid w:val="00145664"/>
    <w:rsid w:val="00147A80"/>
    <w:rsid w:val="00150D2D"/>
    <w:rsid w:val="00152ED6"/>
    <w:rsid w:val="001602F8"/>
    <w:rsid w:val="0016151B"/>
    <w:rsid w:val="00166574"/>
    <w:rsid w:val="001665A0"/>
    <w:rsid w:val="00166D5E"/>
    <w:rsid w:val="00170FBE"/>
    <w:rsid w:val="00174927"/>
    <w:rsid w:val="001828DF"/>
    <w:rsid w:val="00186C44"/>
    <w:rsid w:val="001874C4"/>
    <w:rsid w:val="00190F9F"/>
    <w:rsid w:val="00191308"/>
    <w:rsid w:val="00191E3A"/>
    <w:rsid w:val="00193037"/>
    <w:rsid w:val="00196D2E"/>
    <w:rsid w:val="00197A04"/>
    <w:rsid w:val="001A049E"/>
    <w:rsid w:val="001A0989"/>
    <w:rsid w:val="001A0D18"/>
    <w:rsid w:val="001A31B3"/>
    <w:rsid w:val="001A3F4C"/>
    <w:rsid w:val="001A4B53"/>
    <w:rsid w:val="001A561E"/>
    <w:rsid w:val="001A723B"/>
    <w:rsid w:val="001B105D"/>
    <w:rsid w:val="001B18DB"/>
    <w:rsid w:val="001B225D"/>
    <w:rsid w:val="001B285D"/>
    <w:rsid w:val="001B3249"/>
    <w:rsid w:val="001B53F1"/>
    <w:rsid w:val="001C3DD3"/>
    <w:rsid w:val="001C4707"/>
    <w:rsid w:val="001C4787"/>
    <w:rsid w:val="001D224A"/>
    <w:rsid w:val="001D5092"/>
    <w:rsid w:val="001D6569"/>
    <w:rsid w:val="001D6DBF"/>
    <w:rsid w:val="001E0F85"/>
    <w:rsid w:val="001E2B2E"/>
    <w:rsid w:val="001E3010"/>
    <w:rsid w:val="001E3D64"/>
    <w:rsid w:val="001F018B"/>
    <w:rsid w:val="001F34EC"/>
    <w:rsid w:val="001F44E9"/>
    <w:rsid w:val="001F50A2"/>
    <w:rsid w:val="001F7D15"/>
    <w:rsid w:val="001F7F64"/>
    <w:rsid w:val="00202889"/>
    <w:rsid w:val="002060C7"/>
    <w:rsid w:val="00206A9A"/>
    <w:rsid w:val="00212ACF"/>
    <w:rsid w:val="002149CA"/>
    <w:rsid w:val="00217F4B"/>
    <w:rsid w:val="002208E5"/>
    <w:rsid w:val="0022224D"/>
    <w:rsid w:val="002226EC"/>
    <w:rsid w:val="002233C1"/>
    <w:rsid w:val="002273CF"/>
    <w:rsid w:val="0022778C"/>
    <w:rsid w:val="002351B7"/>
    <w:rsid w:val="002365E0"/>
    <w:rsid w:val="002443E6"/>
    <w:rsid w:val="00245688"/>
    <w:rsid w:val="00246373"/>
    <w:rsid w:val="00246740"/>
    <w:rsid w:val="00250B92"/>
    <w:rsid w:val="00253D17"/>
    <w:rsid w:val="00253EC0"/>
    <w:rsid w:val="00255AEF"/>
    <w:rsid w:val="002564B1"/>
    <w:rsid w:val="002568E9"/>
    <w:rsid w:val="002574CD"/>
    <w:rsid w:val="002663B6"/>
    <w:rsid w:val="002674C6"/>
    <w:rsid w:val="00267C29"/>
    <w:rsid w:val="00271271"/>
    <w:rsid w:val="00272116"/>
    <w:rsid w:val="0027253B"/>
    <w:rsid w:val="002731F7"/>
    <w:rsid w:val="002744A0"/>
    <w:rsid w:val="0027460D"/>
    <w:rsid w:val="00275A84"/>
    <w:rsid w:val="00275AF1"/>
    <w:rsid w:val="00280062"/>
    <w:rsid w:val="00280E3A"/>
    <w:rsid w:val="00282AE5"/>
    <w:rsid w:val="002840FF"/>
    <w:rsid w:val="002874B9"/>
    <w:rsid w:val="00293AAF"/>
    <w:rsid w:val="00295706"/>
    <w:rsid w:val="00297273"/>
    <w:rsid w:val="00297442"/>
    <w:rsid w:val="002A036C"/>
    <w:rsid w:val="002A1969"/>
    <w:rsid w:val="002A1ED7"/>
    <w:rsid w:val="002A2BAB"/>
    <w:rsid w:val="002A63DF"/>
    <w:rsid w:val="002B0674"/>
    <w:rsid w:val="002B09AB"/>
    <w:rsid w:val="002B155E"/>
    <w:rsid w:val="002B1BBD"/>
    <w:rsid w:val="002B1BCE"/>
    <w:rsid w:val="002B383B"/>
    <w:rsid w:val="002B4CBE"/>
    <w:rsid w:val="002C11F5"/>
    <w:rsid w:val="002C203B"/>
    <w:rsid w:val="002C2495"/>
    <w:rsid w:val="002C3D0F"/>
    <w:rsid w:val="002C5241"/>
    <w:rsid w:val="002C5287"/>
    <w:rsid w:val="002C6C28"/>
    <w:rsid w:val="002C7639"/>
    <w:rsid w:val="002C76D0"/>
    <w:rsid w:val="002D027A"/>
    <w:rsid w:val="002D31DE"/>
    <w:rsid w:val="002D45E6"/>
    <w:rsid w:val="002D4B87"/>
    <w:rsid w:val="002D5BBE"/>
    <w:rsid w:val="002E054C"/>
    <w:rsid w:val="002E1610"/>
    <w:rsid w:val="002E1DEA"/>
    <w:rsid w:val="002E303A"/>
    <w:rsid w:val="002E3AB9"/>
    <w:rsid w:val="002E3CFB"/>
    <w:rsid w:val="002E3FEA"/>
    <w:rsid w:val="002E7710"/>
    <w:rsid w:val="002F1052"/>
    <w:rsid w:val="002F1C8F"/>
    <w:rsid w:val="002F1C9D"/>
    <w:rsid w:val="002F21C6"/>
    <w:rsid w:val="002F3065"/>
    <w:rsid w:val="00300268"/>
    <w:rsid w:val="00302611"/>
    <w:rsid w:val="003034B3"/>
    <w:rsid w:val="003051F1"/>
    <w:rsid w:val="00306D29"/>
    <w:rsid w:val="0031392F"/>
    <w:rsid w:val="00314FF0"/>
    <w:rsid w:val="00315B86"/>
    <w:rsid w:val="00317330"/>
    <w:rsid w:val="003206A6"/>
    <w:rsid w:val="00321DFF"/>
    <w:rsid w:val="00323CD2"/>
    <w:rsid w:val="00332BDE"/>
    <w:rsid w:val="00334626"/>
    <w:rsid w:val="0033466E"/>
    <w:rsid w:val="00336699"/>
    <w:rsid w:val="0033724B"/>
    <w:rsid w:val="00337DCF"/>
    <w:rsid w:val="0035128D"/>
    <w:rsid w:val="00352D1C"/>
    <w:rsid w:val="00352D52"/>
    <w:rsid w:val="00354DA3"/>
    <w:rsid w:val="0035533E"/>
    <w:rsid w:val="0035751E"/>
    <w:rsid w:val="0035774D"/>
    <w:rsid w:val="00361C1F"/>
    <w:rsid w:val="0036358A"/>
    <w:rsid w:val="003656DA"/>
    <w:rsid w:val="00376435"/>
    <w:rsid w:val="00376EFC"/>
    <w:rsid w:val="00380337"/>
    <w:rsid w:val="00384969"/>
    <w:rsid w:val="00392C90"/>
    <w:rsid w:val="00395E15"/>
    <w:rsid w:val="003A1875"/>
    <w:rsid w:val="003A198F"/>
    <w:rsid w:val="003A3BE9"/>
    <w:rsid w:val="003A4709"/>
    <w:rsid w:val="003B03D9"/>
    <w:rsid w:val="003B18EC"/>
    <w:rsid w:val="003B1EAA"/>
    <w:rsid w:val="003B244F"/>
    <w:rsid w:val="003B2E3E"/>
    <w:rsid w:val="003B3A1A"/>
    <w:rsid w:val="003B4766"/>
    <w:rsid w:val="003B4D43"/>
    <w:rsid w:val="003B5A12"/>
    <w:rsid w:val="003C1539"/>
    <w:rsid w:val="003C17D9"/>
    <w:rsid w:val="003C191A"/>
    <w:rsid w:val="003C2D3C"/>
    <w:rsid w:val="003C5318"/>
    <w:rsid w:val="003C64AA"/>
    <w:rsid w:val="003C761B"/>
    <w:rsid w:val="003C7FB7"/>
    <w:rsid w:val="003D1BE9"/>
    <w:rsid w:val="003D2A09"/>
    <w:rsid w:val="003D7722"/>
    <w:rsid w:val="003E07CF"/>
    <w:rsid w:val="003E11CA"/>
    <w:rsid w:val="003E362C"/>
    <w:rsid w:val="003E5B26"/>
    <w:rsid w:val="003F0084"/>
    <w:rsid w:val="003F2671"/>
    <w:rsid w:val="003F3C71"/>
    <w:rsid w:val="003F6E72"/>
    <w:rsid w:val="004031EC"/>
    <w:rsid w:val="0041112A"/>
    <w:rsid w:val="004116A6"/>
    <w:rsid w:val="00412CE1"/>
    <w:rsid w:val="00415BAB"/>
    <w:rsid w:val="00416FBA"/>
    <w:rsid w:val="00417F3D"/>
    <w:rsid w:val="00420C12"/>
    <w:rsid w:val="004223C0"/>
    <w:rsid w:val="00422D34"/>
    <w:rsid w:val="00423626"/>
    <w:rsid w:val="00426146"/>
    <w:rsid w:val="00427E9A"/>
    <w:rsid w:val="00430077"/>
    <w:rsid w:val="0043142C"/>
    <w:rsid w:val="00431EC5"/>
    <w:rsid w:val="0043331E"/>
    <w:rsid w:val="00433CB2"/>
    <w:rsid w:val="00434B36"/>
    <w:rsid w:val="0043566B"/>
    <w:rsid w:val="00437283"/>
    <w:rsid w:val="00437A8F"/>
    <w:rsid w:val="004435A4"/>
    <w:rsid w:val="00443E51"/>
    <w:rsid w:val="00444213"/>
    <w:rsid w:val="00447927"/>
    <w:rsid w:val="00447FD7"/>
    <w:rsid w:val="00454035"/>
    <w:rsid w:val="004550D3"/>
    <w:rsid w:val="00455234"/>
    <w:rsid w:val="0045549B"/>
    <w:rsid w:val="00457BEA"/>
    <w:rsid w:val="00457E36"/>
    <w:rsid w:val="00460E48"/>
    <w:rsid w:val="00462525"/>
    <w:rsid w:val="004626C1"/>
    <w:rsid w:val="0046459C"/>
    <w:rsid w:val="00465A80"/>
    <w:rsid w:val="00465D4F"/>
    <w:rsid w:val="00470C03"/>
    <w:rsid w:val="00472272"/>
    <w:rsid w:val="00476A41"/>
    <w:rsid w:val="00476FAA"/>
    <w:rsid w:val="00477091"/>
    <w:rsid w:val="00477372"/>
    <w:rsid w:val="00482305"/>
    <w:rsid w:val="0048467D"/>
    <w:rsid w:val="00485249"/>
    <w:rsid w:val="00486BF5"/>
    <w:rsid w:val="00487420"/>
    <w:rsid w:val="00490831"/>
    <w:rsid w:val="00491E8F"/>
    <w:rsid w:val="004924B0"/>
    <w:rsid w:val="004930A7"/>
    <w:rsid w:val="00493DD2"/>
    <w:rsid w:val="00494395"/>
    <w:rsid w:val="00494606"/>
    <w:rsid w:val="0049692A"/>
    <w:rsid w:val="00497E61"/>
    <w:rsid w:val="004A3711"/>
    <w:rsid w:val="004A3864"/>
    <w:rsid w:val="004A796A"/>
    <w:rsid w:val="004B0F91"/>
    <w:rsid w:val="004B377E"/>
    <w:rsid w:val="004C6667"/>
    <w:rsid w:val="004C77CD"/>
    <w:rsid w:val="004C7B8B"/>
    <w:rsid w:val="004D1B9B"/>
    <w:rsid w:val="004D1BAE"/>
    <w:rsid w:val="004D58E5"/>
    <w:rsid w:val="004D641E"/>
    <w:rsid w:val="004D6976"/>
    <w:rsid w:val="004D7174"/>
    <w:rsid w:val="004E535D"/>
    <w:rsid w:val="004E5A4A"/>
    <w:rsid w:val="004E6CAA"/>
    <w:rsid w:val="004E7F98"/>
    <w:rsid w:val="004F04F8"/>
    <w:rsid w:val="004F10EF"/>
    <w:rsid w:val="004F194B"/>
    <w:rsid w:val="004F291E"/>
    <w:rsid w:val="004F2C49"/>
    <w:rsid w:val="004F42A1"/>
    <w:rsid w:val="004F6156"/>
    <w:rsid w:val="004F6475"/>
    <w:rsid w:val="00500A73"/>
    <w:rsid w:val="00504C7D"/>
    <w:rsid w:val="00507FCF"/>
    <w:rsid w:val="00513C98"/>
    <w:rsid w:val="0051452E"/>
    <w:rsid w:val="00515728"/>
    <w:rsid w:val="005160D2"/>
    <w:rsid w:val="0051697F"/>
    <w:rsid w:val="005173CF"/>
    <w:rsid w:val="00521977"/>
    <w:rsid w:val="005225A7"/>
    <w:rsid w:val="00532AAF"/>
    <w:rsid w:val="005336E5"/>
    <w:rsid w:val="00533812"/>
    <w:rsid w:val="0053611A"/>
    <w:rsid w:val="005369C4"/>
    <w:rsid w:val="00537330"/>
    <w:rsid w:val="005419A6"/>
    <w:rsid w:val="00545D7A"/>
    <w:rsid w:val="0054678D"/>
    <w:rsid w:val="00550D50"/>
    <w:rsid w:val="005525A0"/>
    <w:rsid w:val="005569FB"/>
    <w:rsid w:val="00557076"/>
    <w:rsid w:val="005579CD"/>
    <w:rsid w:val="005651CD"/>
    <w:rsid w:val="00567A78"/>
    <w:rsid w:val="005724D0"/>
    <w:rsid w:val="00572ADB"/>
    <w:rsid w:val="00577025"/>
    <w:rsid w:val="00577288"/>
    <w:rsid w:val="00577AF4"/>
    <w:rsid w:val="00581F59"/>
    <w:rsid w:val="005826E9"/>
    <w:rsid w:val="00582F85"/>
    <w:rsid w:val="00584B82"/>
    <w:rsid w:val="005858E7"/>
    <w:rsid w:val="00590C14"/>
    <w:rsid w:val="005910E0"/>
    <w:rsid w:val="00592BB8"/>
    <w:rsid w:val="00594591"/>
    <w:rsid w:val="005949E8"/>
    <w:rsid w:val="00595C31"/>
    <w:rsid w:val="00597481"/>
    <w:rsid w:val="005A0648"/>
    <w:rsid w:val="005A0B21"/>
    <w:rsid w:val="005A0FF4"/>
    <w:rsid w:val="005A1E29"/>
    <w:rsid w:val="005A3621"/>
    <w:rsid w:val="005B1214"/>
    <w:rsid w:val="005B25C9"/>
    <w:rsid w:val="005B4A68"/>
    <w:rsid w:val="005B594D"/>
    <w:rsid w:val="005C1552"/>
    <w:rsid w:val="005C30ED"/>
    <w:rsid w:val="005C31FA"/>
    <w:rsid w:val="005C4E5B"/>
    <w:rsid w:val="005C51D3"/>
    <w:rsid w:val="005D5E8F"/>
    <w:rsid w:val="005E017D"/>
    <w:rsid w:val="005E166A"/>
    <w:rsid w:val="005E342C"/>
    <w:rsid w:val="005E3F08"/>
    <w:rsid w:val="005E3FBB"/>
    <w:rsid w:val="005E4927"/>
    <w:rsid w:val="005E6195"/>
    <w:rsid w:val="005E6A39"/>
    <w:rsid w:val="005F5767"/>
    <w:rsid w:val="005F6DFD"/>
    <w:rsid w:val="005F7828"/>
    <w:rsid w:val="005F7E6A"/>
    <w:rsid w:val="00601F03"/>
    <w:rsid w:val="00603D9A"/>
    <w:rsid w:val="00606924"/>
    <w:rsid w:val="00607AD6"/>
    <w:rsid w:val="006104FA"/>
    <w:rsid w:val="00612583"/>
    <w:rsid w:val="00612A87"/>
    <w:rsid w:val="00613345"/>
    <w:rsid w:val="00613C77"/>
    <w:rsid w:val="006153BC"/>
    <w:rsid w:val="00616CDA"/>
    <w:rsid w:val="00617273"/>
    <w:rsid w:val="00617814"/>
    <w:rsid w:val="00621A7F"/>
    <w:rsid w:val="00621CAB"/>
    <w:rsid w:val="00625236"/>
    <w:rsid w:val="00627E82"/>
    <w:rsid w:val="006315B2"/>
    <w:rsid w:val="0064270E"/>
    <w:rsid w:val="006432D8"/>
    <w:rsid w:val="00651378"/>
    <w:rsid w:val="00651E86"/>
    <w:rsid w:val="006534B5"/>
    <w:rsid w:val="0066053E"/>
    <w:rsid w:val="006631A4"/>
    <w:rsid w:val="006639C4"/>
    <w:rsid w:val="006727FB"/>
    <w:rsid w:val="0067471B"/>
    <w:rsid w:val="0067627C"/>
    <w:rsid w:val="00676612"/>
    <w:rsid w:val="00676F0C"/>
    <w:rsid w:val="00681E61"/>
    <w:rsid w:val="00682B8E"/>
    <w:rsid w:val="00685136"/>
    <w:rsid w:val="00687151"/>
    <w:rsid w:val="006905F7"/>
    <w:rsid w:val="00693D2D"/>
    <w:rsid w:val="00694456"/>
    <w:rsid w:val="0069637D"/>
    <w:rsid w:val="006A10D2"/>
    <w:rsid w:val="006A160D"/>
    <w:rsid w:val="006A2C10"/>
    <w:rsid w:val="006A41D2"/>
    <w:rsid w:val="006A66CD"/>
    <w:rsid w:val="006A6CBD"/>
    <w:rsid w:val="006A76DF"/>
    <w:rsid w:val="006B285C"/>
    <w:rsid w:val="006B48EF"/>
    <w:rsid w:val="006B55EC"/>
    <w:rsid w:val="006C2288"/>
    <w:rsid w:val="006C3BE3"/>
    <w:rsid w:val="006C3BF1"/>
    <w:rsid w:val="006C6659"/>
    <w:rsid w:val="006C7DD5"/>
    <w:rsid w:val="006D0855"/>
    <w:rsid w:val="006D36C8"/>
    <w:rsid w:val="006D39D2"/>
    <w:rsid w:val="006D4445"/>
    <w:rsid w:val="006D478C"/>
    <w:rsid w:val="006D55D3"/>
    <w:rsid w:val="006D7085"/>
    <w:rsid w:val="006D73E8"/>
    <w:rsid w:val="006E06C9"/>
    <w:rsid w:val="006E19F5"/>
    <w:rsid w:val="006E1BB9"/>
    <w:rsid w:val="006E2FCB"/>
    <w:rsid w:val="006E7C3E"/>
    <w:rsid w:val="006F4279"/>
    <w:rsid w:val="007024E1"/>
    <w:rsid w:val="00702C1E"/>
    <w:rsid w:val="00705201"/>
    <w:rsid w:val="00705906"/>
    <w:rsid w:val="00706195"/>
    <w:rsid w:val="007061DF"/>
    <w:rsid w:val="0071008A"/>
    <w:rsid w:val="00712FF7"/>
    <w:rsid w:val="00713A39"/>
    <w:rsid w:val="00717ACE"/>
    <w:rsid w:val="00717FE6"/>
    <w:rsid w:val="00721651"/>
    <w:rsid w:val="007235C8"/>
    <w:rsid w:val="00723666"/>
    <w:rsid w:val="00723AD4"/>
    <w:rsid w:val="00724C7B"/>
    <w:rsid w:val="0072556E"/>
    <w:rsid w:val="00727E0F"/>
    <w:rsid w:val="0073147C"/>
    <w:rsid w:val="00732E31"/>
    <w:rsid w:val="007335F3"/>
    <w:rsid w:val="00735D64"/>
    <w:rsid w:val="0073714B"/>
    <w:rsid w:val="007379D2"/>
    <w:rsid w:val="007401A8"/>
    <w:rsid w:val="007402F8"/>
    <w:rsid w:val="007408E1"/>
    <w:rsid w:val="00742672"/>
    <w:rsid w:val="007438CD"/>
    <w:rsid w:val="007438D8"/>
    <w:rsid w:val="00747A96"/>
    <w:rsid w:val="0075046B"/>
    <w:rsid w:val="00750E05"/>
    <w:rsid w:val="00751B08"/>
    <w:rsid w:val="007528ED"/>
    <w:rsid w:val="00753B3B"/>
    <w:rsid w:val="007616A8"/>
    <w:rsid w:val="00763C16"/>
    <w:rsid w:val="0077135B"/>
    <w:rsid w:val="007715BF"/>
    <w:rsid w:val="00772C7C"/>
    <w:rsid w:val="007749B5"/>
    <w:rsid w:val="007769A2"/>
    <w:rsid w:val="00785A77"/>
    <w:rsid w:val="007861E2"/>
    <w:rsid w:val="00794B7D"/>
    <w:rsid w:val="00794C80"/>
    <w:rsid w:val="007957E2"/>
    <w:rsid w:val="00796992"/>
    <w:rsid w:val="007974E9"/>
    <w:rsid w:val="007A06AC"/>
    <w:rsid w:val="007A20F1"/>
    <w:rsid w:val="007A3770"/>
    <w:rsid w:val="007A5DC8"/>
    <w:rsid w:val="007A6D4B"/>
    <w:rsid w:val="007A79E1"/>
    <w:rsid w:val="007B01A1"/>
    <w:rsid w:val="007B0CD7"/>
    <w:rsid w:val="007B0F1C"/>
    <w:rsid w:val="007B3183"/>
    <w:rsid w:val="007B4B72"/>
    <w:rsid w:val="007B7B9A"/>
    <w:rsid w:val="007C4684"/>
    <w:rsid w:val="007C541E"/>
    <w:rsid w:val="007C56E8"/>
    <w:rsid w:val="007D0E2B"/>
    <w:rsid w:val="007D1479"/>
    <w:rsid w:val="007D2532"/>
    <w:rsid w:val="007D2919"/>
    <w:rsid w:val="007D2C28"/>
    <w:rsid w:val="007D2CD3"/>
    <w:rsid w:val="007D3AAB"/>
    <w:rsid w:val="007D4C02"/>
    <w:rsid w:val="007D7911"/>
    <w:rsid w:val="007E13D2"/>
    <w:rsid w:val="007E1827"/>
    <w:rsid w:val="007E64BB"/>
    <w:rsid w:val="007E796F"/>
    <w:rsid w:val="007F1D7D"/>
    <w:rsid w:val="007F27D9"/>
    <w:rsid w:val="007F2A50"/>
    <w:rsid w:val="007F45F7"/>
    <w:rsid w:val="007F5A5D"/>
    <w:rsid w:val="007F5B20"/>
    <w:rsid w:val="007F5BA1"/>
    <w:rsid w:val="007F6EC1"/>
    <w:rsid w:val="007F7666"/>
    <w:rsid w:val="007F7F4C"/>
    <w:rsid w:val="00805A02"/>
    <w:rsid w:val="008103AF"/>
    <w:rsid w:val="00812F82"/>
    <w:rsid w:val="008134F8"/>
    <w:rsid w:val="00814B2D"/>
    <w:rsid w:val="00814CF3"/>
    <w:rsid w:val="008167F3"/>
    <w:rsid w:val="0082398A"/>
    <w:rsid w:val="00824BA4"/>
    <w:rsid w:val="00824DC4"/>
    <w:rsid w:val="00825F4B"/>
    <w:rsid w:val="00825FEE"/>
    <w:rsid w:val="0082740D"/>
    <w:rsid w:val="00827B01"/>
    <w:rsid w:val="00833B46"/>
    <w:rsid w:val="00833CFC"/>
    <w:rsid w:val="00834255"/>
    <w:rsid w:val="00836B94"/>
    <w:rsid w:val="00837053"/>
    <w:rsid w:val="008419DB"/>
    <w:rsid w:val="008433AD"/>
    <w:rsid w:val="00843AE4"/>
    <w:rsid w:val="00846A6A"/>
    <w:rsid w:val="0085015D"/>
    <w:rsid w:val="00850C3C"/>
    <w:rsid w:val="00851D60"/>
    <w:rsid w:val="008529F6"/>
    <w:rsid w:val="0085653B"/>
    <w:rsid w:val="00857532"/>
    <w:rsid w:val="0086042F"/>
    <w:rsid w:val="008607E6"/>
    <w:rsid w:val="00860D05"/>
    <w:rsid w:val="00863248"/>
    <w:rsid w:val="0086425F"/>
    <w:rsid w:val="008644ED"/>
    <w:rsid w:val="00864C7C"/>
    <w:rsid w:val="00864CED"/>
    <w:rsid w:val="008654DD"/>
    <w:rsid w:val="00866594"/>
    <w:rsid w:val="00867190"/>
    <w:rsid w:val="00867CCA"/>
    <w:rsid w:val="00871003"/>
    <w:rsid w:val="008721B0"/>
    <w:rsid w:val="00872BA0"/>
    <w:rsid w:val="00875CA7"/>
    <w:rsid w:val="008768A6"/>
    <w:rsid w:val="008779BC"/>
    <w:rsid w:val="00886A91"/>
    <w:rsid w:val="008872C1"/>
    <w:rsid w:val="00891604"/>
    <w:rsid w:val="00893B6A"/>
    <w:rsid w:val="008945C5"/>
    <w:rsid w:val="008950FC"/>
    <w:rsid w:val="00896831"/>
    <w:rsid w:val="008A1F60"/>
    <w:rsid w:val="008A36B7"/>
    <w:rsid w:val="008A5571"/>
    <w:rsid w:val="008A5B74"/>
    <w:rsid w:val="008A66F2"/>
    <w:rsid w:val="008B0322"/>
    <w:rsid w:val="008B0575"/>
    <w:rsid w:val="008B095D"/>
    <w:rsid w:val="008B2A6F"/>
    <w:rsid w:val="008B5956"/>
    <w:rsid w:val="008B5C9F"/>
    <w:rsid w:val="008B6E87"/>
    <w:rsid w:val="008B7DB3"/>
    <w:rsid w:val="008B7F3C"/>
    <w:rsid w:val="008C0132"/>
    <w:rsid w:val="008C0FC2"/>
    <w:rsid w:val="008C1163"/>
    <w:rsid w:val="008C34A5"/>
    <w:rsid w:val="008C5BAE"/>
    <w:rsid w:val="008C5C02"/>
    <w:rsid w:val="008C636A"/>
    <w:rsid w:val="008D1743"/>
    <w:rsid w:val="008D226E"/>
    <w:rsid w:val="008D2B29"/>
    <w:rsid w:val="008D4CC9"/>
    <w:rsid w:val="008D4F42"/>
    <w:rsid w:val="008D5DBA"/>
    <w:rsid w:val="008D62C1"/>
    <w:rsid w:val="008D636C"/>
    <w:rsid w:val="008E0E1A"/>
    <w:rsid w:val="008E40FD"/>
    <w:rsid w:val="008E5BF7"/>
    <w:rsid w:val="008E65F3"/>
    <w:rsid w:val="008E6A64"/>
    <w:rsid w:val="008E77A9"/>
    <w:rsid w:val="008F7D34"/>
    <w:rsid w:val="00901632"/>
    <w:rsid w:val="00901A89"/>
    <w:rsid w:val="00902767"/>
    <w:rsid w:val="009029F4"/>
    <w:rsid w:val="00904725"/>
    <w:rsid w:val="009047AC"/>
    <w:rsid w:val="00905C7B"/>
    <w:rsid w:val="00906E03"/>
    <w:rsid w:val="00907473"/>
    <w:rsid w:val="009103C3"/>
    <w:rsid w:val="00911070"/>
    <w:rsid w:val="00911F24"/>
    <w:rsid w:val="009120D3"/>
    <w:rsid w:val="00917BB4"/>
    <w:rsid w:val="0092124F"/>
    <w:rsid w:val="00922F87"/>
    <w:rsid w:val="00923C54"/>
    <w:rsid w:val="009270EB"/>
    <w:rsid w:val="00927400"/>
    <w:rsid w:val="009316F9"/>
    <w:rsid w:val="00937A53"/>
    <w:rsid w:val="00937CB3"/>
    <w:rsid w:val="00937CFC"/>
    <w:rsid w:val="009426A9"/>
    <w:rsid w:val="00944812"/>
    <w:rsid w:val="0094670F"/>
    <w:rsid w:val="0094706F"/>
    <w:rsid w:val="00950CDA"/>
    <w:rsid w:val="00950D94"/>
    <w:rsid w:val="00955323"/>
    <w:rsid w:val="00955801"/>
    <w:rsid w:val="009603E2"/>
    <w:rsid w:val="00960B39"/>
    <w:rsid w:val="009630FC"/>
    <w:rsid w:val="009662A3"/>
    <w:rsid w:val="00972878"/>
    <w:rsid w:val="00972BE6"/>
    <w:rsid w:val="00975FDE"/>
    <w:rsid w:val="00983327"/>
    <w:rsid w:val="00984388"/>
    <w:rsid w:val="00986BF3"/>
    <w:rsid w:val="00986C91"/>
    <w:rsid w:val="00993B80"/>
    <w:rsid w:val="00994160"/>
    <w:rsid w:val="00995997"/>
    <w:rsid w:val="00995B2D"/>
    <w:rsid w:val="00996CBF"/>
    <w:rsid w:val="00997A6F"/>
    <w:rsid w:val="009A794E"/>
    <w:rsid w:val="009B1C38"/>
    <w:rsid w:val="009B361C"/>
    <w:rsid w:val="009B6509"/>
    <w:rsid w:val="009C1FEE"/>
    <w:rsid w:val="009C2AD4"/>
    <w:rsid w:val="009C30CA"/>
    <w:rsid w:val="009C3509"/>
    <w:rsid w:val="009C4274"/>
    <w:rsid w:val="009C631F"/>
    <w:rsid w:val="009C68D0"/>
    <w:rsid w:val="009C74FB"/>
    <w:rsid w:val="009C7AB3"/>
    <w:rsid w:val="009D550C"/>
    <w:rsid w:val="009D55F5"/>
    <w:rsid w:val="009D5BC9"/>
    <w:rsid w:val="009E03EB"/>
    <w:rsid w:val="009E04B0"/>
    <w:rsid w:val="009E1395"/>
    <w:rsid w:val="009E26CF"/>
    <w:rsid w:val="009E49C1"/>
    <w:rsid w:val="009E6A9E"/>
    <w:rsid w:val="009F02C6"/>
    <w:rsid w:val="009F09C3"/>
    <w:rsid w:val="009F0B8F"/>
    <w:rsid w:val="009F0CAA"/>
    <w:rsid w:val="009F195B"/>
    <w:rsid w:val="009F2ABE"/>
    <w:rsid w:val="009F4DCE"/>
    <w:rsid w:val="009F556C"/>
    <w:rsid w:val="009F5620"/>
    <w:rsid w:val="00A01358"/>
    <w:rsid w:val="00A03610"/>
    <w:rsid w:val="00A04E28"/>
    <w:rsid w:val="00A115EA"/>
    <w:rsid w:val="00A12FCF"/>
    <w:rsid w:val="00A140BF"/>
    <w:rsid w:val="00A21040"/>
    <w:rsid w:val="00A23BF7"/>
    <w:rsid w:val="00A24AD9"/>
    <w:rsid w:val="00A2588E"/>
    <w:rsid w:val="00A26F1B"/>
    <w:rsid w:val="00A272AB"/>
    <w:rsid w:val="00A37402"/>
    <w:rsid w:val="00A40FB5"/>
    <w:rsid w:val="00A443F0"/>
    <w:rsid w:val="00A50867"/>
    <w:rsid w:val="00A53908"/>
    <w:rsid w:val="00A5415B"/>
    <w:rsid w:val="00A549EE"/>
    <w:rsid w:val="00A54E67"/>
    <w:rsid w:val="00A609A6"/>
    <w:rsid w:val="00A61BFB"/>
    <w:rsid w:val="00A6639D"/>
    <w:rsid w:val="00A664BB"/>
    <w:rsid w:val="00A67832"/>
    <w:rsid w:val="00A67B74"/>
    <w:rsid w:val="00A719A4"/>
    <w:rsid w:val="00A72ABA"/>
    <w:rsid w:val="00A73613"/>
    <w:rsid w:val="00A75002"/>
    <w:rsid w:val="00A7539B"/>
    <w:rsid w:val="00A769E9"/>
    <w:rsid w:val="00A8091E"/>
    <w:rsid w:val="00A81EDF"/>
    <w:rsid w:val="00A820ED"/>
    <w:rsid w:val="00A854EE"/>
    <w:rsid w:val="00A8705C"/>
    <w:rsid w:val="00A9164F"/>
    <w:rsid w:val="00A95B91"/>
    <w:rsid w:val="00A95C87"/>
    <w:rsid w:val="00A95FA7"/>
    <w:rsid w:val="00AA22A9"/>
    <w:rsid w:val="00AA2947"/>
    <w:rsid w:val="00AA38F2"/>
    <w:rsid w:val="00AA3D22"/>
    <w:rsid w:val="00AA6336"/>
    <w:rsid w:val="00AA6C1F"/>
    <w:rsid w:val="00AB2527"/>
    <w:rsid w:val="00AB52D3"/>
    <w:rsid w:val="00AB5C55"/>
    <w:rsid w:val="00AB62AB"/>
    <w:rsid w:val="00AB7C73"/>
    <w:rsid w:val="00AB7EB7"/>
    <w:rsid w:val="00AC13CD"/>
    <w:rsid w:val="00AC296D"/>
    <w:rsid w:val="00AC64E8"/>
    <w:rsid w:val="00AC73D9"/>
    <w:rsid w:val="00AC742F"/>
    <w:rsid w:val="00AD1C1D"/>
    <w:rsid w:val="00AD1CB9"/>
    <w:rsid w:val="00AD426E"/>
    <w:rsid w:val="00AE01EB"/>
    <w:rsid w:val="00AE1A9A"/>
    <w:rsid w:val="00AE1F9B"/>
    <w:rsid w:val="00AE36AA"/>
    <w:rsid w:val="00AE6C19"/>
    <w:rsid w:val="00AF00FB"/>
    <w:rsid w:val="00AF0F57"/>
    <w:rsid w:val="00AF20B7"/>
    <w:rsid w:val="00AF25E5"/>
    <w:rsid w:val="00AF4CBC"/>
    <w:rsid w:val="00B00718"/>
    <w:rsid w:val="00B01223"/>
    <w:rsid w:val="00B0144B"/>
    <w:rsid w:val="00B01A58"/>
    <w:rsid w:val="00B055F8"/>
    <w:rsid w:val="00B0794E"/>
    <w:rsid w:val="00B114F0"/>
    <w:rsid w:val="00B128AF"/>
    <w:rsid w:val="00B13614"/>
    <w:rsid w:val="00B1498C"/>
    <w:rsid w:val="00B154F6"/>
    <w:rsid w:val="00B1750E"/>
    <w:rsid w:val="00B17B0F"/>
    <w:rsid w:val="00B208D1"/>
    <w:rsid w:val="00B208EA"/>
    <w:rsid w:val="00B21360"/>
    <w:rsid w:val="00B2203F"/>
    <w:rsid w:val="00B235ED"/>
    <w:rsid w:val="00B30D09"/>
    <w:rsid w:val="00B3119A"/>
    <w:rsid w:val="00B34CD1"/>
    <w:rsid w:val="00B35148"/>
    <w:rsid w:val="00B355BD"/>
    <w:rsid w:val="00B378A2"/>
    <w:rsid w:val="00B431A3"/>
    <w:rsid w:val="00B46233"/>
    <w:rsid w:val="00B476E5"/>
    <w:rsid w:val="00B5283B"/>
    <w:rsid w:val="00B52BBC"/>
    <w:rsid w:val="00B54610"/>
    <w:rsid w:val="00B62330"/>
    <w:rsid w:val="00B63370"/>
    <w:rsid w:val="00B6405B"/>
    <w:rsid w:val="00B67294"/>
    <w:rsid w:val="00B70608"/>
    <w:rsid w:val="00B71620"/>
    <w:rsid w:val="00B71F47"/>
    <w:rsid w:val="00B72FBD"/>
    <w:rsid w:val="00B75672"/>
    <w:rsid w:val="00B766AE"/>
    <w:rsid w:val="00B7767E"/>
    <w:rsid w:val="00B809C6"/>
    <w:rsid w:val="00B82776"/>
    <w:rsid w:val="00B83824"/>
    <w:rsid w:val="00B85842"/>
    <w:rsid w:val="00B860F0"/>
    <w:rsid w:val="00B8687E"/>
    <w:rsid w:val="00B86979"/>
    <w:rsid w:val="00B90992"/>
    <w:rsid w:val="00B915A8"/>
    <w:rsid w:val="00B93A6E"/>
    <w:rsid w:val="00B93C43"/>
    <w:rsid w:val="00BA1C03"/>
    <w:rsid w:val="00BA2760"/>
    <w:rsid w:val="00BA4B3F"/>
    <w:rsid w:val="00BA5C5E"/>
    <w:rsid w:val="00BA6B35"/>
    <w:rsid w:val="00BA6F15"/>
    <w:rsid w:val="00BB02A1"/>
    <w:rsid w:val="00BB0C92"/>
    <w:rsid w:val="00BB3E86"/>
    <w:rsid w:val="00BB5FD7"/>
    <w:rsid w:val="00BC2F70"/>
    <w:rsid w:val="00BC389F"/>
    <w:rsid w:val="00BC3C42"/>
    <w:rsid w:val="00BC3DC5"/>
    <w:rsid w:val="00BC3DD1"/>
    <w:rsid w:val="00BC3FD0"/>
    <w:rsid w:val="00BC4914"/>
    <w:rsid w:val="00BC5AD2"/>
    <w:rsid w:val="00BC7B9B"/>
    <w:rsid w:val="00BD4BE8"/>
    <w:rsid w:val="00BD5AB7"/>
    <w:rsid w:val="00BE00E2"/>
    <w:rsid w:val="00BE3DD9"/>
    <w:rsid w:val="00BE66CA"/>
    <w:rsid w:val="00BE6D16"/>
    <w:rsid w:val="00BF0F9A"/>
    <w:rsid w:val="00BF114A"/>
    <w:rsid w:val="00BF15B1"/>
    <w:rsid w:val="00BF289C"/>
    <w:rsid w:val="00BF4E7E"/>
    <w:rsid w:val="00BF5C17"/>
    <w:rsid w:val="00BF6F14"/>
    <w:rsid w:val="00C004D7"/>
    <w:rsid w:val="00C034FB"/>
    <w:rsid w:val="00C07B3D"/>
    <w:rsid w:val="00C1020D"/>
    <w:rsid w:val="00C117C8"/>
    <w:rsid w:val="00C12967"/>
    <w:rsid w:val="00C144E1"/>
    <w:rsid w:val="00C167B3"/>
    <w:rsid w:val="00C16CE7"/>
    <w:rsid w:val="00C1710C"/>
    <w:rsid w:val="00C24AD3"/>
    <w:rsid w:val="00C27667"/>
    <w:rsid w:val="00C30B7E"/>
    <w:rsid w:val="00C30F34"/>
    <w:rsid w:val="00C3504D"/>
    <w:rsid w:val="00C35875"/>
    <w:rsid w:val="00C369A9"/>
    <w:rsid w:val="00C41D29"/>
    <w:rsid w:val="00C43476"/>
    <w:rsid w:val="00C450ED"/>
    <w:rsid w:val="00C50013"/>
    <w:rsid w:val="00C50692"/>
    <w:rsid w:val="00C52126"/>
    <w:rsid w:val="00C547F4"/>
    <w:rsid w:val="00C56189"/>
    <w:rsid w:val="00C56F2F"/>
    <w:rsid w:val="00C5734E"/>
    <w:rsid w:val="00C607FD"/>
    <w:rsid w:val="00C60D43"/>
    <w:rsid w:val="00C61C21"/>
    <w:rsid w:val="00C62C28"/>
    <w:rsid w:val="00C67575"/>
    <w:rsid w:val="00C70703"/>
    <w:rsid w:val="00C71F5A"/>
    <w:rsid w:val="00C76CC1"/>
    <w:rsid w:val="00C80357"/>
    <w:rsid w:val="00C82B9C"/>
    <w:rsid w:val="00C850FB"/>
    <w:rsid w:val="00C8510A"/>
    <w:rsid w:val="00C8550E"/>
    <w:rsid w:val="00C87948"/>
    <w:rsid w:val="00C91A83"/>
    <w:rsid w:val="00C93CFC"/>
    <w:rsid w:val="00CA0F1F"/>
    <w:rsid w:val="00CA16B4"/>
    <w:rsid w:val="00CA196E"/>
    <w:rsid w:val="00CA42D6"/>
    <w:rsid w:val="00CA5D74"/>
    <w:rsid w:val="00CA7C99"/>
    <w:rsid w:val="00CB0587"/>
    <w:rsid w:val="00CB12A7"/>
    <w:rsid w:val="00CB17B0"/>
    <w:rsid w:val="00CB2211"/>
    <w:rsid w:val="00CB5982"/>
    <w:rsid w:val="00CB59CE"/>
    <w:rsid w:val="00CB5AA7"/>
    <w:rsid w:val="00CB6CE1"/>
    <w:rsid w:val="00CB793E"/>
    <w:rsid w:val="00CC1A19"/>
    <w:rsid w:val="00CC1DEF"/>
    <w:rsid w:val="00CC2483"/>
    <w:rsid w:val="00CC5034"/>
    <w:rsid w:val="00CC753A"/>
    <w:rsid w:val="00CC7CD9"/>
    <w:rsid w:val="00CD1EC2"/>
    <w:rsid w:val="00CD7772"/>
    <w:rsid w:val="00CD7D2D"/>
    <w:rsid w:val="00CE1309"/>
    <w:rsid w:val="00CE33B0"/>
    <w:rsid w:val="00CE4152"/>
    <w:rsid w:val="00CE4583"/>
    <w:rsid w:val="00CE6658"/>
    <w:rsid w:val="00CE77E8"/>
    <w:rsid w:val="00CE7E42"/>
    <w:rsid w:val="00CF28D0"/>
    <w:rsid w:val="00CF46CE"/>
    <w:rsid w:val="00CF5BA1"/>
    <w:rsid w:val="00CF62FB"/>
    <w:rsid w:val="00CF6652"/>
    <w:rsid w:val="00D06874"/>
    <w:rsid w:val="00D07209"/>
    <w:rsid w:val="00D1227E"/>
    <w:rsid w:val="00D12DCB"/>
    <w:rsid w:val="00D14780"/>
    <w:rsid w:val="00D14B60"/>
    <w:rsid w:val="00D14DD6"/>
    <w:rsid w:val="00D22560"/>
    <w:rsid w:val="00D2258C"/>
    <w:rsid w:val="00D23443"/>
    <w:rsid w:val="00D259F9"/>
    <w:rsid w:val="00D273E9"/>
    <w:rsid w:val="00D31127"/>
    <w:rsid w:val="00D34537"/>
    <w:rsid w:val="00D360EF"/>
    <w:rsid w:val="00D36AD3"/>
    <w:rsid w:val="00D40DDC"/>
    <w:rsid w:val="00D42653"/>
    <w:rsid w:val="00D42FA6"/>
    <w:rsid w:val="00D43529"/>
    <w:rsid w:val="00D43C14"/>
    <w:rsid w:val="00D44033"/>
    <w:rsid w:val="00D44EF5"/>
    <w:rsid w:val="00D57A1F"/>
    <w:rsid w:val="00D60F63"/>
    <w:rsid w:val="00D6117E"/>
    <w:rsid w:val="00D63172"/>
    <w:rsid w:val="00D63884"/>
    <w:rsid w:val="00D67726"/>
    <w:rsid w:val="00D67D8F"/>
    <w:rsid w:val="00D67E7C"/>
    <w:rsid w:val="00D70178"/>
    <w:rsid w:val="00D7092F"/>
    <w:rsid w:val="00D731DC"/>
    <w:rsid w:val="00D7338F"/>
    <w:rsid w:val="00D75FBB"/>
    <w:rsid w:val="00D77D79"/>
    <w:rsid w:val="00D84756"/>
    <w:rsid w:val="00D84E1C"/>
    <w:rsid w:val="00D84F3A"/>
    <w:rsid w:val="00D85026"/>
    <w:rsid w:val="00D85293"/>
    <w:rsid w:val="00D853C7"/>
    <w:rsid w:val="00D876D1"/>
    <w:rsid w:val="00D87E93"/>
    <w:rsid w:val="00D925AB"/>
    <w:rsid w:val="00D94873"/>
    <w:rsid w:val="00D9578D"/>
    <w:rsid w:val="00D97A43"/>
    <w:rsid w:val="00DA26D7"/>
    <w:rsid w:val="00DA4109"/>
    <w:rsid w:val="00DA5540"/>
    <w:rsid w:val="00DA6263"/>
    <w:rsid w:val="00DA7AF3"/>
    <w:rsid w:val="00DB034C"/>
    <w:rsid w:val="00DB08CB"/>
    <w:rsid w:val="00DB1477"/>
    <w:rsid w:val="00DB1588"/>
    <w:rsid w:val="00DB1B2D"/>
    <w:rsid w:val="00DB1DE2"/>
    <w:rsid w:val="00DB1F51"/>
    <w:rsid w:val="00DB2CE5"/>
    <w:rsid w:val="00DB364E"/>
    <w:rsid w:val="00DB55F1"/>
    <w:rsid w:val="00DB5A78"/>
    <w:rsid w:val="00DC0732"/>
    <w:rsid w:val="00DC36D7"/>
    <w:rsid w:val="00DC408A"/>
    <w:rsid w:val="00DC542B"/>
    <w:rsid w:val="00DC5AF1"/>
    <w:rsid w:val="00DD0FE6"/>
    <w:rsid w:val="00DD2A8F"/>
    <w:rsid w:val="00DD3D53"/>
    <w:rsid w:val="00DD456C"/>
    <w:rsid w:val="00DD5ED0"/>
    <w:rsid w:val="00DE2C0A"/>
    <w:rsid w:val="00DE7452"/>
    <w:rsid w:val="00DE74F9"/>
    <w:rsid w:val="00DF16ED"/>
    <w:rsid w:val="00DF3D79"/>
    <w:rsid w:val="00DF5C79"/>
    <w:rsid w:val="00E00F85"/>
    <w:rsid w:val="00E01C19"/>
    <w:rsid w:val="00E06867"/>
    <w:rsid w:val="00E07450"/>
    <w:rsid w:val="00E07D0B"/>
    <w:rsid w:val="00E10B00"/>
    <w:rsid w:val="00E1103B"/>
    <w:rsid w:val="00E13058"/>
    <w:rsid w:val="00E13515"/>
    <w:rsid w:val="00E15177"/>
    <w:rsid w:val="00E15F90"/>
    <w:rsid w:val="00E167DB"/>
    <w:rsid w:val="00E20864"/>
    <w:rsid w:val="00E20CCD"/>
    <w:rsid w:val="00E22456"/>
    <w:rsid w:val="00E2328C"/>
    <w:rsid w:val="00E2344D"/>
    <w:rsid w:val="00E24002"/>
    <w:rsid w:val="00E2417F"/>
    <w:rsid w:val="00E24B40"/>
    <w:rsid w:val="00E31AE2"/>
    <w:rsid w:val="00E3240F"/>
    <w:rsid w:val="00E41505"/>
    <w:rsid w:val="00E41F77"/>
    <w:rsid w:val="00E45E85"/>
    <w:rsid w:val="00E4630F"/>
    <w:rsid w:val="00E47064"/>
    <w:rsid w:val="00E5087E"/>
    <w:rsid w:val="00E54DC4"/>
    <w:rsid w:val="00E60938"/>
    <w:rsid w:val="00E732E0"/>
    <w:rsid w:val="00E7732D"/>
    <w:rsid w:val="00E77C63"/>
    <w:rsid w:val="00E80695"/>
    <w:rsid w:val="00E80D14"/>
    <w:rsid w:val="00E82309"/>
    <w:rsid w:val="00E856C0"/>
    <w:rsid w:val="00E87DDD"/>
    <w:rsid w:val="00E90B76"/>
    <w:rsid w:val="00E91AD0"/>
    <w:rsid w:val="00E92575"/>
    <w:rsid w:val="00E95051"/>
    <w:rsid w:val="00EA39F7"/>
    <w:rsid w:val="00EA582A"/>
    <w:rsid w:val="00EA5E3C"/>
    <w:rsid w:val="00EA6E8D"/>
    <w:rsid w:val="00EB0996"/>
    <w:rsid w:val="00EB0AF5"/>
    <w:rsid w:val="00EB1548"/>
    <w:rsid w:val="00EB5AE4"/>
    <w:rsid w:val="00EB663D"/>
    <w:rsid w:val="00EB7473"/>
    <w:rsid w:val="00EC41D9"/>
    <w:rsid w:val="00EC6FBD"/>
    <w:rsid w:val="00EC747F"/>
    <w:rsid w:val="00ED0E59"/>
    <w:rsid w:val="00ED2CA2"/>
    <w:rsid w:val="00ED5DA3"/>
    <w:rsid w:val="00EE3111"/>
    <w:rsid w:val="00EE36C1"/>
    <w:rsid w:val="00EE531B"/>
    <w:rsid w:val="00EE69CB"/>
    <w:rsid w:val="00EE6B7C"/>
    <w:rsid w:val="00EF25E4"/>
    <w:rsid w:val="00EF2CDC"/>
    <w:rsid w:val="00EF3DBD"/>
    <w:rsid w:val="00EF4B44"/>
    <w:rsid w:val="00EF4C11"/>
    <w:rsid w:val="00EF695E"/>
    <w:rsid w:val="00EF6BDF"/>
    <w:rsid w:val="00EF73E8"/>
    <w:rsid w:val="00F00EDE"/>
    <w:rsid w:val="00F0141B"/>
    <w:rsid w:val="00F11FD5"/>
    <w:rsid w:val="00F13527"/>
    <w:rsid w:val="00F14ADC"/>
    <w:rsid w:val="00F14DE4"/>
    <w:rsid w:val="00F15B41"/>
    <w:rsid w:val="00F15DF5"/>
    <w:rsid w:val="00F1791B"/>
    <w:rsid w:val="00F20754"/>
    <w:rsid w:val="00F214C2"/>
    <w:rsid w:val="00F2283D"/>
    <w:rsid w:val="00F23CF6"/>
    <w:rsid w:val="00F2464C"/>
    <w:rsid w:val="00F24B47"/>
    <w:rsid w:val="00F2610F"/>
    <w:rsid w:val="00F30A00"/>
    <w:rsid w:val="00F30C65"/>
    <w:rsid w:val="00F30FB1"/>
    <w:rsid w:val="00F33ADE"/>
    <w:rsid w:val="00F33CFC"/>
    <w:rsid w:val="00F34FD8"/>
    <w:rsid w:val="00F358A4"/>
    <w:rsid w:val="00F35CFA"/>
    <w:rsid w:val="00F37779"/>
    <w:rsid w:val="00F4050A"/>
    <w:rsid w:val="00F41A53"/>
    <w:rsid w:val="00F41C9D"/>
    <w:rsid w:val="00F4540E"/>
    <w:rsid w:val="00F477FE"/>
    <w:rsid w:val="00F5063B"/>
    <w:rsid w:val="00F50986"/>
    <w:rsid w:val="00F50F27"/>
    <w:rsid w:val="00F51D7E"/>
    <w:rsid w:val="00F52B2F"/>
    <w:rsid w:val="00F53FEE"/>
    <w:rsid w:val="00F57F0E"/>
    <w:rsid w:val="00F61A22"/>
    <w:rsid w:val="00F63126"/>
    <w:rsid w:val="00F636C5"/>
    <w:rsid w:val="00F63D28"/>
    <w:rsid w:val="00F7216E"/>
    <w:rsid w:val="00F75AC2"/>
    <w:rsid w:val="00F8106E"/>
    <w:rsid w:val="00F82026"/>
    <w:rsid w:val="00F843E9"/>
    <w:rsid w:val="00F87687"/>
    <w:rsid w:val="00F87D67"/>
    <w:rsid w:val="00F87EBF"/>
    <w:rsid w:val="00F96E75"/>
    <w:rsid w:val="00F9729F"/>
    <w:rsid w:val="00FA2477"/>
    <w:rsid w:val="00FA28BF"/>
    <w:rsid w:val="00FA3906"/>
    <w:rsid w:val="00FA4538"/>
    <w:rsid w:val="00FA4ECB"/>
    <w:rsid w:val="00FA4EE9"/>
    <w:rsid w:val="00FA5A96"/>
    <w:rsid w:val="00FA73AB"/>
    <w:rsid w:val="00FA7618"/>
    <w:rsid w:val="00FA7D5A"/>
    <w:rsid w:val="00FB2971"/>
    <w:rsid w:val="00FB306D"/>
    <w:rsid w:val="00FB3217"/>
    <w:rsid w:val="00FB62B2"/>
    <w:rsid w:val="00FC3605"/>
    <w:rsid w:val="00FC51F8"/>
    <w:rsid w:val="00FC5528"/>
    <w:rsid w:val="00FC5C4C"/>
    <w:rsid w:val="00FC60B7"/>
    <w:rsid w:val="00FC67F9"/>
    <w:rsid w:val="00FD11DB"/>
    <w:rsid w:val="00FD129D"/>
    <w:rsid w:val="00FD2129"/>
    <w:rsid w:val="00FD756C"/>
    <w:rsid w:val="00FE59B3"/>
    <w:rsid w:val="00FE6C1A"/>
    <w:rsid w:val="00FE7987"/>
    <w:rsid w:val="00FF0C08"/>
    <w:rsid w:val="00FF161D"/>
    <w:rsid w:val="00FF3299"/>
    <w:rsid w:val="00FF32DB"/>
    <w:rsid w:val="00FF3F6B"/>
    <w:rsid w:val="00FF5A83"/>
    <w:rsid w:val="00FF6AB6"/>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CB23A6"/>
  <w15:chartTrackingRefBased/>
  <w15:docId w15:val="{E39BB958-A2D6-46E6-929B-37F5D39706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360" w:lineRule="auto"/>
        <w:ind w:left="68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metin içi"/>
    <w:qFormat/>
    <w:rsid w:val="007061DF"/>
    <w:pPr>
      <w:spacing w:after="0"/>
      <w:ind w:left="0" w:firstLine="680"/>
    </w:pPr>
    <w:rPr>
      <w:rFonts w:ascii="Times New Roman" w:hAnsi="Times New Roman" w:cs="Times New Roman"/>
      <w:sz w:val="24"/>
    </w:rPr>
  </w:style>
  <w:style w:type="paragraph" w:styleId="Balk1">
    <w:name w:val="heading 1"/>
    <w:aliases w:val="ana başlık"/>
    <w:basedOn w:val="Normal"/>
    <w:next w:val="Normal"/>
    <w:link w:val="Balk1Char"/>
    <w:autoRedefine/>
    <w:uiPriority w:val="9"/>
    <w:qFormat/>
    <w:rsid w:val="00246740"/>
    <w:pPr>
      <w:ind w:firstLine="0"/>
      <w:jc w:val="center"/>
      <w:outlineLvl w:val="0"/>
    </w:pPr>
    <w:rPr>
      <w:b/>
      <w:sz w:val="28"/>
      <w:szCs w:val="24"/>
    </w:rPr>
  </w:style>
  <w:style w:type="paragraph" w:styleId="Balk2">
    <w:name w:val="heading 2"/>
    <w:aliases w:val="alt başlık1"/>
    <w:basedOn w:val="Normal"/>
    <w:next w:val="Normal"/>
    <w:link w:val="Balk2Char"/>
    <w:uiPriority w:val="9"/>
    <w:unhideWhenUsed/>
    <w:qFormat/>
    <w:rsid w:val="00FD2129"/>
    <w:pPr>
      <w:keepNext/>
      <w:keepLines/>
      <w:numPr>
        <w:ilvl w:val="1"/>
        <w:numId w:val="11"/>
      </w:numPr>
      <w:spacing w:before="40"/>
      <w:outlineLvl w:val="1"/>
    </w:pPr>
    <w:rPr>
      <w:rFonts w:eastAsiaTheme="majorEastAsia" w:cstheme="majorBidi"/>
      <w:b/>
      <w:color w:val="000000" w:themeColor="text1"/>
      <w:szCs w:val="26"/>
    </w:rPr>
  </w:style>
  <w:style w:type="paragraph" w:styleId="Balk3">
    <w:name w:val="heading 3"/>
    <w:aliases w:val="Alt başlık 2"/>
    <w:basedOn w:val="Normal"/>
    <w:next w:val="Normal"/>
    <w:link w:val="Balk3Char"/>
    <w:uiPriority w:val="9"/>
    <w:unhideWhenUsed/>
    <w:qFormat/>
    <w:rsid w:val="007E796F"/>
    <w:pPr>
      <w:keepNext/>
      <w:keepLines/>
      <w:numPr>
        <w:ilvl w:val="2"/>
        <w:numId w:val="11"/>
      </w:numPr>
      <w:spacing w:before="40" w:line="240" w:lineRule="auto"/>
      <w:outlineLvl w:val="2"/>
    </w:pPr>
    <w:rPr>
      <w:rFonts w:eastAsiaTheme="majorEastAsia" w:cstheme="majorBidi"/>
      <w:b/>
      <w:szCs w:val="24"/>
    </w:rPr>
  </w:style>
  <w:style w:type="paragraph" w:styleId="Balk4">
    <w:name w:val="heading 4"/>
    <w:aliases w:val="şekil altı yazılar"/>
    <w:basedOn w:val="Normal"/>
    <w:next w:val="Normal"/>
    <w:link w:val="Balk4Char"/>
    <w:uiPriority w:val="9"/>
    <w:unhideWhenUsed/>
    <w:rsid w:val="00693D2D"/>
    <w:pPr>
      <w:keepNext/>
      <w:keepLines/>
      <w:numPr>
        <w:ilvl w:val="3"/>
        <w:numId w:val="11"/>
      </w:numPr>
      <w:spacing w:before="240"/>
      <w:ind w:right="2268"/>
      <w:jc w:val="left"/>
      <w:outlineLvl w:val="3"/>
    </w:pPr>
    <w:rPr>
      <w:rFonts w:eastAsiaTheme="majorEastAsia" w:cstheme="majorBidi"/>
      <w:iCs/>
      <w:sz w:val="20"/>
    </w:rPr>
  </w:style>
  <w:style w:type="paragraph" w:styleId="Balk5">
    <w:name w:val="heading 5"/>
    <w:basedOn w:val="Normal"/>
    <w:next w:val="Normal"/>
    <w:link w:val="Balk5Char"/>
    <w:uiPriority w:val="9"/>
    <w:unhideWhenUsed/>
    <w:qFormat/>
    <w:rsid w:val="00616CDA"/>
    <w:pPr>
      <w:keepNext/>
      <w:keepLines/>
      <w:numPr>
        <w:ilvl w:val="4"/>
        <w:numId w:val="11"/>
      </w:numPr>
      <w:spacing w:before="40"/>
      <w:outlineLvl w:val="4"/>
    </w:pPr>
    <w:rPr>
      <w:rFonts w:asciiTheme="majorHAnsi" w:eastAsiaTheme="majorEastAsia" w:hAnsiTheme="majorHAnsi" w:cstheme="majorBidi"/>
      <w:color w:val="2E74B5" w:themeColor="accent1" w:themeShade="BF"/>
    </w:rPr>
  </w:style>
  <w:style w:type="paragraph" w:styleId="Balk6">
    <w:name w:val="heading 6"/>
    <w:basedOn w:val="Normal"/>
    <w:next w:val="Normal"/>
    <w:link w:val="Balk6Char"/>
    <w:uiPriority w:val="9"/>
    <w:unhideWhenUsed/>
    <w:qFormat/>
    <w:rsid w:val="00616CDA"/>
    <w:pPr>
      <w:keepNext/>
      <w:keepLines/>
      <w:numPr>
        <w:ilvl w:val="5"/>
        <w:numId w:val="11"/>
      </w:numPr>
      <w:spacing w:before="40"/>
      <w:outlineLvl w:val="5"/>
    </w:pPr>
    <w:rPr>
      <w:rFonts w:asciiTheme="majorHAnsi" w:eastAsiaTheme="majorEastAsia" w:hAnsiTheme="majorHAnsi" w:cstheme="majorBidi"/>
      <w:color w:val="1F4D78" w:themeColor="accent1" w:themeShade="7F"/>
    </w:rPr>
  </w:style>
  <w:style w:type="paragraph" w:styleId="Balk7">
    <w:name w:val="heading 7"/>
    <w:basedOn w:val="Normal"/>
    <w:next w:val="Normal"/>
    <w:link w:val="Balk7Char"/>
    <w:uiPriority w:val="9"/>
    <w:unhideWhenUsed/>
    <w:qFormat/>
    <w:rsid w:val="00616CDA"/>
    <w:pPr>
      <w:keepNext/>
      <w:keepLines/>
      <w:numPr>
        <w:ilvl w:val="6"/>
        <w:numId w:val="11"/>
      </w:numPr>
      <w:spacing w:before="40"/>
      <w:outlineLvl w:val="6"/>
    </w:pPr>
    <w:rPr>
      <w:rFonts w:asciiTheme="majorHAnsi" w:eastAsiaTheme="majorEastAsia" w:hAnsiTheme="majorHAnsi" w:cstheme="majorBidi"/>
      <w:i/>
      <w:iCs/>
      <w:color w:val="1F4D78" w:themeColor="accent1" w:themeShade="7F"/>
    </w:rPr>
  </w:style>
  <w:style w:type="paragraph" w:styleId="Balk8">
    <w:name w:val="heading 8"/>
    <w:basedOn w:val="Normal"/>
    <w:next w:val="Normal"/>
    <w:link w:val="Balk8Char"/>
    <w:uiPriority w:val="9"/>
    <w:semiHidden/>
    <w:unhideWhenUsed/>
    <w:qFormat/>
    <w:rsid w:val="00616CDA"/>
    <w:pPr>
      <w:keepNext/>
      <w:keepLines/>
      <w:numPr>
        <w:ilvl w:val="7"/>
        <w:numId w:val="11"/>
      </w:numPr>
      <w:spacing w:before="4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616CDA"/>
    <w:pPr>
      <w:keepNext/>
      <w:keepLines/>
      <w:numPr>
        <w:ilvl w:val="8"/>
        <w:numId w:val="1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fontstyle01">
    <w:name w:val="fontstyle01"/>
    <w:basedOn w:val="VarsaylanParagrafYazTipi"/>
    <w:rsid w:val="009047AC"/>
    <w:rPr>
      <w:rFonts w:ascii="TimesNewRomanPS-BoldMT" w:hAnsi="TimesNewRomanPS-BoldMT" w:hint="default"/>
      <w:b/>
      <w:bCs/>
      <w:i w:val="0"/>
      <w:iCs w:val="0"/>
      <w:color w:val="000000"/>
      <w:sz w:val="24"/>
      <w:szCs w:val="24"/>
    </w:rPr>
  </w:style>
  <w:style w:type="character" w:customStyle="1" w:styleId="fontstyle11">
    <w:name w:val="fontstyle11"/>
    <w:basedOn w:val="VarsaylanParagrafYazTipi"/>
    <w:rsid w:val="009047AC"/>
    <w:rPr>
      <w:rFonts w:ascii="TimesNewRomanPSMT" w:hAnsi="TimesNewRomanPSMT" w:hint="default"/>
      <w:b w:val="0"/>
      <w:bCs w:val="0"/>
      <w:i w:val="0"/>
      <w:iCs w:val="0"/>
      <w:color w:val="000000"/>
      <w:sz w:val="24"/>
      <w:szCs w:val="24"/>
    </w:rPr>
  </w:style>
  <w:style w:type="character" w:customStyle="1" w:styleId="fontstyle21">
    <w:name w:val="fontstyle21"/>
    <w:basedOn w:val="VarsaylanParagrafYazTipi"/>
    <w:rsid w:val="00C71F5A"/>
    <w:rPr>
      <w:rFonts w:ascii="TimesNewRomanPSMT" w:hAnsi="TimesNewRomanPSMT" w:hint="default"/>
      <w:b w:val="0"/>
      <w:bCs w:val="0"/>
      <w:i w:val="0"/>
      <w:iCs w:val="0"/>
      <w:color w:val="000000"/>
      <w:sz w:val="24"/>
      <w:szCs w:val="24"/>
    </w:rPr>
  </w:style>
  <w:style w:type="character" w:customStyle="1" w:styleId="fontstyle31">
    <w:name w:val="fontstyle31"/>
    <w:basedOn w:val="VarsaylanParagrafYazTipi"/>
    <w:rsid w:val="00A67832"/>
    <w:rPr>
      <w:rFonts w:ascii="Calibri" w:hAnsi="Calibri" w:hint="default"/>
      <w:b w:val="0"/>
      <w:bCs w:val="0"/>
      <w:i w:val="0"/>
      <w:iCs w:val="0"/>
      <w:color w:val="000000"/>
      <w:sz w:val="22"/>
      <w:szCs w:val="22"/>
    </w:rPr>
  </w:style>
  <w:style w:type="paragraph" w:styleId="ListeParagraf">
    <w:name w:val="List Paragraph"/>
    <w:basedOn w:val="Normal"/>
    <w:uiPriority w:val="34"/>
    <w:qFormat/>
    <w:rsid w:val="00B17B0F"/>
    <w:pPr>
      <w:ind w:left="720"/>
      <w:contextualSpacing/>
    </w:pPr>
  </w:style>
  <w:style w:type="paragraph" w:styleId="AralkYok">
    <w:name w:val="No Spacing"/>
    <w:uiPriority w:val="1"/>
    <w:rsid w:val="008A5B74"/>
    <w:pPr>
      <w:spacing w:after="0" w:line="240" w:lineRule="auto"/>
    </w:pPr>
  </w:style>
  <w:style w:type="character" w:customStyle="1" w:styleId="Balk1Char">
    <w:name w:val="Başlık 1 Char"/>
    <w:aliases w:val="ana başlık Char"/>
    <w:basedOn w:val="VarsaylanParagrafYazTipi"/>
    <w:link w:val="Balk1"/>
    <w:uiPriority w:val="9"/>
    <w:rsid w:val="00246740"/>
    <w:rPr>
      <w:rFonts w:ascii="Times New Roman" w:hAnsi="Times New Roman" w:cs="Times New Roman"/>
      <w:b/>
      <w:sz w:val="28"/>
      <w:szCs w:val="24"/>
    </w:rPr>
  </w:style>
  <w:style w:type="character" w:customStyle="1" w:styleId="Balk2Char">
    <w:name w:val="Başlık 2 Char"/>
    <w:aliases w:val="alt başlık1 Char"/>
    <w:basedOn w:val="VarsaylanParagrafYazTipi"/>
    <w:link w:val="Balk2"/>
    <w:uiPriority w:val="9"/>
    <w:rsid w:val="00FD2129"/>
    <w:rPr>
      <w:rFonts w:ascii="Times New Roman" w:eastAsiaTheme="majorEastAsia" w:hAnsi="Times New Roman" w:cstheme="majorBidi"/>
      <w:b/>
      <w:color w:val="000000" w:themeColor="text1"/>
      <w:sz w:val="24"/>
      <w:szCs w:val="26"/>
    </w:rPr>
  </w:style>
  <w:style w:type="paragraph" w:styleId="GvdeMetni">
    <w:name w:val="Body Text"/>
    <w:basedOn w:val="Normal"/>
    <w:link w:val="GvdeMetniChar"/>
    <w:uiPriority w:val="1"/>
    <w:rsid w:val="00AF00FB"/>
    <w:pPr>
      <w:widowControl w:val="0"/>
      <w:autoSpaceDE w:val="0"/>
      <w:autoSpaceDN w:val="0"/>
      <w:spacing w:line="240" w:lineRule="auto"/>
      <w:jc w:val="left"/>
    </w:pPr>
    <w:rPr>
      <w:rFonts w:eastAsia="Times New Roman"/>
      <w:szCs w:val="24"/>
    </w:rPr>
  </w:style>
  <w:style w:type="character" w:customStyle="1" w:styleId="GvdeMetniChar">
    <w:name w:val="Gövde Metni Char"/>
    <w:basedOn w:val="VarsaylanParagrafYazTipi"/>
    <w:link w:val="GvdeMetni"/>
    <w:uiPriority w:val="1"/>
    <w:rsid w:val="00AF00FB"/>
    <w:rPr>
      <w:rFonts w:ascii="Times New Roman" w:eastAsia="Times New Roman" w:hAnsi="Times New Roman" w:cs="Times New Roman"/>
      <w:sz w:val="24"/>
      <w:szCs w:val="24"/>
    </w:rPr>
  </w:style>
  <w:style w:type="character" w:customStyle="1" w:styleId="Balk4Char">
    <w:name w:val="Başlık 4 Char"/>
    <w:aliases w:val="şekil altı yazılar Char"/>
    <w:basedOn w:val="VarsaylanParagrafYazTipi"/>
    <w:link w:val="Balk4"/>
    <w:uiPriority w:val="9"/>
    <w:rsid w:val="00693D2D"/>
    <w:rPr>
      <w:rFonts w:ascii="Times New Roman" w:eastAsiaTheme="majorEastAsia" w:hAnsi="Times New Roman" w:cstheme="majorBidi"/>
      <w:iCs/>
      <w:sz w:val="20"/>
    </w:rPr>
  </w:style>
  <w:style w:type="paragraph" w:styleId="stbilgi">
    <w:name w:val="header"/>
    <w:basedOn w:val="Normal"/>
    <w:link w:val="stbilgiChar"/>
    <w:uiPriority w:val="99"/>
    <w:unhideWhenUsed/>
    <w:rsid w:val="00AE01EB"/>
    <w:pPr>
      <w:tabs>
        <w:tab w:val="center" w:pos="4536"/>
        <w:tab w:val="right" w:pos="9072"/>
      </w:tabs>
      <w:spacing w:line="240" w:lineRule="auto"/>
    </w:pPr>
  </w:style>
  <w:style w:type="character" w:customStyle="1" w:styleId="stbilgiChar">
    <w:name w:val="Üstbilgi Char"/>
    <w:basedOn w:val="VarsaylanParagrafYazTipi"/>
    <w:link w:val="stbilgi"/>
    <w:uiPriority w:val="99"/>
    <w:rsid w:val="00AE01EB"/>
  </w:style>
  <w:style w:type="paragraph" w:styleId="Altbilgi">
    <w:name w:val="footer"/>
    <w:basedOn w:val="Normal"/>
    <w:link w:val="AltbilgiChar"/>
    <w:uiPriority w:val="99"/>
    <w:unhideWhenUsed/>
    <w:rsid w:val="00AE01EB"/>
    <w:pPr>
      <w:tabs>
        <w:tab w:val="center" w:pos="4536"/>
        <w:tab w:val="right" w:pos="9072"/>
      </w:tabs>
      <w:spacing w:line="240" w:lineRule="auto"/>
    </w:pPr>
  </w:style>
  <w:style w:type="character" w:customStyle="1" w:styleId="AltbilgiChar">
    <w:name w:val="Altbilgi Char"/>
    <w:basedOn w:val="VarsaylanParagrafYazTipi"/>
    <w:link w:val="Altbilgi"/>
    <w:uiPriority w:val="99"/>
    <w:rsid w:val="00AE01EB"/>
  </w:style>
  <w:style w:type="paragraph" w:styleId="TBal">
    <w:name w:val="TOC Heading"/>
    <w:basedOn w:val="Balk1"/>
    <w:next w:val="Normal"/>
    <w:uiPriority w:val="39"/>
    <w:unhideWhenUsed/>
    <w:qFormat/>
    <w:rsid w:val="00D23443"/>
    <w:pPr>
      <w:keepNext/>
      <w:keepLines/>
      <w:spacing w:before="240" w:line="259" w:lineRule="auto"/>
      <w:outlineLvl w:val="9"/>
    </w:pPr>
    <w:rPr>
      <w:rFonts w:asciiTheme="majorHAnsi" w:eastAsiaTheme="majorEastAsia" w:hAnsiTheme="majorHAnsi" w:cstheme="majorBidi"/>
      <w:b w:val="0"/>
      <w:color w:val="2E74B5" w:themeColor="accent1" w:themeShade="BF"/>
      <w:sz w:val="32"/>
      <w:szCs w:val="32"/>
      <w:lang w:eastAsia="tr-TR"/>
    </w:rPr>
  </w:style>
  <w:style w:type="paragraph" w:styleId="T2">
    <w:name w:val="toc 2"/>
    <w:basedOn w:val="Normal"/>
    <w:next w:val="Normal"/>
    <w:autoRedefine/>
    <w:uiPriority w:val="39"/>
    <w:unhideWhenUsed/>
    <w:rsid w:val="00D23443"/>
    <w:pPr>
      <w:ind w:left="240"/>
      <w:jc w:val="left"/>
    </w:pPr>
    <w:rPr>
      <w:rFonts w:asciiTheme="minorHAnsi" w:hAnsiTheme="minorHAnsi" w:cstheme="minorHAnsi"/>
      <w:i/>
      <w:iCs/>
      <w:sz w:val="20"/>
      <w:szCs w:val="20"/>
    </w:rPr>
  </w:style>
  <w:style w:type="paragraph" w:styleId="T1">
    <w:name w:val="toc 1"/>
    <w:basedOn w:val="Normal"/>
    <w:next w:val="Normal"/>
    <w:autoRedefine/>
    <w:uiPriority w:val="39"/>
    <w:unhideWhenUsed/>
    <w:rsid w:val="000532CD"/>
    <w:pPr>
      <w:spacing w:before="240" w:line="240" w:lineRule="auto"/>
      <w:jc w:val="left"/>
    </w:pPr>
    <w:rPr>
      <w:rFonts w:cstheme="minorHAnsi"/>
      <w:b/>
      <w:bCs/>
      <w:sz w:val="20"/>
      <w:szCs w:val="20"/>
    </w:rPr>
  </w:style>
  <w:style w:type="paragraph" w:styleId="T3">
    <w:name w:val="toc 3"/>
    <w:basedOn w:val="Normal"/>
    <w:next w:val="Normal"/>
    <w:autoRedefine/>
    <w:uiPriority w:val="39"/>
    <w:unhideWhenUsed/>
    <w:rsid w:val="00D23443"/>
    <w:pPr>
      <w:ind w:left="480"/>
      <w:jc w:val="left"/>
    </w:pPr>
    <w:rPr>
      <w:rFonts w:asciiTheme="minorHAnsi" w:hAnsiTheme="minorHAnsi" w:cstheme="minorHAnsi"/>
      <w:sz w:val="20"/>
      <w:szCs w:val="20"/>
    </w:rPr>
  </w:style>
  <w:style w:type="character" w:customStyle="1" w:styleId="Balk3Char">
    <w:name w:val="Başlık 3 Char"/>
    <w:aliases w:val="Alt başlık 2 Char"/>
    <w:basedOn w:val="VarsaylanParagrafYazTipi"/>
    <w:link w:val="Balk3"/>
    <w:uiPriority w:val="9"/>
    <w:rsid w:val="007E796F"/>
    <w:rPr>
      <w:rFonts w:ascii="Times New Roman" w:eastAsiaTheme="majorEastAsia" w:hAnsi="Times New Roman" w:cstheme="majorBidi"/>
      <w:b/>
      <w:sz w:val="24"/>
      <w:szCs w:val="24"/>
    </w:rPr>
  </w:style>
  <w:style w:type="character" w:customStyle="1" w:styleId="Balk5Char">
    <w:name w:val="Başlık 5 Char"/>
    <w:basedOn w:val="VarsaylanParagrafYazTipi"/>
    <w:link w:val="Balk5"/>
    <w:uiPriority w:val="9"/>
    <w:rsid w:val="00616CDA"/>
    <w:rPr>
      <w:rFonts w:asciiTheme="majorHAnsi" w:eastAsiaTheme="majorEastAsia" w:hAnsiTheme="majorHAnsi" w:cstheme="majorBidi"/>
      <w:color w:val="2E74B5" w:themeColor="accent1" w:themeShade="BF"/>
      <w:sz w:val="24"/>
    </w:rPr>
  </w:style>
  <w:style w:type="character" w:customStyle="1" w:styleId="Balk6Char">
    <w:name w:val="Başlık 6 Char"/>
    <w:basedOn w:val="VarsaylanParagrafYazTipi"/>
    <w:link w:val="Balk6"/>
    <w:uiPriority w:val="9"/>
    <w:rsid w:val="00616CDA"/>
    <w:rPr>
      <w:rFonts w:asciiTheme="majorHAnsi" w:eastAsiaTheme="majorEastAsia" w:hAnsiTheme="majorHAnsi" w:cstheme="majorBidi"/>
      <w:color w:val="1F4D78" w:themeColor="accent1" w:themeShade="7F"/>
      <w:sz w:val="24"/>
    </w:rPr>
  </w:style>
  <w:style w:type="character" w:customStyle="1" w:styleId="Balk7Char">
    <w:name w:val="Başlık 7 Char"/>
    <w:basedOn w:val="VarsaylanParagrafYazTipi"/>
    <w:link w:val="Balk7"/>
    <w:uiPriority w:val="9"/>
    <w:rsid w:val="00616CDA"/>
    <w:rPr>
      <w:rFonts w:asciiTheme="majorHAnsi" w:eastAsiaTheme="majorEastAsia" w:hAnsiTheme="majorHAnsi" w:cstheme="majorBidi"/>
      <w:i/>
      <w:iCs/>
      <w:color w:val="1F4D78" w:themeColor="accent1" w:themeShade="7F"/>
      <w:sz w:val="24"/>
    </w:rPr>
  </w:style>
  <w:style w:type="character" w:customStyle="1" w:styleId="Balk8Char">
    <w:name w:val="Başlık 8 Char"/>
    <w:basedOn w:val="VarsaylanParagrafYazTipi"/>
    <w:link w:val="Balk8"/>
    <w:uiPriority w:val="9"/>
    <w:semiHidden/>
    <w:rsid w:val="00616CDA"/>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9"/>
    <w:semiHidden/>
    <w:rsid w:val="00616CDA"/>
    <w:rPr>
      <w:rFonts w:asciiTheme="majorHAnsi" w:eastAsiaTheme="majorEastAsia" w:hAnsiTheme="majorHAnsi" w:cstheme="majorBidi"/>
      <w:i/>
      <w:iCs/>
      <w:color w:val="272727" w:themeColor="text1" w:themeTint="D8"/>
      <w:sz w:val="21"/>
      <w:szCs w:val="21"/>
    </w:rPr>
  </w:style>
  <w:style w:type="numbering" w:customStyle="1" w:styleId="Stil1">
    <w:name w:val="Stil1"/>
    <w:uiPriority w:val="99"/>
    <w:rsid w:val="00F41C9D"/>
    <w:pPr>
      <w:numPr>
        <w:numId w:val="1"/>
      </w:numPr>
    </w:pPr>
  </w:style>
  <w:style w:type="numbering" w:customStyle="1" w:styleId="Stil2">
    <w:name w:val="Stil2"/>
    <w:uiPriority w:val="99"/>
    <w:rsid w:val="00F41C9D"/>
    <w:pPr>
      <w:numPr>
        <w:numId w:val="2"/>
      </w:numPr>
    </w:pPr>
  </w:style>
  <w:style w:type="character" w:styleId="Kpr">
    <w:name w:val="Hyperlink"/>
    <w:basedOn w:val="VarsaylanParagrafYazTipi"/>
    <w:uiPriority w:val="99"/>
    <w:unhideWhenUsed/>
    <w:rsid w:val="001B225D"/>
    <w:rPr>
      <w:color w:val="0563C1" w:themeColor="hyperlink"/>
      <w:u w:val="single"/>
    </w:rPr>
  </w:style>
  <w:style w:type="paragraph" w:styleId="T4">
    <w:name w:val="toc 4"/>
    <w:basedOn w:val="Normal"/>
    <w:next w:val="Normal"/>
    <w:autoRedefine/>
    <w:uiPriority w:val="39"/>
    <w:unhideWhenUsed/>
    <w:rsid w:val="001B225D"/>
    <w:pPr>
      <w:ind w:left="720"/>
      <w:jc w:val="left"/>
    </w:pPr>
    <w:rPr>
      <w:rFonts w:asciiTheme="minorHAnsi" w:hAnsiTheme="minorHAnsi" w:cstheme="minorHAnsi"/>
      <w:sz w:val="20"/>
      <w:szCs w:val="20"/>
    </w:rPr>
  </w:style>
  <w:style w:type="paragraph" w:styleId="T5">
    <w:name w:val="toc 5"/>
    <w:basedOn w:val="Normal"/>
    <w:next w:val="Normal"/>
    <w:autoRedefine/>
    <w:uiPriority w:val="39"/>
    <w:unhideWhenUsed/>
    <w:rsid w:val="001B225D"/>
    <w:pPr>
      <w:ind w:left="960"/>
      <w:jc w:val="left"/>
    </w:pPr>
    <w:rPr>
      <w:rFonts w:asciiTheme="minorHAnsi" w:hAnsiTheme="minorHAnsi" w:cstheme="minorHAnsi"/>
      <w:sz w:val="20"/>
      <w:szCs w:val="20"/>
    </w:rPr>
  </w:style>
  <w:style w:type="paragraph" w:styleId="T6">
    <w:name w:val="toc 6"/>
    <w:basedOn w:val="Normal"/>
    <w:next w:val="Normal"/>
    <w:autoRedefine/>
    <w:uiPriority w:val="39"/>
    <w:unhideWhenUsed/>
    <w:rsid w:val="001B225D"/>
    <w:pPr>
      <w:ind w:left="1200"/>
      <w:jc w:val="left"/>
    </w:pPr>
    <w:rPr>
      <w:rFonts w:asciiTheme="minorHAnsi" w:hAnsiTheme="minorHAnsi" w:cstheme="minorHAnsi"/>
      <w:sz w:val="20"/>
      <w:szCs w:val="20"/>
    </w:rPr>
  </w:style>
  <w:style w:type="paragraph" w:styleId="T7">
    <w:name w:val="toc 7"/>
    <w:basedOn w:val="Normal"/>
    <w:next w:val="Normal"/>
    <w:autoRedefine/>
    <w:uiPriority w:val="39"/>
    <w:unhideWhenUsed/>
    <w:rsid w:val="001B225D"/>
    <w:pPr>
      <w:ind w:left="1440"/>
      <w:jc w:val="left"/>
    </w:pPr>
    <w:rPr>
      <w:rFonts w:asciiTheme="minorHAnsi" w:hAnsiTheme="minorHAnsi" w:cstheme="minorHAnsi"/>
      <w:sz w:val="20"/>
      <w:szCs w:val="20"/>
    </w:rPr>
  </w:style>
  <w:style w:type="paragraph" w:styleId="T8">
    <w:name w:val="toc 8"/>
    <w:basedOn w:val="Normal"/>
    <w:next w:val="Normal"/>
    <w:autoRedefine/>
    <w:uiPriority w:val="39"/>
    <w:unhideWhenUsed/>
    <w:rsid w:val="001B225D"/>
    <w:pPr>
      <w:ind w:left="1680"/>
      <w:jc w:val="left"/>
    </w:pPr>
    <w:rPr>
      <w:rFonts w:asciiTheme="minorHAnsi" w:hAnsiTheme="minorHAnsi" w:cstheme="minorHAnsi"/>
      <w:sz w:val="20"/>
      <w:szCs w:val="20"/>
    </w:rPr>
  </w:style>
  <w:style w:type="paragraph" w:styleId="T9">
    <w:name w:val="toc 9"/>
    <w:basedOn w:val="Normal"/>
    <w:next w:val="Normal"/>
    <w:autoRedefine/>
    <w:uiPriority w:val="39"/>
    <w:unhideWhenUsed/>
    <w:rsid w:val="001B225D"/>
    <w:pPr>
      <w:ind w:left="1920"/>
      <w:jc w:val="left"/>
    </w:pPr>
    <w:rPr>
      <w:rFonts w:asciiTheme="minorHAnsi" w:hAnsiTheme="minorHAnsi" w:cstheme="minorHAnsi"/>
      <w:sz w:val="20"/>
      <w:szCs w:val="20"/>
    </w:rPr>
  </w:style>
  <w:style w:type="paragraph" w:styleId="ResimYazs">
    <w:name w:val="caption"/>
    <w:basedOn w:val="Normal"/>
    <w:next w:val="Normal"/>
    <w:uiPriority w:val="35"/>
    <w:unhideWhenUsed/>
    <w:qFormat/>
    <w:rsid w:val="004D1B9B"/>
    <w:pPr>
      <w:spacing w:after="200" w:line="240" w:lineRule="auto"/>
    </w:pPr>
    <w:rPr>
      <w:i/>
      <w:iCs/>
      <w:color w:val="44546A" w:themeColor="text2"/>
      <w:sz w:val="18"/>
      <w:szCs w:val="18"/>
    </w:rPr>
  </w:style>
  <w:style w:type="paragraph" w:styleId="ekillerTablosu">
    <w:name w:val="table of figures"/>
    <w:basedOn w:val="Normal"/>
    <w:next w:val="Normal"/>
    <w:uiPriority w:val="99"/>
    <w:unhideWhenUsed/>
    <w:rsid w:val="004D1B9B"/>
  </w:style>
  <w:style w:type="paragraph" w:styleId="Dizin1">
    <w:name w:val="index 1"/>
    <w:basedOn w:val="Normal"/>
    <w:next w:val="Normal"/>
    <w:autoRedefine/>
    <w:uiPriority w:val="99"/>
    <w:semiHidden/>
    <w:unhideWhenUsed/>
    <w:rsid w:val="00C61C21"/>
    <w:pPr>
      <w:spacing w:line="240" w:lineRule="auto"/>
      <w:ind w:left="240" w:hanging="240"/>
    </w:pPr>
  </w:style>
  <w:style w:type="table" w:styleId="TabloKlavuzu">
    <w:name w:val="Table Grid"/>
    <w:basedOn w:val="NormalTablo"/>
    <w:uiPriority w:val="39"/>
    <w:rsid w:val="00F50F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zeltme">
    <w:name w:val="Revision"/>
    <w:hidden/>
    <w:uiPriority w:val="99"/>
    <w:semiHidden/>
    <w:rsid w:val="000317D3"/>
    <w:pPr>
      <w:spacing w:after="0" w:line="240" w:lineRule="auto"/>
      <w:ind w:left="0"/>
      <w:jc w:val="left"/>
    </w:pPr>
    <w:rPr>
      <w:rFonts w:ascii="Times New Roman" w:hAnsi="Times New Roman" w:cs="Times New Roman"/>
      <w:sz w:val="24"/>
    </w:rPr>
  </w:style>
  <w:style w:type="character" w:customStyle="1" w:styleId="fontstyle41">
    <w:name w:val="fontstyle41"/>
    <w:basedOn w:val="VarsaylanParagrafYazTipi"/>
    <w:rsid w:val="00B1498C"/>
    <w:rPr>
      <w:rFonts w:ascii="Calibri" w:hAnsi="Calibri" w:hint="default"/>
      <w:b w:val="0"/>
      <w:bCs w:val="0"/>
      <w:i w:val="0"/>
      <w:iCs w:val="0"/>
      <w:color w:val="000000"/>
      <w:sz w:val="22"/>
      <w:szCs w:val="22"/>
    </w:rPr>
  </w:style>
  <w:style w:type="table" w:styleId="DzTablo1">
    <w:name w:val="Plain Table 1"/>
    <w:basedOn w:val="NormalTablo"/>
    <w:uiPriority w:val="41"/>
    <w:rsid w:val="00F972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onMetni">
    <w:name w:val="Balloon Text"/>
    <w:basedOn w:val="Normal"/>
    <w:link w:val="BalonMetniChar"/>
    <w:uiPriority w:val="99"/>
    <w:semiHidden/>
    <w:unhideWhenUsed/>
    <w:rsid w:val="00042572"/>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042572"/>
    <w:rPr>
      <w:rFonts w:ascii="Segoe UI" w:hAnsi="Segoe UI" w:cs="Segoe UI"/>
      <w:sz w:val="18"/>
      <w:szCs w:val="18"/>
    </w:rPr>
  </w:style>
  <w:style w:type="character" w:styleId="Vurgu">
    <w:name w:val="Emphasis"/>
    <w:basedOn w:val="VarsaylanParagrafYazTipi"/>
    <w:uiPriority w:val="20"/>
    <w:qFormat/>
    <w:rsid w:val="009270EB"/>
    <w:rPr>
      <w:i/>
      <w:iCs/>
    </w:rPr>
  </w:style>
  <w:style w:type="character" w:customStyle="1" w:styleId="st">
    <w:name w:val="st"/>
    <w:basedOn w:val="VarsaylanParagrafYazTipi"/>
    <w:rsid w:val="009270EB"/>
  </w:style>
  <w:style w:type="table" w:styleId="DzTablo4">
    <w:name w:val="Plain Table 4"/>
    <w:basedOn w:val="NormalTablo"/>
    <w:uiPriority w:val="44"/>
    <w:rsid w:val="00DA7AF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DzTablo5">
    <w:name w:val="Plain Table 5"/>
    <w:basedOn w:val="NormalTablo"/>
    <w:uiPriority w:val="45"/>
    <w:rsid w:val="00DA7AF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ltyaz">
    <w:name w:val="Subtitle"/>
    <w:basedOn w:val="Normal"/>
    <w:next w:val="Normal"/>
    <w:link w:val="AltyazChar"/>
    <w:uiPriority w:val="11"/>
    <w:qFormat/>
    <w:rsid w:val="0082398A"/>
    <w:pPr>
      <w:keepNext/>
      <w:keepLines/>
      <w:framePr w:wrap="notBeside" w:vAnchor="text" w:hAnchor="text" w:y="1"/>
      <w:numPr>
        <w:ilvl w:val="1"/>
      </w:numPr>
      <w:spacing w:before="120"/>
      <w:ind w:left="851" w:right="1701" w:firstLine="680"/>
      <w:mirrorIndents/>
      <w:jc w:val="left"/>
    </w:pPr>
    <w:rPr>
      <w:rFonts w:eastAsiaTheme="minorEastAsia" w:cstheme="minorBidi"/>
      <w:spacing w:val="15"/>
      <w:sz w:val="20"/>
    </w:rPr>
  </w:style>
  <w:style w:type="character" w:customStyle="1" w:styleId="AltyazChar">
    <w:name w:val="Altyazı Char"/>
    <w:basedOn w:val="VarsaylanParagrafYazTipi"/>
    <w:link w:val="Altyaz"/>
    <w:uiPriority w:val="11"/>
    <w:rsid w:val="0082398A"/>
    <w:rPr>
      <w:rFonts w:ascii="Times New Roman" w:eastAsiaTheme="minorEastAsia" w:hAnsi="Times New Roman"/>
      <w:spacing w:val="15"/>
      <w:sz w:val="20"/>
    </w:rPr>
  </w:style>
  <w:style w:type="table" w:styleId="KlavuzuTablo4-Vurgu2">
    <w:name w:val="Grid Table 4 Accent 2"/>
    <w:basedOn w:val="NormalTablo"/>
    <w:uiPriority w:val="49"/>
    <w:rsid w:val="0029744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KlavuzTablo2-Vurgu3">
    <w:name w:val="Grid Table 2 Accent 3"/>
    <w:basedOn w:val="NormalTablo"/>
    <w:uiPriority w:val="47"/>
    <w:rsid w:val="00B128AF"/>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KlavuzTablo2-Vurgu5">
    <w:name w:val="Grid Table 2 Accent 5"/>
    <w:basedOn w:val="NormalTablo"/>
    <w:uiPriority w:val="47"/>
    <w:rsid w:val="00457BEA"/>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author">
    <w:name w:val="author"/>
    <w:basedOn w:val="VarsaylanParagrafYazTipi"/>
    <w:rsid w:val="008167F3"/>
  </w:style>
  <w:style w:type="character" w:customStyle="1" w:styleId="articletitle">
    <w:name w:val="articletitle"/>
    <w:basedOn w:val="VarsaylanParagrafYazTipi"/>
    <w:rsid w:val="008167F3"/>
  </w:style>
  <w:style w:type="character" w:customStyle="1" w:styleId="journaltitle">
    <w:name w:val="journaltitle"/>
    <w:basedOn w:val="VarsaylanParagrafYazTipi"/>
    <w:rsid w:val="008167F3"/>
  </w:style>
  <w:style w:type="character" w:customStyle="1" w:styleId="pubyear">
    <w:name w:val="pubyear"/>
    <w:basedOn w:val="VarsaylanParagrafYazTipi"/>
    <w:rsid w:val="008167F3"/>
  </w:style>
  <w:style w:type="character" w:customStyle="1" w:styleId="vol">
    <w:name w:val="vol"/>
    <w:basedOn w:val="VarsaylanParagrafYazTipi"/>
    <w:rsid w:val="008167F3"/>
  </w:style>
  <w:style w:type="character" w:customStyle="1" w:styleId="pagefirst">
    <w:name w:val="pagefirst"/>
    <w:basedOn w:val="VarsaylanParagrafYazTipi"/>
    <w:rsid w:val="008167F3"/>
  </w:style>
  <w:style w:type="character" w:customStyle="1" w:styleId="title-text">
    <w:name w:val="title-text"/>
    <w:basedOn w:val="VarsaylanParagrafYazTipi"/>
    <w:rsid w:val="008167F3"/>
  </w:style>
  <w:style w:type="character" w:customStyle="1" w:styleId="sr-only">
    <w:name w:val="sr-only"/>
    <w:basedOn w:val="VarsaylanParagrafYazTipi"/>
    <w:rsid w:val="008167F3"/>
  </w:style>
  <w:style w:type="character" w:customStyle="1" w:styleId="text">
    <w:name w:val="text"/>
    <w:basedOn w:val="VarsaylanParagrafYazTipi"/>
    <w:rsid w:val="008167F3"/>
  </w:style>
  <w:style w:type="character" w:customStyle="1" w:styleId="button-text">
    <w:name w:val="button-text"/>
    <w:basedOn w:val="VarsaylanParagrafYazTipi"/>
    <w:rsid w:val="008167F3"/>
  </w:style>
  <w:style w:type="paragraph" w:styleId="NormalWeb">
    <w:name w:val="Normal (Web)"/>
    <w:basedOn w:val="Normal"/>
    <w:uiPriority w:val="99"/>
    <w:unhideWhenUsed/>
    <w:rsid w:val="008167F3"/>
    <w:pPr>
      <w:spacing w:before="100" w:beforeAutospacing="1" w:after="100" w:afterAutospacing="1" w:line="240" w:lineRule="auto"/>
      <w:ind w:firstLine="0"/>
      <w:jc w:val="left"/>
    </w:pPr>
    <w:rPr>
      <w:rFonts w:eastAsia="Times New Roman"/>
      <w:szCs w:val="24"/>
      <w:lang w:eastAsia="tr-TR"/>
    </w:rPr>
  </w:style>
  <w:style w:type="character" w:customStyle="1" w:styleId="ej-keyword">
    <w:name w:val="ej-keyword"/>
    <w:basedOn w:val="VarsaylanParagrafYazTipi"/>
    <w:rsid w:val="00E20864"/>
  </w:style>
  <w:style w:type="character" w:styleId="Gl">
    <w:name w:val="Strong"/>
    <w:basedOn w:val="VarsaylanParagrafYazTipi"/>
    <w:uiPriority w:val="22"/>
    <w:qFormat/>
    <w:rsid w:val="0072556E"/>
    <w:rPr>
      <w:b/>
      <w:bCs/>
    </w:rPr>
  </w:style>
  <w:style w:type="character" w:customStyle="1" w:styleId="authors-list-item">
    <w:name w:val="authors-list-item"/>
    <w:basedOn w:val="VarsaylanParagrafYazTipi"/>
    <w:rsid w:val="0072556E"/>
  </w:style>
  <w:style w:type="character" w:customStyle="1" w:styleId="author-sup-separator">
    <w:name w:val="author-sup-separator"/>
    <w:basedOn w:val="VarsaylanParagrafYazTipi"/>
    <w:rsid w:val="0072556E"/>
  </w:style>
  <w:style w:type="character" w:customStyle="1" w:styleId="comma">
    <w:name w:val="comma"/>
    <w:basedOn w:val="VarsaylanParagrafYazTipi"/>
    <w:rsid w:val="0072556E"/>
  </w:style>
  <w:style w:type="character" w:customStyle="1" w:styleId="KonuBal1">
    <w:name w:val="Konu Başlığı1"/>
    <w:basedOn w:val="VarsaylanParagrafYazTipi"/>
    <w:rsid w:val="002B1BCE"/>
  </w:style>
  <w:style w:type="paragraph" w:customStyle="1" w:styleId="p">
    <w:name w:val="p"/>
    <w:basedOn w:val="Normal"/>
    <w:rsid w:val="002B1BCE"/>
    <w:pPr>
      <w:spacing w:before="100" w:beforeAutospacing="1" w:after="100" w:afterAutospacing="1" w:line="240" w:lineRule="auto"/>
      <w:ind w:firstLine="0"/>
      <w:jc w:val="left"/>
    </w:pPr>
    <w:rPr>
      <w:rFonts w:eastAsia="Times New Roman"/>
      <w:szCs w:val="24"/>
      <w:lang w:eastAsia="tr-TR"/>
    </w:rPr>
  </w:style>
  <w:style w:type="character" w:styleId="zlenenKpr">
    <w:name w:val="FollowedHyperlink"/>
    <w:basedOn w:val="VarsaylanParagrafYazTipi"/>
    <w:uiPriority w:val="99"/>
    <w:semiHidden/>
    <w:unhideWhenUsed/>
    <w:rsid w:val="00CE4152"/>
    <w:rPr>
      <w:color w:val="954F72" w:themeColor="followedHyperlink"/>
      <w:u w:val="single"/>
    </w:rPr>
  </w:style>
  <w:style w:type="character" w:customStyle="1" w:styleId="name">
    <w:name w:val="name"/>
    <w:basedOn w:val="VarsaylanParagrafYazTipi"/>
    <w:rsid w:val="008B5956"/>
  </w:style>
  <w:style w:type="character" w:customStyle="1" w:styleId="h2">
    <w:name w:val="h2"/>
    <w:basedOn w:val="VarsaylanParagrafYazTipi"/>
    <w:rsid w:val="00BF6F14"/>
  </w:style>
  <w:style w:type="table" w:styleId="TabloKlavuzuAk">
    <w:name w:val="Grid Table Light"/>
    <w:basedOn w:val="NormalTablo"/>
    <w:uiPriority w:val="40"/>
    <w:rsid w:val="00FA28B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36649">
      <w:bodyDiv w:val="1"/>
      <w:marLeft w:val="0"/>
      <w:marRight w:val="0"/>
      <w:marTop w:val="0"/>
      <w:marBottom w:val="0"/>
      <w:divBdr>
        <w:top w:val="none" w:sz="0" w:space="0" w:color="auto"/>
        <w:left w:val="none" w:sz="0" w:space="0" w:color="auto"/>
        <w:bottom w:val="none" w:sz="0" w:space="0" w:color="auto"/>
        <w:right w:val="none" w:sz="0" w:space="0" w:color="auto"/>
      </w:divBdr>
    </w:div>
    <w:div w:id="44838980">
      <w:bodyDiv w:val="1"/>
      <w:marLeft w:val="0"/>
      <w:marRight w:val="0"/>
      <w:marTop w:val="0"/>
      <w:marBottom w:val="0"/>
      <w:divBdr>
        <w:top w:val="none" w:sz="0" w:space="0" w:color="auto"/>
        <w:left w:val="none" w:sz="0" w:space="0" w:color="auto"/>
        <w:bottom w:val="none" w:sz="0" w:space="0" w:color="auto"/>
        <w:right w:val="none" w:sz="0" w:space="0" w:color="auto"/>
      </w:divBdr>
    </w:div>
    <w:div w:id="68311590">
      <w:bodyDiv w:val="1"/>
      <w:marLeft w:val="0"/>
      <w:marRight w:val="0"/>
      <w:marTop w:val="0"/>
      <w:marBottom w:val="0"/>
      <w:divBdr>
        <w:top w:val="none" w:sz="0" w:space="0" w:color="auto"/>
        <w:left w:val="none" w:sz="0" w:space="0" w:color="auto"/>
        <w:bottom w:val="none" w:sz="0" w:space="0" w:color="auto"/>
        <w:right w:val="none" w:sz="0" w:space="0" w:color="auto"/>
      </w:divBdr>
    </w:div>
    <w:div w:id="105927030">
      <w:bodyDiv w:val="1"/>
      <w:marLeft w:val="0"/>
      <w:marRight w:val="0"/>
      <w:marTop w:val="0"/>
      <w:marBottom w:val="0"/>
      <w:divBdr>
        <w:top w:val="none" w:sz="0" w:space="0" w:color="auto"/>
        <w:left w:val="none" w:sz="0" w:space="0" w:color="auto"/>
        <w:bottom w:val="none" w:sz="0" w:space="0" w:color="auto"/>
        <w:right w:val="none" w:sz="0" w:space="0" w:color="auto"/>
      </w:divBdr>
    </w:div>
    <w:div w:id="107044579">
      <w:bodyDiv w:val="1"/>
      <w:marLeft w:val="0"/>
      <w:marRight w:val="0"/>
      <w:marTop w:val="0"/>
      <w:marBottom w:val="0"/>
      <w:divBdr>
        <w:top w:val="none" w:sz="0" w:space="0" w:color="auto"/>
        <w:left w:val="none" w:sz="0" w:space="0" w:color="auto"/>
        <w:bottom w:val="none" w:sz="0" w:space="0" w:color="auto"/>
        <w:right w:val="none" w:sz="0" w:space="0" w:color="auto"/>
      </w:divBdr>
    </w:div>
    <w:div w:id="148401617">
      <w:bodyDiv w:val="1"/>
      <w:marLeft w:val="0"/>
      <w:marRight w:val="0"/>
      <w:marTop w:val="0"/>
      <w:marBottom w:val="0"/>
      <w:divBdr>
        <w:top w:val="none" w:sz="0" w:space="0" w:color="auto"/>
        <w:left w:val="none" w:sz="0" w:space="0" w:color="auto"/>
        <w:bottom w:val="none" w:sz="0" w:space="0" w:color="auto"/>
        <w:right w:val="none" w:sz="0" w:space="0" w:color="auto"/>
      </w:divBdr>
    </w:div>
    <w:div w:id="160703237">
      <w:bodyDiv w:val="1"/>
      <w:marLeft w:val="0"/>
      <w:marRight w:val="0"/>
      <w:marTop w:val="0"/>
      <w:marBottom w:val="0"/>
      <w:divBdr>
        <w:top w:val="none" w:sz="0" w:space="0" w:color="auto"/>
        <w:left w:val="none" w:sz="0" w:space="0" w:color="auto"/>
        <w:bottom w:val="none" w:sz="0" w:space="0" w:color="auto"/>
        <w:right w:val="none" w:sz="0" w:space="0" w:color="auto"/>
      </w:divBdr>
    </w:div>
    <w:div w:id="295524143">
      <w:bodyDiv w:val="1"/>
      <w:marLeft w:val="0"/>
      <w:marRight w:val="0"/>
      <w:marTop w:val="0"/>
      <w:marBottom w:val="0"/>
      <w:divBdr>
        <w:top w:val="none" w:sz="0" w:space="0" w:color="auto"/>
        <w:left w:val="none" w:sz="0" w:space="0" w:color="auto"/>
        <w:bottom w:val="none" w:sz="0" w:space="0" w:color="auto"/>
        <w:right w:val="none" w:sz="0" w:space="0" w:color="auto"/>
      </w:divBdr>
    </w:div>
    <w:div w:id="297150651">
      <w:bodyDiv w:val="1"/>
      <w:marLeft w:val="0"/>
      <w:marRight w:val="0"/>
      <w:marTop w:val="0"/>
      <w:marBottom w:val="0"/>
      <w:divBdr>
        <w:top w:val="none" w:sz="0" w:space="0" w:color="auto"/>
        <w:left w:val="none" w:sz="0" w:space="0" w:color="auto"/>
        <w:bottom w:val="none" w:sz="0" w:space="0" w:color="auto"/>
        <w:right w:val="none" w:sz="0" w:space="0" w:color="auto"/>
      </w:divBdr>
    </w:div>
    <w:div w:id="300621029">
      <w:bodyDiv w:val="1"/>
      <w:marLeft w:val="0"/>
      <w:marRight w:val="0"/>
      <w:marTop w:val="0"/>
      <w:marBottom w:val="0"/>
      <w:divBdr>
        <w:top w:val="none" w:sz="0" w:space="0" w:color="auto"/>
        <w:left w:val="none" w:sz="0" w:space="0" w:color="auto"/>
        <w:bottom w:val="none" w:sz="0" w:space="0" w:color="auto"/>
        <w:right w:val="none" w:sz="0" w:space="0" w:color="auto"/>
      </w:divBdr>
    </w:div>
    <w:div w:id="312415718">
      <w:bodyDiv w:val="1"/>
      <w:marLeft w:val="0"/>
      <w:marRight w:val="0"/>
      <w:marTop w:val="0"/>
      <w:marBottom w:val="0"/>
      <w:divBdr>
        <w:top w:val="none" w:sz="0" w:space="0" w:color="auto"/>
        <w:left w:val="none" w:sz="0" w:space="0" w:color="auto"/>
        <w:bottom w:val="none" w:sz="0" w:space="0" w:color="auto"/>
        <w:right w:val="none" w:sz="0" w:space="0" w:color="auto"/>
      </w:divBdr>
    </w:div>
    <w:div w:id="430127809">
      <w:bodyDiv w:val="1"/>
      <w:marLeft w:val="0"/>
      <w:marRight w:val="0"/>
      <w:marTop w:val="0"/>
      <w:marBottom w:val="0"/>
      <w:divBdr>
        <w:top w:val="none" w:sz="0" w:space="0" w:color="auto"/>
        <w:left w:val="none" w:sz="0" w:space="0" w:color="auto"/>
        <w:bottom w:val="none" w:sz="0" w:space="0" w:color="auto"/>
        <w:right w:val="none" w:sz="0" w:space="0" w:color="auto"/>
      </w:divBdr>
    </w:div>
    <w:div w:id="481389471">
      <w:bodyDiv w:val="1"/>
      <w:marLeft w:val="0"/>
      <w:marRight w:val="0"/>
      <w:marTop w:val="0"/>
      <w:marBottom w:val="0"/>
      <w:divBdr>
        <w:top w:val="none" w:sz="0" w:space="0" w:color="auto"/>
        <w:left w:val="none" w:sz="0" w:space="0" w:color="auto"/>
        <w:bottom w:val="none" w:sz="0" w:space="0" w:color="auto"/>
        <w:right w:val="none" w:sz="0" w:space="0" w:color="auto"/>
      </w:divBdr>
    </w:div>
    <w:div w:id="625279000">
      <w:bodyDiv w:val="1"/>
      <w:marLeft w:val="0"/>
      <w:marRight w:val="0"/>
      <w:marTop w:val="0"/>
      <w:marBottom w:val="0"/>
      <w:divBdr>
        <w:top w:val="none" w:sz="0" w:space="0" w:color="auto"/>
        <w:left w:val="none" w:sz="0" w:space="0" w:color="auto"/>
        <w:bottom w:val="none" w:sz="0" w:space="0" w:color="auto"/>
        <w:right w:val="none" w:sz="0" w:space="0" w:color="auto"/>
      </w:divBdr>
      <w:divsChild>
        <w:div w:id="785735235">
          <w:marLeft w:val="0"/>
          <w:marRight w:val="0"/>
          <w:marTop w:val="0"/>
          <w:marBottom w:val="0"/>
          <w:divBdr>
            <w:top w:val="none" w:sz="0" w:space="0" w:color="auto"/>
            <w:left w:val="none" w:sz="0" w:space="0" w:color="auto"/>
            <w:bottom w:val="none" w:sz="0" w:space="0" w:color="auto"/>
            <w:right w:val="none" w:sz="0" w:space="0" w:color="auto"/>
          </w:divBdr>
          <w:divsChild>
            <w:div w:id="816337857">
              <w:marLeft w:val="0"/>
              <w:marRight w:val="0"/>
              <w:marTop w:val="0"/>
              <w:marBottom w:val="0"/>
              <w:divBdr>
                <w:top w:val="none" w:sz="0" w:space="0" w:color="auto"/>
                <w:left w:val="none" w:sz="0" w:space="0" w:color="auto"/>
                <w:bottom w:val="none" w:sz="0" w:space="0" w:color="auto"/>
                <w:right w:val="none" w:sz="0" w:space="0" w:color="auto"/>
              </w:divBdr>
              <w:divsChild>
                <w:div w:id="141771602">
                  <w:marLeft w:val="0"/>
                  <w:marRight w:val="0"/>
                  <w:marTop w:val="0"/>
                  <w:marBottom w:val="0"/>
                  <w:divBdr>
                    <w:top w:val="none" w:sz="0" w:space="0" w:color="auto"/>
                    <w:left w:val="none" w:sz="0" w:space="0" w:color="auto"/>
                    <w:bottom w:val="none" w:sz="0" w:space="0" w:color="auto"/>
                    <w:right w:val="none" w:sz="0" w:space="0" w:color="auto"/>
                  </w:divBdr>
                  <w:divsChild>
                    <w:div w:id="89608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60769">
          <w:marLeft w:val="0"/>
          <w:marRight w:val="0"/>
          <w:marTop w:val="0"/>
          <w:marBottom w:val="0"/>
          <w:divBdr>
            <w:top w:val="none" w:sz="0" w:space="0" w:color="auto"/>
            <w:left w:val="none" w:sz="0" w:space="0" w:color="auto"/>
            <w:bottom w:val="none" w:sz="0" w:space="0" w:color="auto"/>
            <w:right w:val="none" w:sz="0" w:space="0" w:color="auto"/>
          </w:divBdr>
          <w:divsChild>
            <w:div w:id="702828576">
              <w:marLeft w:val="0"/>
              <w:marRight w:val="0"/>
              <w:marTop w:val="0"/>
              <w:marBottom w:val="0"/>
              <w:divBdr>
                <w:top w:val="none" w:sz="0" w:space="0" w:color="auto"/>
                <w:left w:val="none" w:sz="0" w:space="0" w:color="auto"/>
                <w:bottom w:val="none" w:sz="0" w:space="0" w:color="auto"/>
                <w:right w:val="none" w:sz="0" w:space="0" w:color="auto"/>
              </w:divBdr>
              <w:divsChild>
                <w:div w:id="1765608446">
                  <w:marLeft w:val="0"/>
                  <w:marRight w:val="0"/>
                  <w:marTop w:val="0"/>
                  <w:marBottom w:val="0"/>
                  <w:divBdr>
                    <w:top w:val="none" w:sz="0" w:space="0" w:color="auto"/>
                    <w:left w:val="none" w:sz="0" w:space="0" w:color="auto"/>
                    <w:bottom w:val="none" w:sz="0" w:space="0" w:color="auto"/>
                    <w:right w:val="none" w:sz="0" w:space="0" w:color="auto"/>
                  </w:divBdr>
                  <w:divsChild>
                    <w:div w:id="1063329406">
                      <w:marLeft w:val="0"/>
                      <w:marRight w:val="0"/>
                      <w:marTop w:val="0"/>
                      <w:marBottom w:val="300"/>
                      <w:divBdr>
                        <w:top w:val="none" w:sz="0" w:space="0" w:color="auto"/>
                        <w:left w:val="none" w:sz="0" w:space="0" w:color="auto"/>
                        <w:bottom w:val="none" w:sz="0" w:space="0" w:color="auto"/>
                        <w:right w:val="none" w:sz="0" w:space="0" w:color="auto"/>
                      </w:divBdr>
                      <w:divsChild>
                        <w:div w:id="1804620701">
                          <w:marLeft w:val="0"/>
                          <w:marRight w:val="0"/>
                          <w:marTop w:val="0"/>
                          <w:marBottom w:val="0"/>
                          <w:divBdr>
                            <w:top w:val="none" w:sz="0" w:space="0" w:color="auto"/>
                            <w:left w:val="none" w:sz="0" w:space="0" w:color="auto"/>
                            <w:bottom w:val="none" w:sz="0" w:space="0" w:color="auto"/>
                            <w:right w:val="none" w:sz="0" w:space="0" w:color="auto"/>
                          </w:divBdr>
                          <w:divsChild>
                            <w:div w:id="2048950127">
                              <w:marLeft w:val="0"/>
                              <w:marRight w:val="0"/>
                              <w:marTop w:val="0"/>
                              <w:marBottom w:val="0"/>
                              <w:divBdr>
                                <w:top w:val="none" w:sz="0" w:space="0" w:color="auto"/>
                                <w:left w:val="none" w:sz="0" w:space="0" w:color="auto"/>
                                <w:bottom w:val="none" w:sz="0" w:space="0" w:color="auto"/>
                                <w:right w:val="none" w:sz="0" w:space="0" w:color="auto"/>
                              </w:divBdr>
                              <w:divsChild>
                                <w:div w:id="1939294733">
                                  <w:marLeft w:val="0"/>
                                  <w:marRight w:val="0"/>
                                  <w:marTop w:val="0"/>
                                  <w:marBottom w:val="0"/>
                                  <w:divBdr>
                                    <w:top w:val="none" w:sz="0" w:space="0" w:color="auto"/>
                                    <w:left w:val="none" w:sz="0" w:space="0" w:color="auto"/>
                                    <w:bottom w:val="none" w:sz="0" w:space="0" w:color="auto"/>
                                    <w:right w:val="none" w:sz="0" w:space="0" w:color="auto"/>
                                  </w:divBdr>
                                  <w:divsChild>
                                    <w:div w:id="1044331020">
                                      <w:marLeft w:val="0"/>
                                      <w:marRight w:val="0"/>
                                      <w:marTop w:val="0"/>
                                      <w:marBottom w:val="150"/>
                                      <w:divBdr>
                                        <w:top w:val="none" w:sz="0" w:space="0" w:color="auto"/>
                                        <w:left w:val="none" w:sz="0" w:space="0" w:color="auto"/>
                                        <w:bottom w:val="none" w:sz="0" w:space="0" w:color="auto"/>
                                        <w:right w:val="none" w:sz="0" w:space="0" w:color="auto"/>
                                      </w:divBdr>
                                      <w:divsChild>
                                        <w:div w:id="1216350440">
                                          <w:marLeft w:val="0"/>
                                          <w:marRight w:val="0"/>
                                          <w:marTop w:val="0"/>
                                          <w:marBottom w:val="0"/>
                                          <w:divBdr>
                                            <w:top w:val="none" w:sz="0" w:space="0" w:color="auto"/>
                                            <w:left w:val="none" w:sz="0" w:space="0" w:color="auto"/>
                                            <w:bottom w:val="none" w:sz="0" w:space="0" w:color="auto"/>
                                            <w:right w:val="none" w:sz="0" w:space="0" w:color="auto"/>
                                          </w:divBdr>
                                          <w:divsChild>
                                            <w:div w:id="1249273445">
                                              <w:marLeft w:val="0"/>
                                              <w:marRight w:val="0"/>
                                              <w:marTop w:val="0"/>
                                              <w:marBottom w:val="0"/>
                                              <w:divBdr>
                                                <w:top w:val="none" w:sz="0" w:space="0" w:color="auto"/>
                                                <w:left w:val="none" w:sz="0" w:space="0" w:color="auto"/>
                                                <w:bottom w:val="none" w:sz="0" w:space="0" w:color="auto"/>
                                                <w:right w:val="none" w:sz="0" w:space="0" w:color="auto"/>
                                              </w:divBdr>
                                              <w:divsChild>
                                                <w:div w:id="34852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81977005">
      <w:bodyDiv w:val="1"/>
      <w:marLeft w:val="0"/>
      <w:marRight w:val="0"/>
      <w:marTop w:val="0"/>
      <w:marBottom w:val="0"/>
      <w:divBdr>
        <w:top w:val="none" w:sz="0" w:space="0" w:color="auto"/>
        <w:left w:val="none" w:sz="0" w:space="0" w:color="auto"/>
        <w:bottom w:val="none" w:sz="0" w:space="0" w:color="auto"/>
        <w:right w:val="none" w:sz="0" w:space="0" w:color="auto"/>
      </w:divBdr>
      <w:divsChild>
        <w:div w:id="1631281136">
          <w:marLeft w:val="0"/>
          <w:marRight w:val="0"/>
          <w:marTop w:val="0"/>
          <w:marBottom w:val="0"/>
          <w:divBdr>
            <w:top w:val="none" w:sz="0" w:space="0" w:color="auto"/>
            <w:left w:val="none" w:sz="0" w:space="0" w:color="auto"/>
            <w:bottom w:val="none" w:sz="0" w:space="0" w:color="auto"/>
            <w:right w:val="none" w:sz="0" w:space="0" w:color="auto"/>
          </w:divBdr>
        </w:div>
      </w:divsChild>
    </w:div>
    <w:div w:id="766735597">
      <w:bodyDiv w:val="1"/>
      <w:marLeft w:val="0"/>
      <w:marRight w:val="0"/>
      <w:marTop w:val="0"/>
      <w:marBottom w:val="0"/>
      <w:divBdr>
        <w:top w:val="none" w:sz="0" w:space="0" w:color="auto"/>
        <w:left w:val="none" w:sz="0" w:space="0" w:color="auto"/>
        <w:bottom w:val="none" w:sz="0" w:space="0" w:color="auto"/>
        <w:right w:val="none" w:sz="0" w:space="0" w:color="auto"/>
      </w:divBdr>
    </w:div>
    <w:div w:id="781336639">
      <w:bodyDiv w:val="1"/>
      <w:marLeft w:val="0"/>
      <w:marRight w:val="0"/>
      <w:marTop w:val="0"/>
      <w:marBottom w:val="0"/>
      <w:divBdr>
        <w:top w:val="none" w:sz="0" w:space="0" w:color="auto"/>
        <w:left w:val="none" w:sz="0" w:space="0" w:color="auto"/>
        <w:bottom w:val="none" w:sz="0" w:space="0" w:color="auto"/>
        <w:right w:val="none" w:sz="0" w:space="0" w:color="auto"/>
      </w:divBdr>
      <w:divsChild>
        <w:div w:id="437989964">
          <w:marLeft w:val="0"/>
          <w:marRight w:val="0"/>
          <w:marTop w:val="0"/>
          <w:marBottom w:val="0"/>
          <w:divBdr>
            <w:top w:val="none" w:sz="0" w:space="0" w:color="auto"/>
            <w:left w:val="none" w:sz="0" w:space="0" w:color="auto"/>
            <w:bottom w:val="none" w:sz="0" w:space="0" w:color="auto"/>
            <w:right w:val="none" w:sz="0" w:space="0" w:color="auto"/>
          </w:divBdr>
          <w:divsChild>
            <w:div w:id="1412046776">
              <w:marLeft w:val="0"/>
              <w:marRight w:val="0"/>
              <w:marTop w:val="0"/>
              <w:marBottom w:val="0"/>
              <w:divBdr>
                <w:top w:val="none" w:sz="0" w:space="0" w:color="auto"/>
                <w:left w:val="none" w:sz="0" w:space="0" w:color="auto"/>
                <w:bottom w:val="none" w:sz="0" w:space="0" w:color="auto"/>
                <w:right w:val="none" w:sz="0" w:space="0" w:color="auto"/>
              </w:divBdr>
            </w:div>
            <w:div w:id="1418938157">
              <w:marLeft w:val="0"/>
              <w:marRight w:val="0"/>
              <w:marTop w:val="0"/>
              <w:marBottom w:val="0"/>
              <w:divBdr>
                <w:top w:val="none" w:sz="0" w:space="0" w:color="auto"/>
                <w:left w:val="none" w:sz="0" w:space="0" w:color="auto"/>
                <w:bottom w:val="none" w:sz="0" w:space="0" w:color="auto"/>
                <w:right w:val="none" w:sz="0" w:space="0" w:color="auto"/>
              </w:divBdr>
            </w:div>
          </w:divsChild>
        </w:div>
        <w:div w:id="1874614506">
          <w:marLeft w:val="0"/>
          <w:marRight w:val="0"/>
          <w:marTop w:val="0"/>
          <w:marBottom w:val="0"/>
          <w:divBdr>
            <w:top w:val="none" w:sz="0" w:space="0" w:color="auto"/>
            <w:left w:val="none" w:sz="0" w:space="0" w:color="auto"/>
            <w:bottom w:val="none" w:sz="0" w:space="0" w:color="auto"/>
            <w:right w:val="none" w:sz="0" w:space="0" w:color="auto"/>
          </w:divBdr>
          <w:divsChild>
            <w:div w:id="901603897">
              <w:marLeft w:val="0"/>
              <w:marRight w:val="0"/>
              <w:marTop w:val="0"/>
              <w:marBottom w:val="0"/>
              <w:divBdr>
                <w:top w:val="none" w:sz="0" w:space="0" w:color="auto"/>
                <w:left w:val="none" w:sz="0" w:space="0" w:color="auto"/>
                <w:bottom w:val="none" w:sz="0" w:space="0" w:color="auto"/>
                <w:right w:val="none" w:sz="0" w:space="0" w:color="auto"/>
              </w:divBdr>
            </w:div>
            <w:div w:id="1254974013">
              <w:marLeft w:val="0"/>
              <w:marRight w:val="0"/>
              <w:marTop w:val="0"/>
              <w:marBottom w:val="0"/>
              <w:divBdr>
                <w:top w:val="none" w:sz="0" w:space="0" w:color="auto"/>
                <w:left w:val="none" w:sz="0" w:space="0" w:color="auto"/>
                <w:bottom w:val="none" w:sz="0" w:space="0" w:color="auto"/>
                <w:right w:val="none" w:sz="0" w:space="0" w:color="auto"/>
              </w:divBdr>
            </w:div>
          </w:divsChild>
        </w:div>
        <w:div w:id="94792268">
          <w:marLeft w:val="0"/>
          <w:marRight w:val="0"/>
          <w:marTop w:val="0"/>
          <w:marBottom w:val="0"/>
          <w:divBdr>
            <w:top w:val="none" w:sz="0" w:space="0" w:color="auto"/>
            <w:left w:val="none" w:sz="0" w:space="0" w:color="auto"/>
            <w:bottom w:val="none" w:sz="0" w:space="0" w:color="auto"/>
            <w:right w:val="none" w:sz="0" w:space="0" w:color="auto"/>
          </w:divBdr>
          <w:divsChild>
            <w:div w:id="498083290">
              <w:marLeft w:val="0"/>
              <w:marRight w:val="0"/>
              <w:marTop w:val="0"/>
              <w:marBottom w:val="0"/>
              <w:divBdr>
                <w:top w:val="none" w:sz="0" w:space="0" w:color="auto"/>
                <w:left w:val="none" w:sz="0" w:space="0" w:color="auto"/>
                <w:bottom w:val="none" w:sz="0" w:space="0" w:color="auto"/>
                <w:right w:val="none" w:sz="0" w:space="0" w:color="auto"/>
              </w:divBdr>
            </w:div>
            <w:div w:id="886792592">
              <w:marLeft w:val="0"/>
              <w:marRight w:val="0"/>
              <w:marTop w:val="0"/>
              <w:marBottom w:val="0"/>
              <w:divBdr>
                <w:top w:val="none" w:sz="0" w:space="0" w:color="auto"/>
                <w:left w:val="none" w:sz="0" w:space="0" w:color="auto"/>
                <w:bottom w:val="none" w:sz="0" w:space="0" w:color="auto"/>
                <w:right w:val="none" w:sz="0" w:space="0" w:color="auto"/>
              </w:divBdr>
            </w:div>
          </w:divsChild>
        </w:div>
        <w:div w:id="1133595944">
          <w:marLeft w:val="0"/>
          <w:marRight w:val="0"/>
          <w:marTop w:val="0"/>
          <w:marBottom w:val="0"/>
          <w:divBdr>
            <w:top w:val="none" w:sz="0" w:space="0" w:color="auto"/>
            <w:left w:val="none" w:sz="0" w:space="0" w:color="auto"/>
            <w:bottom w:val="none" w:sz="0" w:space="0" w:color="auto"/>
            <w:right w:val="none" w:sz="0" w:space="0" w:color="auto"/>
          </w:divBdr>
          <w:divsChild>
            <w:div w:id="106390784">
              <w:marLeft w:val="0"/>
              <w:marRight w:val="0"/>
              <w:marTop w:val="0"/>
              <w:marBottom w:val="0"/>
              <w:divBdr>
                <w:top w:val="none" w:sz="0" w:space="0" w:color="auto"/>
                <w:left w:val="none" w:sz="0" w:space="0" w:color="auto"/>
                <w:bottom w:val="none" w:sz="0" w:space="0" w:color="auto"/>
                <w:right w:val="none" w:sz="0" w:space="0" w:color="auto"/>
              </w:divBdr>
            </w:div>
            <w:div w:id="1398363934">
              <w:marLeft w:val="0"/>
              <w:marRight w:val="0"/>
              <w:marTop w:val="0"/>
              <w:marBottom w:val="0"/>
              <w:divBdr>
                <w:top w:val="none" w:sz="0" w:space="0" w:color="auto"/>
                <w:left w:val="none" w:sz="0" w:space="0" w:color="auto"/>
                <w:bottom w:val="none" w:sz="0" w:space="0" w:color="auto"/>
                <w:right w:val="none" w:sz="0" w:space="0" w:color="auto"/>
              </w:divBdr>
            </w:div>
          </w:divsChild>
        </w:div>
        <w:div w:id="72631344">
          <w:marLeft w:val="0"/>
          <w:marRight w:val="0"/>
          <w:marTop w:val="0"/>
          <w:marBottom w:val="0"/>
          <w:divBdr>
            <w:top w:val="none" w:sz="0" w:space="0" w:color="auto"/>
            <w:left w:val="none" w:sz="0" w:space="0" w:color="auto"/>
            <w:bottom w:val="none" w:sz="0" w:space="0" w:color="auto"/>
            <w:right w:val="none" w:sz="0" w:space="0" w:color="auto"/>
          </w:divBdr>
          <w:divsChild>
            <w:div w:id="298459886">
              <w:marLeft w:val="0"/>
              <w:marRight w:val="0"/>
              <w:marTop w:val="0"/>
              <w:marBottom w:val="0"/>
              <w:divBdr>
                <w:top w:val="none" w:sz="0" w:space="0" w:color="auto"/>
                <w:left w:val="none" w:sz="0" w:space="0" w:color="auto"/>
                <w:bottom w:val="none" w:sz="0" w:space="0" w:color="auto"/>
                <w:right w:val="none" w:sz="0" w:space="0" w:color="auto"/>
              </w:divBdr>
            </w:div>
            <w:div w:id="704213424">
              <w:marLeft w:val="0"/>
              <w:marRight w:val="0"/>
              <w:marTop w:val="0"/>
              <w:marBottom w:val="0"/>
              <w:divBdr>
                <w:top w:val="none" w:sz="0" w:space="0" w:color="auto"/>
                <w:left w:val="none" w:sz="0" w:space="0" w:color="auto"/>
                <w:bottom w:val="none" w:sz="0" w:space="0" w:color="auto"/>
                <w:right w:val="none" w:sz="0" w:space="0" w:color="auto"/>
              </w:divBdr>
            </w:div>
          </w:divsChild>
        </w:div>
        <w:div w:id="1302153271">
          <w:marLeft w:val="0"/>
          <w:marRight w:val="0"/>
          <w:marTop w:val="0"/>
          <w:marBottom w:val="0"/>
          <w:divBdr>
            <w:top w:val="none" w:sz="0" w:space="0" w:color="auto"/>
            <w:left w:val="none" w:sz="0" w:space="0" w:color="auto"/>
            <w:bottom w:val="none" w:sz="0" w:space="0" w:color="auto"/>
            <w:right w:val="none" w:sz="0" w:space="0" w:color="auto"/>
          </w:divBdr>
          <w:divsChild>
            <w:div w:id="164633000">
              <w:marLeft w:val="0"/>
              <w:marRight w:val="0"/>
              <w:marTop w:val="0"/>
              <w:marBottom w:val="0"/>
              <w:divBdr>
                <w:top w:val="none" w:sz="0" w:space="0" w:color="auto"/>
                <w:left w:val="none" w:sz="0" w:space="0" w:color="auto"/>
                <w:bottom w:val="none" w:sz="0" w:space="0" w:color="auto"/>
                <w:right w:val="none" w:sz="0" w:space="0" w:color="auto"/>
              </w:divBdr>
            </w:div>
            <w:div w:id="1500652812">
              <w:marLeft w:val="0"/>
              <w:marRight w:val="0"/>
              <w:marTop w:val="0"/>
              <w:marBottom w:val="0"/>
              <w:divBdr>
                <w:top w:val="none" w:sz="0" w:space="0" w:color="auto"/>
                <w:left w:val="none" w:sz="0" w:space="0" w:color="auto"/>
                <w:bottom w:val="none" w:sz="0" w:space="0" w:color="auto"/>
                <w:right w:val="none" w:sz="0" w:space="0" w:color="auto"/>
              </w:divBdr>
            </w:div>
          </w:divsChild>
        </w:div>
        <w:div w:id="1912810621">
          <w:marLeft w:val="0"/>
          <w:marRight w:val="0"/>
          <w:marTop w:val="0"/>
          <w:marBottom w:val="0"/>
          <w:divBdr>
            <w:top w:val="none" w:sz="0" w:space="0" w:color="auto"/>
            <w:left w:val="none" w:sz="0" w:space="0" w:color="auto"/>
            <w:bottom w:val="none" w:sz="0" w:space="0" w:color="auto"/>
            <w:right w:val="none" w:sz="0" w:space="0" w:color="auto"/>
          </w:divBdr>
        </w:div>
        <w:div w:id="1277058964">
          <w:marLeft w:val="0"/>
          <w:marRight w:val="0"/>
          <w:marTop w:val="0"/>
          <w:marBottom w:val="0"/>
          <w:divBdr>
            <w:top w:val="none" w:sz="0" w:space="0" w:color="auto"/>
            <w:left w:val="none" w:sz="0" w:space="0" w:color="auto"/>
            <w:bottom w:val="none" w:sz="0" w:space="0" w:color="auto"/>
            <w:right w:val="none" w:sz="0" w:space="0" w:color="auto"/>
          </w:divBdr>
        </w:div>
        <w:div w:id="1597786417">
          <w:marLeft w:val="0"/>
          <w:marRight w:val="0"/>
          <w:marTop w:val="0"/>
          <w:marBottom w:val="0"/>
          <w:divBdr>
            <w:top w:val="none" w:sz="0" w:space="0" w:color="auto"/>
            <w:left w:val="none" w:sz="0" w:space="0" w:color="auto"/>
            <w:bottom w:val="none" w:sz="0" w:space="0" w:color="auto"/>
            <w:right w:val="none" w:sz="0" w:space="0" w:color="auto"/>
          </w:divBdr>
        </w:div>
        <w:div w:id="2107337094">
          <w:marLeft w:val="0"/>
          <w:marRight w:val="0"/>
          <w:marTop w:val="0"/>
          <w:marBottom w:val="0"/>
          <w:divBdr>
            <w:top w:val="none" w:sz="0" w:space="0" w:color="auto"/>
            <w:left w:val="none" w:sz="0" w:space="0" w:color="auto"/>
            <w:bottom w:val="none" w:sz="0" w:space="0" w:color="auto"/>
            <w:right w:val="none" w:sz="0" w:space="0" w:color="auto"/>
          </w:divBdr>
        </w:div>
        <w:div w:id="1762410305">
          <w:marLeft w:val="0"/>
          <w:marRight w:val="0"/>
          <w:marTop w:val="0"/>
          <w:marBottom w:val="0"/>
          <w:divBdr>
            <w:top w:val="none" w:sz="0" w:space="0" w:color="auto"/>
            <w:left w:val="none" w:sz="0" w:space="0" w:color="auto"/>
            <w:bottom w:val="none" w:sz="0" w:space="0" w:color="auto"/>
            <w:right w:val="none" w:sz="0" w:space="0" w:color="auto"/>
          </w:divBdr>
        </w:div>
        <w:div w:id="1273630609">
          <w:marLeft w:val="0"/>
          <w:marRight w:val="0"/>
          <w:marTop w:val="0"/>
          <w:marBottom w:val="0"/>
          <w:divBdr>
            <w:top w:val="none" w:sz="0" w:space="0" w:color="auto"/>
            <w:left w:val="none" w:sz="0" w:space="0" w:color="auto"/>
            <w:bottom w:val="none" w:sz="0" w:space="0" w:color="auto"/>
            <w:right w:val="none" w:sz="0" w:space="0" w:color="auto"/>
          </w:divBdr>
        </w:div>
        <w:div w:id="949774651">
          <w:marLeft w:val="0"/>
          <w:marRight w:val="0"/>
          <w:marTop w:val="0"/>
          <w:marBottom w:val="0"/>
          <w:divBdr>
            <w:top w:val="none" w:sz="0" w:space="0" w:color="auto"/>
            <w:left w:val="none" w:sz="0" w:space="0" w:color="auto"/>
            <w:bottom w:val="none" w:sz="0" w:space="0" w:color="auto"/>
            <w:right w:val="none" w:sz="0" w:space="0" w:color="auto"/>
          </w:divBdr>
        </w:div>
      </w:divsChild>
    </w:div>
    <w:div w:id="826432959">
      <w:bodyDiv w:val="1"/>
      <w:marLeft w:val="0"/>
      <w:marRight w:val="0"/>
      <w:marTop w:val="0"/>
      <w:marBottom w:val="0"/>
      <w:divBdr>
        <w:top w:val="none" w:sz="0" w:space="0" w:color="auto"/>
        <w:left w:val="none" w:sz="0" w:space="0" w:color="auto"/>
        <w:bottom w:val="none" w:sz="0" w:space="0" w:color="auto"/>
        <w:right w:val="none" w:sz="0" w:space="0" w:color="auto"/>
      </w:divBdr>
    </w:div>
    <w:div w:id="854853796">
      <w:bodyDiv w:val="1"/>
      <w:marLeft w:val="0"/>
      <w:marRight w:val="0"/>
      <w:marTop w:val="0"/>
      <w:marBottom w:val="0"/>
      <w:divBdr>
        <w:top w:val="none" w:sz="0" w:space="0" w:color="auto"/>
        <w:left w:val="none" w:sz="0" w:space="0" w:color="auto"/>
        <w:bottom w:val="none" w:sz="0" w:space="0" w:color="auto"/>
        <w:right w:val="none" w:sz="0" w:space="0" w:color="auto"/>
      </w:divBdr>
    </w:div>
    <w:div w:id="884876115">
      <w:bodyDiv w:val="1"/>
      <w:marLeft w:val="0"/>
      <w:marRight w:val="0"/>
      <w:marTop w:val="0"/>
      <w:marBottom w:val="0"/>
      <w:divBdr>
        <w:top w:val="none" w:sz="0" w:space="0" w:color="auto"/>
        <w:left w:val="none" w:sz="0" w:space="0" w:color="auto"/>
        <w:bottom w:val="none" w:sz="0" w:space="0" w:color="auto"/>
        <w:right w:val="none" w:sz="0" w:space="0" w:color="auto"/>
      </w:divBdr>
    </w:div>
    <w:div w:id="975716960">
      <w:bodyDiv w:val="1"/>
      <w:marLeft w:val="0"/>
      <w:marRight w:val="0"/>
      <w:marTop w:val="0"/>
      <w:marBottom w:val="0"/>
      <w:divBdr>
        <w:top w:val="none" w:sz="0" w:space="0" w:color="auto"/>
        <w:left w:val="none" w:sz="0" w:space="0" w:color="auto"/>
        <w:bottom w:val="none" w:sz="0" w:space="0" w:color="auto"/>
        <w:right w:val="none" w:sz="0" w:space="0" w:color="auto"/>
      </w:divBdr>
    </w:div>
    <w:div w:id="1030642663">
      <w:bodyDiv w:val="1"/>
      <w:marLeft w:val="0"/>
      <w:marRight w:val="0"/>
      <w:marTop w:val="0"/>
      <w:marBottom w:val="0"/>
      <w:divBdr>
        <w:top w:val="none" w:sz="0" w:space="0" w:color="auto"/>
        <w:left w:val="none" w:sz="0" w:space="0" w:color="auto"/>
        <w:bottom w:val="none" w:sz="0" w:space="0" w:color="auto"/>
        <w:right w:val="none" w:sz="0" w:space="0" w:color="auto"/>
      </w:divBdr>
    </w:div>
    <w:div w:id="1070613489">
      <w:bodyDiv w:val="1"/>
      <w:marLeft w:val="0"/>
      <w:marRight w:val="0"/>
      <w:marTop w:val="0"/>
      <w:marBottom w:val="0"/>
      <w:divBdr>
        <w:top w:val="none" w:sz="0" w:space="0" w:color="auto"/>
        <w:left w:val="none" w:sz="0" w:space="0" w:color="auto"/>
        <w:bottom w:val="none" w:sz="0" w:space="0" w:color="auto"/>
        <w:right w:val="none" w:sz="0" w:space="0" w:color="auto"/>
      </w:divBdr>
    </w:div>
    <w:div w:id="1115248290">
      <w:bodyDiv w:val="1"/>
      <w:marLeft w:val="0"/>
      <w:marRight w:val="0"/>
      <w:marTop w:val="0"/>
      <w:marBottom w:val="0"/>
      <w:divBdr>
        <w:top w:val="none" w:sz="0" w:space="0" w:color="auto"/>
        <w:left w:val="none" w:sz="0" w:space="0" w:color="auto"/>
        <w:bottom w:val="none" w:sz="0" w:space="0" w:color="auto"/>
        <w:right w:val="none" w:sz="0" w:space="0" w:color="auto"/>
      </w:divBdr>
      <w:divsChild>
        <w:div w:id="1788430356">
          <w:marLeft w:val="0"/>
          <w:marRight w:val="0"/>
          <w:marTop w:val="0"/>
          <w:marBottom w:val="0"/>
          <w:divBdr>
            <w:top w:val="none" w:sz="0" w:space="0" w:color="auto"/>
            <w:left w:val="none" w:sz="0" w:space="0" w:color="auto"/>
            <w:bottom w:val="none" w:sz="0" w:space="0" w:color="auto"/>
            <w:right w:val="none" w:sz="0" w:space="0" w:color="auto"/>
          </w:divBdr>
        </w:div>
      </w:divsChild>
    </w:div>
    <w:div w:id="1122916027">
      <w:bodyDiv w:val="1"/>
      <w:marLeft w:val="0"/>
      <w:marRight w:val="0"/>
      <w:marTop w:val="0"/>
      <w:marBottom w:val="0"/>
      <w:divBdr>
        <w:top w:val="none" w:sz="0" w:space="0" w:color="auto"/>
        <w:left w:val="none" w:sz="0" w:space="0" w:color="auto"/>
        <w:bottom w:val="none" w:sz="0" w:space="0" w:color="auto"/>
        <w:right w:val="none" w:sz="0" w:space="0" w:color="auto"/>
      </w:divBdr>
    </w:div>
    <w:div w:id="1124545216">
      <w:bodyDiv w:val="1"/>
      <w:marLeft w:val="0"/>
      <w:marRight w:val="0"/>
      <w:marTop w:val="0"/>
      <w:marBottom w:val="0"/>
      <w:divBdr>
        <w:top w:val="none" w:sz="0" w:space="0" w:color="auto"/>
        <w:left w:val="none" w:sz="0" w:space="0" w:color="auto"/>
        <w:bottom w:val="none" w:sz="0" w:space="0" w:color="auto"/>
        <w:right w:val="none" w:sz="0" w:space="0" w:color="auto"/>
      </w:divBdr>
    </w:div>
    <w:div w:id="1151098239">
      <w:bodyDiv w:val="1"/>
      <w:marLeft w:val="0"/>
      <w:marRight w:val="0"/>
      <w:marTop w:val="0"/>
      <w:marBottom w:val="0"/>
      <w:divBdr>
        <w:top w:val="none" w:sz="0" w:space="0" w:color="auto"/>
        <w:left w:val="none" w:sz="0" w:space="0" w:color="auto"/>
        <w:bottom w:val="none" w:sz="0" w:space="0" w:color="auto"/>
        <w:right w:val="none" w:sz="0" w:space="0" w:color="auto"/>
      </w:divBdr>
    </w:div>
    <w:div w:id="1154951795">
      <w:bodyDiv w:val="1"/>
      <w:marLeft w:val="0"/>
      <w:marRight w:val="0"/>
      <w:marTop w:val="0"/>
      <w:marBottom w:val="0"/>
      <w:divBdr>
        <w:top w:val="none" w:sz="0" w:space="0" w:color="auto"/>
        <w:left w:val="none" w:sz="0" w:space="0" w:color="auto"/>
        <w:bottom w:val="none" w:sz="0" w:space="0" w:color="auto"/>
        <w:right w:val="none" w:sz="0" w:space="0" w:color="auto"/>
      </w:divBdr>
      <w:divsChild>
        <w:div w:id="542014480">
          <w:marLeft w:val="0"/>
          <w:marRight w:val="0"/>
          <w:marTop w:val="0"/>
          <w:marBottom w:val="120"/>
          <w:divBdr>
            <w:top w:val="none" w:sz="0" w:space="0" w:color="auto"/>
            <w:left w:val="none" w:sz="0" w:space="0" w:color="auto"/>
            <w:bottom w:val="none" w:sz="0" w:space="0" w:color="auto"/>
            <w:right w:val="none" w:sz="0" w:space="0" w:color="auto"/>
          </w:divBdr>
          <w:divsChild>
            <w:div w:id="1047413569">
              <w:marLeft w:val="0"/>
              <w:marRight w:val="0"/>
              <w:marTop w:val="0"/>
              <w:marBottom w:val="0"/>
              <w:divBdr>
                <w:top w:val="none" w:sz="0" w:space="0" w:color="auto"/>
                <w:left w:val="none" w:sz="0" w:space="0" w:color="auto"/>
                <w:bottom w:val="none" w:sz="0" w:space="0" w:color="auto"/>
                <w:right w:val="none" w:sz="0" w:space="0" w:color="auto"/>
              </w:divBdr>
              <w:divsChild>
                <w:div w:id="2131702239">
                  <w:marLeft w:val="0"/>
                  <w:marRight w:val="0"/>
                  <w:marTop w:val="0"/>
                  <w:marBottom w:val="0"/>
                  <w:divBdr>
                    <w:top w:val="none" w:sz="0" w:space="0" w:color="auto"/>
                    <w:left w:val="none" w:sz="0" w:space="0" w:color="auto"/>
                    <w:bottom w:val="none" w:sz="0" w:space="0" w:color="auto"/>
                    <w:right w:val="none" w:sz="0" w:space="0" w:color="auto"/>
                  </w:divBdr>
                  <w:divsChild>
                    <w:div w:id="116150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395864">
          <w:marLeft w:val="0"/>
          <w:marRight w:val="0"/>
          <w:marTop w:val="0"/>
          <w:marBottom w:val="0"/>
          <w:divBdr>
            <w:top w:val="none" w:sz="0" w:space="0" w:color="auto"/>
            <w:left w:val="none" w:sz="0" w:space="0" w:color="auto"/>
            <w:bottom w:val="none" w:sz="0" w:space="0" w:color="auto"/>
            <w:right w:val="none" w:sz="0" w:space="0" w:color="auto"/>
          </w:divBdr>
        </w:div>
      </w:divsChild>
    </w:div>
    <w:div w:id="1194273933">
      <w:bodyDiv w:val="1"/>
      <w:marLeft w:val="0"/>
      <w:marRight w:val="0"/>
      <w:marTop w:val="0"/>
      <w:marBottom w:val="0"/>
      <w:divBdr>
        <w:top w:val="none" w:sz="0" w:space="0" w:color="auto"/>
        <w:left w:val="none" w:sz="0" w:space="0" w:color="auto"/>
        <w:bottom w:val="none" w:sz="0" w:space="0" w:color="auto"/>
        <w:right w:val="none" w:sz="0" w:space="0" w:color="auto"/>
      </w:divBdr>
    </w:div>
    <w:div w:id="1225146051">
      <w:bodyDiv w:val="1"/>
      <w:marLeft w:val="0"/>
      <w:marRight w:val="0"/>
      <w:marTop w:val="0"/>
      <w:marBottom w:val="0"/>
      <w:divBdr>
        <w:top w:val="none" w:sz="0" w:space="0" w:color="auto"/>
        <w:left w:val="none" w:sz="0" w:space="0" w:color="auto"/>
        <w:bottom w:val="none" w:sz="0" w:space="0" w:color="auto"/>
        <w:right w:val="none" w:sz="0" w:space="0" w:color="auto"/>
      </w:divBdr>
    </w:div>
    <w:div w:id="1253002526">
      <w:bodyDiv w:val="1"/>
      <w:marLeft w:val="0"/>
      <w:marRight w:val="0"/>
      <w:marTop w:val="0"/>
      <w:marBottom w:val="0"/>
      <w:divBdr>
        <w:top w:val="none" w:sz="0" w:space="0" w:color="auto"/>
        <w:left w:val="none" w:sz="0" w:space="0" w:color="auto"/>
        <w:bottom w:val="none" w:sz="0" w:space="0" w:color="auto"/>
        <w:right w:val="none" w:sz="0" w:space="0" w:color="auto"/>
      </w:divBdr>
      <w:divsChild>
        <w:div w:id="500242095">
          <w:marLeft w:val="0"/>
          <w:marRight w:val="0"/>
          <w:marTop w:val="225"/>
          <w:marBottom w:val="225"/>
          <w:divBdr>
            <w:top w:val="none" w:sz="0" w:space="0" w:color="auto"/>
            <w:left w:val="none" w:sz="0" w:space="0" w:color="auto"/>
            <w:bottom w:val="none" w:sz="0" w:space="0" w:color="auto"/>
            <w:right w:val="none" w:sz="0" w:space="0" w:color="auto"/>
          </w:divBdr>
          <w:divsChild>
            <w:div w:id="291130971">
              <w:marLeft w:val="0"/>
              <w:marRight w:val="0"/>
              <w:marTop w:val="0"/>
              <w:marBottom w:val="0"/>
              <w:divBdr>
                <w:top w:val="none" w:sz="0" w:space="0" w:color="auto"/>
                <w:left w:val="none" w:sz="0" w:space="0" w:color="auto"/>
                <w:bottom w:val="none" w:sz="0" w:space="0" w:color="auto"/>
                <w:right w:val="none" w:sz="0" w:space="0" w:color="auto"/>
              </w:divBdr>
              <w:divsChild>
                <w:div w:id="1044448283">
                  <w:marLeft w:val="0"/>
                  <w:marRight w:val="0"/>
                  <w:marTop w:val="0"/>
                  <w:marBottom w:val="0"/>
                  <w:divBdr>
                    <w:top w:val="none" w:sz="0" w:space="0" w:color="auto"/>
                    <w:left w:val="none" w:sz="0" w:space="0" w:color="auto"/>
                    <w:bottom w:val="none" w:sz="0" w:space="0" w:color="auto"/>
                    <w:right w:val="none" w:sz="0" w:space="0" w:color="auto"/>
                  </w:divBdr>
                  <w:divsChild>
                    <w:div w:id="1366103928">
                      <w:marLeft w:val="0"/>
                      <w:marRight w:val="0"/>
                      <w:marTop w:val="0"/>
                      <w:marBottom w:val="0"/>
                      <w:divBdr>
                        <w:top w:val="none" w:sz="0" w:space="0" w:color="auto"/>
                        <w:left w:val="none" w:sz="0" w:space="0" w:color="auto"/>
                        <w:bottom w:val="none" w:sz="0" w:space="0" w:color="auto"/>
                        <w:right w:val="none" w:sz="0" w:space="0" w:color="auto"/>
                      </w:divBdr>
                    </w:div>
                    <w:div w:id="1693218825">
                      <w:marLeft w:val="0"/>
                      <w:marRight w:val="0"/>
                      <w:marTop w:val="0"/>
                      <w:marBottom w:val="0"/>
                      <w:divBdr>
                        <w:top w:val="none" w:sz="0" w:space="0" w:color="auto"/>
                        <w:left w:val="none" w:sz="0" w:space="0" w:color="auto"/>
                        <w:bottom w:val="none" w:sz="0" w:space="0" w:color="auto"/>
                        <w:right w:val="none" w:sz="0" w:space="0" w:color="auto"/>
                      </w:divBdr>
                    </w:div>
                    <w:div w:id="518005513">
                      <w:marLeft w:val="0"/>
                      <w:marRight w:val="0"/>
                      <w:marTop w:val="0"/>
                      <w:marBottom w:val="0"/>
                      <w:divBdr>
                        <w:top w:val="none" w:sz="0" w:space="0" w:color="auto"/>
                        <w:left w:val="none" w:sz="0" w:space="0" w:color="auto"/>
                        <w:bottom w:val="none" w:sz="0" w:space="0" w:color="auto"/>
                        <w:right w:val="none" w:sz="0" w:space="0" w:color="auto"/>
                      </w:divBdr>
                    </w:div>
                    <w:div w:id="333067859">
                      <w:marLeft w:val="0"/>
                      <w:marRight w:val="0"/>
                      <w:marTop w:val="0"/>
                      <w:marBottom w:val="0"/>
                      <w:divBdr>
                        <w:top w:val="none" w:sz="0" w:space="0" w:color="auto"/>
                        <w:left w:val="none" w:sz="0" w:space="0" w:color="auto"/>
                        <w:bottom w:val="none" w:sz="0" w:space="0" w:color="auto"/>
                        <w:right w:val="none" w:sz="0" w:space="0" w:color="auto"/>
                      </w:divBdr>
                    </w:div>
                    <w:div w:id="761604207">
                      <w:marLeft w:val="0"/>
                      <w:marRight w:val="0"/>
                      <w:marTop w:val="0"/>
                      <w:marBottom w:val="0"/>
                      <w:divBdr>
                        <w:top w:val="none" w:sz="0" w:space="0" w:color="auto"/>
                        <w:left w:val="none" w:sz="0" w:space="0" w:color="auto"/>
                        <w:bottom w:val="none" w:sz="0" w:space="0" w:color="auto"/>
                        <w:right w:val="none" w:sz="0" w:space="0" w:color="auto"/>
                      </w:divBdr>
                    </w:div>
                    <w:div w:id="970135779">
                      <w:marLeft w:val="0"/>
                      <w:marRight w:val="0"/>
                      <w:marTop w:val="0"/>
                      <w:marBottom w:val="0"/>
                      <w:divBdr>
                        <w:top w:val="none" w:sz="0" w:space="0" w:color="auto"/>
                        <w:left w:val="none" w:sz="0" w:space="0" w:color="auto"/>
                        <w:bottom w:val="none" w:sz="0" w:space="0" w:color="auto"/>
                        <w:right w:val="none" w:sz="0" w:space="0" w:color="auto"/>
                      </w:divBdr>
                    </w:div>
                    <w:div w:id="1537812908">
                      <w:marLeft w:val="0"/>
                      <w:marRight w:val="0"/>
                      <w:marTop w:val="0"/>
                      <w:marBottom w:val="0"/>
                      <w:divBdr>
                        <w:top w:val="none" w:sz="0" w:space="0" w:color="auto"/>
                        <w:left w:val="none" w:sz="0" w:space="0" w:color="auto"/>
                        <w:bottom w:val="none" w:sz="0" w:space="0" w:color="auto"/>
                        <w:right w:val="none" w:sz="0" w:space="0" w:color="auto"/>
                      </w:divBdr>
                    </w:div>
                    <w:div w:id="1001275163">
                      <w:marLeft w:val="0"/>
                      <w:marRight w:val="0"/>
                      <w:marTop w:val="0"/>
                      <w:marBottom w:val="0"/>
                      <w:divBdr>
                        <w:top w:val="none" w:sz="0" w:space="0" w:color="auto"/>
                        <w:left w:val="none" w:sz="0" w:space="0" w:color="auto"/>
                        <w:bottom w:val="none" w:sz="0" w:space="0" w:color="auto"/>
                        <w:right w:val="none" w:sz="0" w:space="0" w:color="auto"/>
                      </w:divBdr>
                    </w:div>
                    <w:div w:id="8527938">
                      <w:marLeft w:val="0"/>
                      <w:marRight w:val="0"/>
                      <w:marTop w:val="0"/>
                      <w:marBottom w:val="0"/>
                      <w:divBdr>
                        <w:top w:val="none" w:sz="0" w:space="0" w:color="auto"/>
                        <w:left w:val="none" w:sz="0" w:space="0" w:color="auto"/>
                        <w:bottom w:val="none" w:sz="0" w:space="0" w:color="auto"/>
                        <w:right w:val="none" w:sz="0" w:space="0" w:color="auto"/>
                      </w:divBdr>
                    </w:div>
                    <w:div w:id="56664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300862">
      <w:bodyDiv w:val="1"/>
      <w:marLeft w:val="0"/>
      <w:marRight w:val="0"/>
      <w:marTop w:val="0"/>
      <w:marBottom w:val="0"/>
      <w:divBdr>
        <w:top w:val="none" w:sz="0" w:space="0" w:color="auto"/>
        <w:left w:val="none" w:sz="0" w:space="0" w:color="auto"/>
        <w:bottom w:val="none" w:sz="0" w:space="0" w:color="auto"/>
        <w:right w:val="none" w:sz="0" w:space="0" w:color="auto"/>
      </w:divBdr>
    </w:div>
    <w:div w:id="1302342893">
      <w:bodyDiv w:val="1"/>
      <w:marLeft w:val="0"/>
      <w:marRight w:val="0"/>
      <w:marTop w:val="0"/>
      <w:marBottom w:val="0"/>
      <w:divBdr>
        <w:top w:val="none" w:sz="0" w:space="0" w:color="auto"/>
        <w:left w:val="none" w:sz="0" w:space="0" w:color="auto"/>
        <w:bottom w:val="none" w:sz="0" w:space="0" w:color="auto"/>
        <w:right w:val="none" w:sz="0" w:space="0" w:color="auto"/>
      </w:divBdr>
    </w:div>
    <w:div w:id="1316454017">
      <w:bodyDiv w:val="1"/>
      <w:marLeft w:val="0"/>
      <w:marRight w:val="0"/>
      <w:marTop w:val="0"/>
      <w:marBottom w:val="0"/>
      <w:divBdr>
        <w:top w:val="none" w:sz="0" w:space="0" w:color="auto"/>
        <w:left w:val="none" w:sz="0" w:space="0" w:color="auto"/>
        <w:bottom w:val="none" w:sz="0" w:space="0" w:color="auto"/>
        <w:right w:val="none" w:sz="0" w:space="0" w:color="auto"/>
      </w:divBdr>
    </w:div>
    <w:div w:id="1318805105">
      <w:bodyDiv w:val="1"/>
      <w:marLeft w:val="0"/>
      <w:marRight w:val="0"/>
      <w:marTop w:val="0"/>
      <w:marBottom w:val="0"/>
      <w:divBdr>
        <w:top w:val="none" w:sz="0" w:space="0" w:color="auto"/>
        <w:left w:val="none" w:sz="0" w:space="0" w:color="auto"/>
        <w:bottom w:val="none" w:sz="0" w:space="0" w:color="auto"/>
        <w:right w:val="none" w:sz="0" w:space="0" w:color="auto"/>
      </w:divBdr>
    </w:div>
    <w:div w:id="1331761007">
      <w:bodyDiv w:val="1"/>
      <w:marLeft w:val="0"/>
      <w:marRight w:val="0"/>
      <w:marTop w:val="0"/>
      <w:marBottom w:val="0"/>
      <w:divBdr>
        <w:top w:val="none" w:sz="0" w:space="0" w:color="auto"/>
        <w:left w:val="none" w:sz="0" w:space="0" w:color="auto"/>
        <w:bottom w:val="none" w:sz="0" w:space="0" w:color="auto"/>
        <w:right w:val="none" w:sz="0" w:space="0" w:color="auto"/>
      </w:divBdr>
      <w:divsChild>
        <w:div w:id="547570808">
          <w:marLeft w:val="0"/>
          <w:marRight w:val="0"/>
          <w:marTop w:val="0"/>
          <w:marBottom w:val="0"/>
          <w:divBdr>
            <w:top w:val="none" w:sz="0" w:space="0" w:color="auto"/>
            <w:left w:val="none" w:sz="0" w:space="0" w:color="auto"/>
            <w:bottom w:val="none" w:sz="0" w:space="0" w:color="auto"/>
            <w:right w:val="none" w:sz="0" w:space="0" w:color="auto"/>
          </w:divBdr>
          <w:divsChild>
            <w:div w:id="1573661433">
              <w:marLeft w:val="0"/>
              <w:marRight w:val="0"/>
              <w:marTop w:val="0"/>
              <w:marBottom w:val="0"/>
              <w:divBdr>
                <w:top w:val="none" w:sz="0" w:space="0" w:color="auto"/>
                <w:left w:val="none" w:sz="0" w:space="0" w:color="auto"/>
                <w:bottom w:val="none" w:sz="0" w:space="0" w:color="auto"/>
                <w:right w:val="none" w:sz="0" w:space="0" w:color="auto"/>
              </w:divBdr>
              <w:divsChild>
                <w:div w:id="89700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832600">
      <w:bodyDiv w:val="1"/>
      <w:marLeft w:val="0"/>
      <w:marRight w:val="0"/>
      <w:marTop w:val="0"/>
      <w:marBottom w:val="0"/>
      <w:divBdr>
        <w:top w:val="none" w:sz="0" w:space="0" w:color="auto"/>
        <w:left w:val="none" w:sz="0" w:space="0" w:color="auto"/>
        <w:bottom w:val="none" w:sz="0" w:space="0" w:color="auto"/>
        <w:right w:val="none" w:sz="0" w:space="0" w:color="auto"/>
      </w:divBdr>
    </w:div>
    <w:div w:id="1405687696">
      <w:bodyDiv w:val="1"/>
      <w:marLeft w:val="0"/>
      <w:marRight w:val="0"/>
      <w:marTop w:val="0"/>
      <w:marBottom w:val="0"/>
      <w:divBdr>
        <w:top w:val="none" w:sz="0" w:space="0" w:color="auto"/>
        <w:left w:val="none" w:sz="0" w:space="0" w:color="auto"/>
        <w:bottom w:val="none" w:sz="0" w:space="0" w:color="auto"/>
        <w:right w:val="none" w:sz="0" w:space="0" w:color="auto"/>
      </w:divBdr>
    </w:div>
    <w:div w:id="1444694671">
      <w:bodyDiv w:val="1"/>
      <w:marLeft w:val="0"/>
      <w:marRight w:val="0"/>
      <w:marTop w:val="0"/>
      <w:marBottom w:val="0"/>
      <w:divBdr>
        <w:top w:val="none" w:sz="0" w:space="0" w:color="auto"/>
        <w:left w:val="none" w:sz="0" w:space="0" w:color="auto"/>
        <w:bottom w:val="none" w:sz="0" w:space="0" w:color="auto"/>
        <w:right w:val="none" w:sz="0" w:space="0" w:color="auto"/>
      </w:divBdr>
    </w:div>
    <w:div w:id="1485854695">
      <w:bodyDiv w:val="1"/>
      <w:marLeft w:val="0"/>
      <w:marRight w:val="0"/>
      <w:marTop w:val="0"/>
      <w:marBottom w:val="0"/>
      <w:divBdr>
        <w:top w:val="none" w:sz="0" w:space="0" w:color="auto"/>
        <w:left w:val="none" w:sz="0" w:space="0" w:color="auto"/>
        <w:bottom w:val="none" w:sz="0" w:space="0" w:color="auto"/>
        <w:right w:val="none" w:sz="0" w:space="0" w:color="auto"/>
      </w:divBdr>
      <w:divsChild>
        <w:div w:id="580411775">
          <w:marLeft w:val="0"/>
          <w:marRight w:val="0"/>
          <w:marTop w:val="0"/>
          <w:marBottom w:val="0"/>
          <w:divBdr>
            <w:top w:val="none" w:sz="0" w:space="0" w:color="auto"/>
            <w:left w:val="none" w:sz="0" w:space="0" w:color="auto"/>
            <w:bottom w:val="none" w:sz="0" w:space="0" w:color="auto"/>
            <w:right w:val="none" w:sz="0" w:space="0" w:color="auto"/>
          </w:divBdr>
          <w:divsChild>
            <w:div w:id="753860819">
              <w:marLeft w:val="0"/>
              <w:marRight w:val="0"/>
              <w:marTop w:val="0"/>
              <w:marBottom w:val="0"/>
              <w:divBdr>
                <w:top w:val="none" w:sz="0" w:space="0" w:color="auto"/>
                <w:left w:val="none" w:sz="0" w:space="0" w:color="auto"/>
                <w:bottom w:val="none" w:sz="0" w:space="0" w:color="auto"/>
                <w:right w:val="none" w:sz="0" w:space="0" w:color="auto"/>
              </w:divBdr>
              <w:divsChild>
                <w:div w:id="363405626">
                  <w:marLeft w:val="0"/>
                  <w:marRight w:val="0"/>
                  <w:marTop w:val="0"/>
                  <w:marBottom w:val="0"/>
                  <w:divBdr>
                    <w:top w:val="none" w:sz="0" w:space="0" w:color="auto"/>
                    <w:left w:val="none" w:sz="0" w:space="0" w:color="auto"/>
                    <w:bottom w:val="none" w:sz="0" w:space="0" w:color="auto"/>
                    <w:right w:val="none" w:sz="0" w:space="0" w:color="auto"/>
                  </w:divBdr>
                  <w:divsChild>
                    <w:div w:id="1807117243">
                      <w:marLeft w:val="0"/>
                      <w:marRight w:val="0"/>
                      <w:marTop w:val="0"/>
                      <w:marBottom w:val="0"/>
                      <w:divBdr>
                        <w:top w:val="none" w:sz="0" w:space="0" w:color="auto"/>
                        <w:left w:val="none" w:sz="0" w:space="0" w:color="auto"/>
                        <w:bottom w:val="none" w:sz="0" w:space="0" w:color="auto"/>
                        <w:right w:val="none" w:sz="0" w:space="0" w:color="auto"/>
                      </w:divBdr>
                      <w:divsChild>
                        <w:div w:id="1846551647">
                          <w:marLeft w:val="0"/>
                          <w:marRight w:val="0"/>
                          <w:marTop w:val="0"/>
                          <w:marBottom w:val="0"/>
                          <w:divBdr>
                            <w:top w:val="none" w:sz="0" w:space="0" w:color="auto"/>
                            <w:left w:val="none" w:sz="0" w:space="0" w:color="auto"/>
                            <w:bottom w:val="none" w:sz="0" w:space="0" w:color="auto"/>
                            <w:right w:val="none" w:sz="0" w:space="0" w:color="auto"/>
                          </w:divBdr>
                          <w:divsChild>
                            <w:div w:id="117381685">
                              <w:marLeft w:val="0"/>
                              <w:marRight w:val="0"/>
                              <w:marTop w:val="0"/>
                              <w:marBottom w:val="0"/>
                              <w:divBdr>
                                <w:top w:val="none" w:sz="0" w:space="0" w:color="auto"/>
                                <w:left w:val="none" w:sz="0" w:space="0" w:color="auto"/>
                                <w:bottom w:val="none" w:sz="0" w:space="0" w:color="auto"/>
                                <w:right w:val="none" w:sz="0" w:space="0" w:color="auto"/>
                              </w:divBdr>
                              <w:divsChild>
                                <w:div w:id="766194038">
                                  <w:marLeft w:val="0"/>
                                  <w:marRight w:val="0"/>
                                  <w:marTop w:val="0"/>
                                  <w:marBottom w:val="0"/>
                                  <w:divBdr>
                                    <w:top w:val="none" w:sz="0" w:space="0" w:color="auto"/>
                                    <w:left w:val="none" w:sz="0" w:space="0" w:color="auto"/>
                                    <w:bottom w:val="none" w:sz="0" w:space="0" w:color="auto"/>
                                    <w:right w:val="none" w:sz="0" w:space="0" w:color="auto"/>
                                  </w:divBdr>
                                  <w:divsChild>
                                    <w:div w:id="1901866455">
                                      <w:marLeft w:val="0"/>
                                      <w:marRight w:val="0"/>
                                      <w:marTop w:val="0"/>
                                      <w:marBottom w:val="0"/>
                                      <w:divBdr>
                                        <w:top w:val="none" w:sz="0" w:space="0" w:color="auto"/>
                                        <w:left w:val="none" w:sz="0" w:space="0" w:color="auto"/>
                                        <w:bottom w:val="none" w:sz="0" w:space="0" w:color="auto"/>
                                        <w:right w:val="none" w:sz="0" w:space="0" w:color="auto"/>
                                      </w:divBdr>
                                      <w:divsChild>
                                        <w:div w:id="152185812">
                                          <w:marLeft w:val="0"/>
                                          <w:marRight w:val="0"/>
                                          <w:marTop w:val="0"/>
                                          <w:marBottom w:val="0"/>
                                          <w:divBdr>
                                            <w:top w:val="none" w:sz="0" w:space="0" w:color="auto"/>
                                            <w:left w:val="none" w:sz="0" w:space="0" w:color="auto"/>
                                            <w:bottom w:val="none" w:sz="0" w:space="0" w:color="auto"/>
                                            <w:right w:val="none" w:sz="0" w:space="0" w:color="auto"/>
                                          </w:divBdr>
                                          <w:divsChild>
                                            <w:div w:id="979336231">
                                              <w:marLeft w:val="0"/>
                                              <w:marRight w:val="0"/>
                                              <w:marTop w:val="0"/>
                                              <w:marBottom w:val="0"/>
                                              <w:divBdr>
                                                <w:top w:val="none" w:sz="0" w:space="0" w:color="auto"/>
                                                <w:left w:val="none" w:sz="0" w:space="0" w:color="auto"/>
                                                <w:bottom w:val="none" w:sz="0" w:space="0" w:color="auto"/>
                                                <w:right w:val="none" w:sz="0" w:space="0" w:color="auto"/>
                                              </w:divBdr>
                                              <w:divsChild>
                                                <w:div w:id="892694561">
                                                  <w:marLeft w:val="0"/>
                                                  <w:marRight w:val="0"/>
                                                  <w:marTop w:val="0"/>
                                                  <w:marBottom w:val="0"/>
                                                  <w:divBdr>
                                                    <w:top w:val="none" w:sz="0" w:space="0" w:color="auto"/>
                                                    <w:left w:val="none" w:sz="0" w:space="0" w:color="auto"/>
                                                    <w:bottom w:val="none" w:sz="0" w:space="0" w:color="auto"/>
                                                    <w:right w:val="none" w:sz="0" w:space="0" w:color="auto"/>
                                                  </w:divBdr>
                                                  <w:divsChild>
                                                    <w:div w:id="137235401">
                                                      <w:marLeft w:val="0"/>
                                                      <w:marRight w:val="0"/>
                                                      <w:marTop w:val="0"/>
                                                      <w:marBottom w:val="0"/>
                                                      <w:divBdr>
                                                        <w:top w:val="none" w:sz="0" w:space="0" w:color="auto"/>
                                                        <w:left w:val="none" w:sz="0" w:space="0" w:color="auto"/>
                                                        <w:bottom w:val="none" w:sz="0" w:space="0" w:color="auto"/>
                                                        <w:right w:val="none" w:sz="0" w:space="0" w:color="auto"/>
                                                      </w:divBdr>
                                                      <w:divsChild>
                                                        <w:div w:id="10874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77204543">
      <w:bodyDiv w:val="1"/>
      <w:marLeft w:val="0"/>
      <w:marRight w:val="0"/>
      <w:marTop w:val="0"/>
      <w:marBottom w:val="0"/>
      <w:divBdr>
        <w:top w:val="none" w:sz="0" w:space="0" w:color="auto"/>
        <w:left w:val="none" w:sz="0" w:space="0" w:color="auto"/>
        <w:bottom w:val="none" w:sz="0" w:space="0" w:color="auto"/>
        <w:right w:val="none" w:sz="0" w:space="0" w:color="auto"/>
      </w:divBdr>
    </w:div>
    <w:div w:id="1639726355">
      <w:bodyDiv w:val="1"/>
      <w:marLeft w:val="0"/>
      <w:marRight w:val="0"/>
      <w:marTop w:val="0"/>
      <w:marBottom w:val="0"/>
      <w:divBdr>
        <w:top w:val="none" w:sz="0" w:space="0" w:color="auto"/>
        <w:left w:val="none" w:sz="0" w:space="0" w:color="auto"/>
        <w:bottom w:val="none" w:sz="0" w:space="0" w:color="auto"/>
        <w:right w:val="none" w:sz="0" w:space="0" w:color="auto"/>
      </w:divBdr>
    </w:div>
    <w:div w:id="1700352066">
      <w:bodyDiv w:val="1"/>
      <w:marLeft w:val="0"/>
      <w:marRight w:val="0"/>
      <w:marTop w:val="0"/>
      <w:marBottom w:val="0"/>
      <w:divBdr>
        <w:top w:val="none" w:sz="0" w:space="0" w:color="auto"/>
        <w:left w:val="none" w:sz="0" w:space="0" w:color="auto"/>
        <w:bottom w:val="none" w:sz="0" w:space="0" w:color="auto"/>
        <w:right w:val="none" w:sz="0" w:space="0" w:color="auto"/>
      </w:divBdr>
    </w:div>
    <w:div w:id="1796212114">
      <w:bodyDiv w:val="1"/>
      <w:marLeft w:val="0"/>
      <w:marRight w:val="0"/>
      <w:marTop w:val="0"/>
      <w:marBottom w:val="0"/>
      <w:divBdr>
        <w:top w:val="none" w:sz="0" w:space="0" w:color="auto"/>
        <w:left w:val="none" w:sz="0" w:space="0" w:color="auto"/>
        <w:bottom w:val="none" w:sz="0" w:space="0" w:color="auto"/>
        <w:right w:val="none" w:sz="0" w:space="0" w:color="auto"/>
      </w:divBdr>
    </w:div>
    <w:div w:id="1798833944">
      <w:bodyDiv w:val="1"/>
      <w:marLeft w:val="0"/>
      <w:marRight w:val="0"/>
      <w:marTop w:val="0"/>
      <w:marBottom w:val="0"/>
      <w:divBdr>
        <w:top w:val="none" w:sz="0" w:space="0" w:color="auto"/>
        <w:left w:val="none" w:sz="0" w:space="0" w:color="auto"/>
        <w:bottom w:val="none" w:sz="0" w:space="0" w:color="auto"/>
        <w:right w:val="none" w:sz="0" w:space="0" w:color="auto"/>
      </w:divBdr>
    </w:div>
    <w:div w:id="1817330906">
      <w:bodyDiv w:val="1"/>
      <w:marLeft w:val="0"/>
      <w:marRight w:val="0"/>
      <w:marTop w:val="0"/>
      <w:marBottom w:val="0"/>
      <w:divBdr>
        <w:top w:val="none" w:sz="0" w:space="0" w:color="auto"/>
        <w:left w:val="none" w:sz="0" w:space="0" w:color="auto"/>
        <w:bottom w:val="none" w:sz="0" w:space="0" w:color="auto"/>
        <w:right w:val="none" w:sz="0" w:space="0" w:color="auto"/>
      </w:divBdr>
    </w:div>
    <w:div w:id="1834450081">
      <w:bodyDiv w:val="1"/>
      <w:marLeft w:val="0"/>
      <w:marRight w:val="0"/>
      <w:marTop w:val="0"/>
      <w:marBottom w:val="0"/>
      <w:divBdr>
        <w:top w:val="none" w:sz="0" w:space="0" w:color="auto"/>
        <w:left w:val="none" w:sz="0" w:space="0" w:color="auto"/>
        <w:bottom w:val="none" w:sz="0" w:space="0" w:color="auto"/>
        <w:right w:val="none" w:sz="0" w:space="0" w:color="auto"/>
      </w:divBdr>
      <w:divsChild>
        <w:div w:id="1416433506">
          <w:marLeft w:val="0"/>
          <w:marRight w:val="0"/>
          <w:marTop w:val="0"/>
          <w:marBottom w:val="0"/>
          <w:divBdr>
            <w:top w:val="none" w:sz="0" w:space="0" w:color="auto"/>
            <w:left w:val="none" w:sz="0" w:space="0" w:color="auto"/>
            <w:bottom w:val="none" w:sz="0" w:space="0" w:color="auto"/>
            <w:right w:val="none" w:sz="0" w:space="0" w:color="auto"/>
          </w:divBdr>
          <w:divsChild>
            <w:div w:id="27609609">
              <w:marLeft w:val="0"/>
              <w:marRight w:val="0"/>
              <w:marTop w:val="0"/>
              <w:marBottom w:val="0"/>
              <w:divBdr>
                <w:top w:val="none" w:sz="0" w:space="0" w:color="auto"/>
                <w:left w:val="none" w:sz="0" w:space="0" w:color="auto"/>
                <w:bottom w:val="none" w:sz="0" w:space="0" w:color="auto"/>
                <w:right w:val="none" w:sz="0" w:space="0" w:color="auto"/>
              </w:divBdr>
              <w:divsChild>
                <w:div w:id="294026362">
                  <w:marLeft w:val="0"/>
                  <w:marRight w:val="0"/>
                  <w:marTop w:val="0"/>
                  <w:marBottom w:val="0"/>
                  <w:divBdr>
                    <w:top w:val="none" w:sz="0" w:space="0" w:color="auto"/>
                    <w:left w:val="none" w:sz="0" w:space="0" w:color="auto"/>
                    <w:bottom w:val="none" w:sz="0" w:space="0" w:color="auto"/>
                    <w:right w:val="none" w:sz="0" w:space="0" w:color="auto"/>
                  </w:divBdr>
                  <w:divsChild>
                    <w:div w:id="1141076510">
                      <w:marLeft w:val="0"/>
                      <w:marRight w:val="0"/>
                      <w:marTop w:val="0"/>
                      <w:marBottom w:val="0"/>
                      <w:divBdr>
                        <w:top w:val="none" w:sz="0" w:space="0" w:color="auto"/>
                        <w:left w:val="none" w:sz="0" w:space="0" w:color="auto"/>
                        <w:bottom w:val="none" w:sz="0" w:space="0" w:color="auto"/>
                        <w:right w:val="none" w:sz="0" w:space="0" w:color="auto"/>
                      </w:divBdr>
                      <w:divsChild>
                        <w:div w:id="925654521">
                          <w:marLeft w:val="0"/>
                          <w:marRight w:val="0"/>
                          <w:marTop w:val="0"/>
                          <w:marBottom w:val="0"/>
                          <w:divBdr>
                            <w:top w:val="none" w:sz="0" w:space="0" w:color="auto"/>
                            <w:left w:val="none" w:sz="0" w:space="0" w:color="auto"/>
                            <w:bottom w:val="none" w:sz="0" w:space="0" w:color="auto"/>
                            <w:right w:val="none" w:sz="0" w:space="0" w:color="auto"/>
                          </w:divBdr>
                          <w:divsChild>
                            <w:div w:id="1168864953">
                              <w:marLeft w:val="0"/>
                              <w:marRight w:val="300"/>
                              <w:marTop w:val="180"/>
                              <w:marBottom w:val="0"/>
                              <w:divBdr>
                                <w:top w:val="none" w:sz="0" w:space="0" w:color="auto"/>
                                <w:left w:val="none" w:sz="0" w:space="0" w:color="auto"/>
                                <w:bottom w:val="none" w:sz="0" w:space="0" w:color="auto"/>
                                <w:right w:val="none" w:sz="0" w:space="0" w:color="auto"/>
                              </w:divBdr>
                              <w:divsChild>
                                <w:div w:id="35481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7881539">
          <w:marLeft w:val="0"/>
          <w:marRight w:val="0"/>
          <w:marTop w:val="0"/>
          <w:marBottom w:val="0"/>
          <w:divBdr>
            <w:top w:val="none" w:sz="0" w:space="0" w:color="auto"/>
            <w:left w:val="none" w:sz="0" w:space="0" w:color="auto"/>
            <w:bottom w:val="none" w:sz="0" w:space="0" w:color="auto"/>
            <w:right w:val="none" w:sz="0" w:space="0" w:color="auto"/>
          </w:divBdr>
          <w:divsChild>
            <w:div w:id="136147541">
              <w:marLeft w:val="0"/>
              <w:marRight w:val="0"/>
              <w:marTop w:val="0"/>
              <w:marBottom w:val="0"/>
              <w:divBdr>
                <w:top w:val="none" w:sz="0" w:space="0" w:color="auto"/>
                <w:left w:val="none" w:sz="0" w:space="0" w:color="auto"/>
                <w:bottom w:val="none" w:sz="0" w:space="0" w:color="auto"/>
                <w:right w:val="none" w:sz="0" w:space="0" w:color="auto"/>
              </w:divBdr>
              <w:divsChild>
                <w:div w:id="1949923230">
                  <w:marLeft w:val="0"/>
                  <w:marRight w:val="0"/>
                  <w:marTop w:val="0"/>
                  <w:marBottom w:val="0"/>
                  <w:divBdr>
                    <w:top w:val="none" w:sz="0" w:space="0" w:color="auto"/>
                    <w:left w:val="none" w:sz="0" w:space="0" w:color="auto"/>
                    <w:bottom w:val="none" w:sz="0" w:space="0" w:color="auto"/>
                    <w:right w:val="none" w:sz="0" w:space="0" w:color="auto"/>
                  </w:divBdr>
                  <w:divsChild>
                    <w:div w:id="841160665">
                      <w:marLeft w:val="0"/>
                      <w:marRight w:val="0"/>
                      <w:marTop w:val="0"/>
                      <w:marBottom w:val="0"/>
                      <w:divBdr>
                        <w:top w:val="none" w:sz="0" w:space="0" w:color="auto"/>
                        <w:left w:val="none" w:sz="0" w:space="0" w:color="auto"/>
                        <w:bottom w:val="none" w:sz="0" w:space="0" w:color="auto"/>
                        <w:right w:val="none" w:sz="0" w:space="0" w:color="auto"/>
                      </w:divBdr>
                      <w:divsChild>
                        <w:div w:id="8332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2038247">
      <w:bodyDiv w:val="1"/>
      <w:marLeft w:val="0"/>
      <w:marRight w:val="0"/>
      <w:marTop w:val="0"/>
      <w:marBottom w:val="0"/>
      <w:divBdr>
        <w:top w:val="none" w:sz="0" w:space="0" w:color="auto"/>
        <w:left w:val="none" w:sz="0" w:space="0" w:color="auto"/>
        <w:bottom w:val="none" w:sz="0" w:space="0" w:color="auto"/>
        <w:right w:val="none" w:sz="0" w:space="0" w:color="auto"/>
      </w:divBdr>
      <w:divsChild>
        <w:div w:id="733550339">
          <w:marLeft w:val="0"/>
          <w:marRight w:val="0"/>
          <w:marTop w:val="0"/>
          <w:marBottom w:val="0"/>
          <w:divBdr>
            <w:top w:val="none" w:sz="0" w:space="0" w:color="auto"/>
            <w:left w:val="none" w:sz="0" w:space="0" w:color="auto"/>
            <w:bottom w:val="none" w:sz="0" w:space="0" w:color="auto"/>
            <w:right w:val="none" w:sz="0" w:space="0" w:color="auto"/>
          </w:divBdr>
          <w:divsChild>
            <w:div w:id="2048023700">
              <w:marLeft w:val="0"/>
              <w:marRight w:val="0"/>
              <w:marTop w:val="0"/>
              <w:marBottom w:val="0"/>
              <w:divBdr>
                <w:top w:val="none" w:sz="0" w:space="0" w:color="auto"/>
                <w:left w:val="none" w:sz="0" w:space="0" w:color="auto"/>
                <w:bottom w:val="none" w:sz="0" w:space="0" w:color="auto"/>
                <w:right w:val="none" w:sz="0" w:space="0" w:color="auto"/>
              </w:divBdr>
              <w:divsChild>
                <w:div w:id="1565332124">
                  <w:marLeft w:val="0"/>
                  <w:marRight w:val="0"/>
                  <w:marTop w:val="0"/>
                  <w:marBottom w:val="0"/>
                  <w:divBdr>
                    <w:top w:val="none" w:sz="0" w:space="0" w:color="auto"/>
                    <w:left w:val="none" w:sz="0" w:space="0" w:color="auto"/>
                    <w:bottom w:val="none" w:sz="0" w:space="0" w:color="auto"/>
                    <w:right w:val="none" w:sz="0" w:space="0" w:color="auto"/>
                  </w:divBdr>
                  <w:divsChild>
                    <w:div w:id="1980499000">
                      <w:marLeft w:val="0"/>
                      <w:marRight w:val="0"/>
                      <w:marTop w:val="0"/>
                      <w:marBottom w:val="0"/>
                      <w:divBdr>
                        <w:top w:val="none" w:sz="0" w:space="0" w:color="auto"/>
                        <w:left w:val="none" w:sz="0" w:space="0" w:color="auto"/>
                        <w:bottom w:val="none" w:sz="0" w:space="0" w:color="auto"/>
                        <w:right w:val="none" w:sz="0" w:space="0" w:color="auto"/>
                      </w:divBdr>
                      <w:divsChild>
                        <w:div w:id="1705787119">
                          <w:marLeft w:val="0"/>
                          <w:marRight w:val="0"/>
                          <w:marTop w:val="0"/>
                          <w:marBottom w:val="0"/>
                          <w:divBdr>
                            <w:top w:val="none" w:sz="0" w:space="0" w:color="auto"/>
                            <w:left w:val="none" w:sz="0" w:space="0" w:color="auto"/>
                            <w:bottom w:val="none" w:sz="0" w:space="0" w:color="auto"/>
                            <w:right w:val="none" w:sz="0" w:space="0" w:color="auto"/>
                          </w:divBdr>
                          <w:divsChild>
                            <w:div w:id="367023126">
                              <w:marLeft w:val="0"/>
                              <w:marRight w:val="0"/>
                              <w:marTop w:val="0"/>
                              <w:marBottom w:val="0"/>
                              <w:divBdr>
                                <w:top w:val="none" w:sz="0" w:space="0" w:color="auto"/>
                                <w:left w:val="none" w:sz="0" w:space="0" w:color="auto"/>
                                <w:bottom w:val="none" w:sz="0" w:space="0" w:color="auto"/>
                                <w:right w:val="none" w:sz="0" w:space="0" w:color="auto"/>
                              </w:divBdr>
                              <w:divsChild>
                                <w:div w:id="1300771510">
                                  <w:marLeft w:val="0"/>
                                  <w:marRight w:val="0"/>
                                  <w:marTop w:val="0"/>
                                  <w:marBottom w:val="0"/>
                                  <w:divBdr>
                                    <w:top w:val="none" w:sz="0" w:space="0" w:color="auto"/>
                                    <w:left w:val="none" w:sz="0" w:space="0" w:color="auto"/>
                                    <w:bottom w:val="none" w:sz="0" w:space="0" w:color="auto"/>
                                    <w:right w:val="none" w:sz="0" w:space="0" w:color="auto"/>
                                  </w:divBdr>
                                  <w:divsChild>
                                    <w:div w:id="1361273968">
                                      <w:marLeft w:val="0"/>
                                      <w:marRight w:val="0"/>
                                      <w:marTop w:val="0"/>
                                      <w:marBottom w:val="0"/>
                                      <w:divBdr>
                                        <w:top w:val="none" w:sz="0" w:space="0" w:color="auto"/>
                                        <w:left w:val="none" w:sz="0" w:space="0" w:color="auto"/>
                                        <w:bottom w:val="none" w:sz="0" w:space="0" w:color="auto"/>
                                        <w:right w:val="none" w:sz="0" w:space="0" w:color="auto"/>
                                      </w:divBdr>
                                      <w:divsChild>
                                        <w:div w:id="555287444">
                                          <w:marLeft w:val="0"/>
                                          <w:marRight w:val="0"/>
                                          <w:marTop w:val="0"/>
                                          <w:marBottom w:val="0"/>
                                          <w:divBdr>
                                            <w:top w:val="none" w:sz="0" w:space="0" w:color="auto"/>
                                            <w:left w:val="none" w:sz="0" w:space="0" w:color="auto"/>
                                            <w:bottom w:val="none" w:sz="0" w:space="0" w:color="auto"/>
                                            <w:right w:val="none" w:sz="0" w:space="0" w:color="auto"/>
                                          </w:divBdr>
                                          <w:divsChild>
                                            <w:div w:id="588004941">
                                              <w:marLeft w:val="0"/>
                                              <w:marRight w:val="0"/>
                                              <w:marTop w:val="0"/>
                                              <w:marBottom w:val="0"/>
                                              <w:divBdr>
                                                <w:top w:val="none" w:sz="0" w:space="0" w:color="auto"/>
                                                <w:left w:val="none" w:sz="0" w:space="0" w:color="auto"/>
                                                <w:bottom w:val="none" w:sz="0" w:space="0" w:color="auto"/>
                                                <w:right w:val="none" w:sz="0" w:space="0" w:color="auto"/>
                                              </w:divBdr>
                                              <w:divsChild>
                                                <w:div w:id="1680888842">
                                                  <w:marLeft w:val="0"/>
                                                  <w:marRight w:val="0"/>
                                                  <w:marTop w:val="0"/>
                                                  <w:marBottom w:val="0"/>
                                                  <w:divBdr>
                                                    <w:top w:val="none" w:sz="0" w:space="0" w:color="auto"/>
                                                    <w:left w:val="none" w:sz="0" w:space="0" w:color="auto"/>
                                                    <w:bottom w:val="none" w:sz="0" w:space="0" w:color="auto"/>
                                                    <w:right w:val="none" w:sz="0" w:space="0" w:color="auto"/>
                                                  </w:divBdr>
                                                  <w:divsChild>
                                                    <w:div w:id="1500852834">
                                                      <w:marLeft w:val="0"/>
                                                      <w:marRight w:val="0"/>
                                                      <w:marTop w:val="0"/>
                                                      <w:marBottom w:val="0"/>
                                                      <w:divBdr>
                                                        <w:top w:val="none" w:sz="0" w:space="0" w:color="auto"/>
                                                        <w:left w:val="none" w:sz="0" w:space="0" w:color="auto"/>
                                                        <w:bottom w:val="none" w:sz="0" w:space="0" w:color="auto"/>
                                                        <w:right w:val="none" w:sz="0" w:space="0" w:color="auto"/>
                                                      </w:divBdr>
                                                      <w:divsChild>
                                                        <w:div w:id="86409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69638465">
      <w:bodyDiv w:val="1"/>
      <w:marLeft w:val="0"/>
      <w:marRight w:val="0"/>
      <w:marTop w:val="0"/>
      <w:marBottom w:val="0"/>
      <w:divBdr>
        <w:top w:val="none" w:sz="0" w:space="0" w:color="auto"/>
        <w:left w:val="none" w:sz="0" w:space="0" w:color="auto"/>
        <w:bottom w:val="none" w:sz="0" w:space="0" w:color="auto"/>
        <w:right w:val="none" w:sz="0" w:space="0" w:color="auto"/>
      </w:divBdr>
    </w:div>
    <w:div w:id="1905723211">
      <w:bodyDiv w:val="1"/>
      <w:marLeft w:val="0"/>
      <w:marRight w:val="0"/>
      <w:marTop w:val="0"/>
      <w:marBottom w:val="0"/>
      <w:divBdr>
        <w:top w:val="none" w:sz="0" w:space="0" w:color="auto"/>
        <w:left w:val="none" w:sz="0" w:space="0" w:color="auto"/>
        <w:bottom w:val="none" w:sz="0" w:space="0" w:color="auto"/>
        <w:right w:val="none" w:sz="0" w:space="0" w:color="auto"/>
      </w:divBdr>
    </w:div>
    <w:div w:id="1924072829">
      <w:bodyDiv w:val="1"/>
      <w:marLeft w:val="0"/>
      <w:marRight w:val="0"/>
      <w:marTop w:val="0"/>
      <w:marBottom w:val="0"/>
      <w:divBdr>
        <w:top w:val="none" w:sz="0" w:space="0" w:color="auto"/>
        <w:left w:val="none" w:sz="0" w:space="0" w:color="auto"/>
        <w:bottom w:val="none" w:sz="0" w:space="0" w:color="auto"/>
        <w:right w:val="none" w:sz="0" w:space="0" w:color="auto"/>
      </w:divBdr>
    </w:div>
    <w:div w:id="1936009226">
      <w:bodyDiv w:val="1"/>
      <w:marLeft w:val="0"/>
      <w:marRight w:val="0"/>
      <w:marTop w:val="0"/>
      <w:marBottom w:val="0"/>
      <w:divBdr>
        <w:top w:val="none" w:sz="0" w:space="0" w:color="auto"/>
        <w:left w:val="none" w:sz="0" w:space="0" w:color="auto"/>
        <w:bottom w:val="none" w:sz="0" w:space="0" w:color="auto"/>
        <w:right w:val="none" w:sz="0" w:space="0" w:color="auto"/>
      </w:divBdr>
    </w:div>
    <w:div w:id="1948077939">
      <w:bodyDiv w:val="1"/>
      <w:marLeft w:val="0"/>
      <w:marRight w:val="0"/>
      <w:marTop w:val="0"/>
      <w:marBottom w:val="0"/>
      <w:divBdr>
        <w:top w:val="none" w:sz="0" w:space="0" w:color="auto"/>
        <w:left w:val="none" w:sz="0" w:space="0" w:color="auto"/>
        <w:bottom w:val="none" w:sz="0" w:space="0" w:color="auto"/>
        <w:right w:val="none" w:sz="0" w:space="0" w:color="auto"/>
      </w:divBdr>
    </w:div>
    <w:div w:id="1974602055">
      <w:bodyDiv w:val="1"/>
      <w:marLeft w:val="0"/>
      <w:marRight w:val="0"/>
      <w:marTop w:val="0"/>
      <w:marBottom w:val="0"/>
      <w:divBdr>
        <w:top w:val="none" w:sz="0" w:space="0" w:color="auto"/>
        <w:left w:val="none" w:sz="0" w:space="0" w:color="auto"/>
        <w:bottom w:val="none" w:sz="0" w:space="0" w:color="auto"/>
        <w:right w:val="none" w:sz="0" w:space="0" w:color="auto"/>
      </w:divBdr>
      <w:divsChild>
        <w:div w:id="1577864567">
          <w:marLeft w:val="0"/>
          <w:marRight w:val="0"/>
          <w:marTop w:val="0"/>
          <w:marBottom w:val="0"/>
          <w:divBdr>
            <w:top w:val="none" w:sz="0" w:space="0" w:color="auto"/>
            <w:left w:val="none" w:sz="0" w:space="0" w:color="auto"/>
            <w:bottom w:val="none" w:sz="0" w:space="0" w:color="auto"/>
            <w:right w:val="none" w:sz="0" w:space="0" w:color="auto"/>
          </w:divBdr>
          <w:divsChild>
            <w:div w:id="1894807226">
              <w:marLeft w:val="0"/>
              <w:marRight w:val="0"/>
              <w:marTop w:val="0"/>
              <w:marBottom w:val="0"/>
              <w:divBdr>
                <w:top w:val="none" w:sz="0" w:space="0" w:color="auto"/>
                <w:left w:val="none" w:sz="0" w:space="0" w:color="auto"/>
                <w:bottom w:val="none" w:sz="0" w:space="0" w:color="auto"/>
                <w:right w:val="none" w:sz="0" w:space="0" w:color="auto"/>
              </w:divBdr>
              <w:divsChild>
                <w:div w:id="10585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949317">
      <w:bodyDiv w:val="1"/>
      <w:marLeft w:val="0"/>
      <w:marRight w:val="0"/>
      <w:marTop w:val="0"/>
      <w:marBottom w:val="0"/>
      <w:divBdr>
        <w:top w:val="none" w:sz="0" w:space="0" w:color="auto"/>
        <w:left w:val="none" w:sz="0" w:space="0" w:color="auto"/>
        <w:bottom w:val="none" w:sz="0" w:space="0" w:color="auto"/>
        <w:right w:val="none" w:sz="0" w:space="0" w:color="auto"/>
      </w:divBdr>
    </w:div>
    <w:div w:id="2037339974">
      <w:bodyDiv w:val="1"/>
      <w:marLeft w:val="0"/>
      <w:marRight w:val="0"/>
      <w:marTop w:val="0"/>
      <w:marBottom w:val="0"/>
      <w:divBdr>
        <w:top w:val="none" w:sz="0" w:space="0" w:color="auto"/>
        <w:left w:val="none" w:sz="0" w:space="0" w:color="auto"/>
        <w:bottom w:val="none" w:sz="0" w:space="0" w:color="auto"/>
        <w:right w:val="none" w:sz="0" w:space="0" w:color="auto"/>
      </w:divBdr>
    </w:div>
    <w:div w:id="2039309090">
      <w:bodyDiv w:val="1"/>
      <w:marLeft w:val="0"/>
      <w:marRight w:val="0"/>
      <w:marTop w:val="0"/>
      <w:marBottom w:val="0"/>
      <w:divBdr>
        <w:top w:val="none" w:sz="0" w:space="0" w:color="auto"/>
        <w:left w:val="none" w:sz="0" w:space="0" w:color="auto"/>
        <w:bottom w:val="none" w:sz="0" w:space="0" w:color="auto"/>
        <w:right w:val="none" w:sz="0" w:space="0" w:color="auto"/>
      </w:divBdr>
      <w:divsChild>
        <w:div w:id="187107522">
          <w:marLeft w:val="0"/>
          <w:marRight w:val="0"/>
          <w:marTop w:val="0"/>
          <w:marBottom w:val="0"/>
          <w:divBdr>
            <w:top w:val="none" w:sz="0" w:space="0" w:color="auto"/>
            <w:left w:val="none" w:sz="0" w:space="0" w:color="auto"/>
            <w:bottom w:val="none" w:sz="0" w:space="0" w:color="auto"/>
            <w:right w:val="none" w:sz="0" w:space="0" w:color="auto"/>
          </w:divBdr>
          <w:divsChild>
            <w:div w:id="1954627832">
              <w:marLeft w:val="0"/>
              <w:marRight w:val="0"/>
              <w:marTop w:val="0"/>
              <w:marBottom w:val="0"/>
              <w:divBdr>
                <w:top w:val="none" w:sz="0" w:space="0" w:color="auto"/>
                <w:left w:val="none" w:sz="0" w:space="0" w:color="auto"/>
                <w:bottom w:val="none" w:sz="0" w:space="0" w:color="auto"/>
                <w:right w:val="none" w:sz="0" w:space="0" w:color="auto"/>
              </w:divBdr>
              <w:divsChild>
                <w:div w:id="1597517760">
                  <w:marLeft w:val="0"/>
                  <w:marRight w:val="0"/>
                  <w:marTop w:val="0"/>
                  <w:marBottom w:val="0"/>
                  <w:divBdr>
                    <w:top w:val="none" w:sz="0" w:space="0" w:color="auto"/>
                    <w:left w:val="none" w:sz="0" w:space="0" w:color="auto"/>
                    <w:bottom w:val="none" w:sz="0" w:space="0" w:color="auto"/>
                    <w:right w:val="none" w:sz="0" w:space="0" w:color="auto"/>
                  </w:divBdr>
                  <w:divsChild>
                    <w:div w:id="1027147088">
                      <w:marLeft w:val="0"/>
                      <w:marRight w:val="0"/>
                      <w:marTop w:val="0"/>
                      <w:marBottom w:val="0"/>
                      <w:divBdr>
                        <w:top w:val="none" w:sz="0" w:space="0" w:color="auto"/>
                        <w:left w:val="none" w:sz="0" w:space="0" w:color="auto"/>
                        <w:bottom w:val="none" w:sz="0" w:space="0" w:color="auto"/>
                        <w:right w:val="none" w:sz="0" w:space="0" w:color="auto"/>
                      </w:divBdr>
                      <w:divsChild>
                        <w:div w:id="1741446435">
                          <w:marLeft w:val="0"/>
                          <w:marRight w:val="0"/>
                          <w:marTop w:val="0"/>
                          <w:marBottom w:val="0"/>
                          <w:divBdr>
                            <w:top w:val="none" w:sz="0" w:space="0" w:color="auto"/>
                            <w:left w:val="none" w:sz="0" w:space="0" w:color="auto"/>
                            <w:bottom w:val="none" w:sz="0" w:space="0" w:color="auto"/>
                            <w:right w:val="none" w:sz="0" w:space="0" w:color="auto"/>
                          </w:divBdr>
                          <w:divsChild>
                            <w:div w:id="1953777201">
                              <w:marLeft w:val="0"/>
                              <w:marRight w:val="300"/>
                              <w:marTop w:val="180"/>
                              <w:marBottom w:val="0"/>
                              <w:divBdr>
                                <w:top w:val="none" w:sz="0" w:space="0" w:color="auto"/>
                                <w:left w:val="none" w:sz="0" w:space="0" w:color="auto"/>
                                <w:bottom w:val="none" w:sz="0" w:space="0" w:color="auto"/>
                                <w:right w:val="none" w:sz="0" w:space="0" w:color="auto"/>
                              </w:divBdr>
                              <w:divsChild>
                                <w:div w:id="16090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4950071">
          <w:marLeft w:val="0"/>
          <w:marRight w:val="0"/>
          <w:marTop w:val="0"/>
          <w:marBottom w:val="0"/>
          <w:divBdr>
            <w:top w:val="none" w:sz="0" w:space="0" w:color="auto"/>
            <w:left w:val="none" w:sz="0" w:space="0" w:color="auto"/>
            <w:bottom w:val="none" w:sz="0" w:space="0" w:color="auto"/>
            <w:right w:val="none" w:sz="0" w:space="0" w:color="auto"/>
          </w:divBdr>
          <w:divsChild>
            <w:div w:id="880289070">
              <w:marLeft w:val="0"/>
              <w:marRight w:val="0"/>
              <w:marTop w:val="0"/>
              <w:marBottom w:val="0"/>
              <w:divBdr>
                <w:top w:val="none" w:sz="0" w:space="0" w:color="auto"/>
                <w:left w:val="none" w:sz="0" w:space="0" w:color="auto"/>
                <w:bottom w:val="none" w:sz="0" w:space="0" w:color="auto"/>
                <w:right w:val="none" w:sz="0" w:space="0" w:color="auto"/>
              </w:divBdr>
              <w:divsChild>
                <w:div w:id="387537234">
                  <w:marLeft w:val="0"/>
                  <w:marRight w:val="0"/>
                  <w:marTop w:val="0"/>
                  <w:marBottom w:val="0"/>
                  <w:divBdr>
                    <w:top w:val="none" w:sz="0" w:space="0" w:color="auto"/>
                    <w:left w:val="none" w:sz="0" w:space="0" w:color="auto"/>
                    <w:bottom w:val="none" w:sz="0" w:space="0" w:color="auto"/>
                    <w:right w:val="none" w:sz="0" w:space="0" w:color="auto"/>
                  </w:divBdr>
                  <w:divsChild>
                    <w:div w:id="1177234309">
                      <w:marLeft w:val="0"/>
                      <w:marRight w:val="0"/>
                      <w:marTop w:val="0"/>
                      <w:marBottom w:val="0"/>
                      <w:divBdr>
                        <w:top w:val="none" w:sz="0" w:space="0" w:color="auto"/>
                        <w:left w:val="none" w:sz="0" w:space="0" w:color="auto"/>
                        <w:bottom w:val="none" w:sz="0" w:space="0" w:color="auto"/>
                        <w:right w:val="none" w:sz="0" w:space="0" w:color="auto"/>
                      </w:divBdr>
                      <w:divsChild>
                        <w:div w:id="37277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4183181">
      <w:bodyDiv w:val="1"/>
      <w:marLeft w:val="0"/>
      <w:marRight w:val="0"/>
      <w:marTop w:val="0"/>
      <w:marBottom w:val="0"/>
      <w:divBdr>
        <w:top w:val="none" w:sz="0" w:space="0" w:color="auto"/>
        <w:left w:val="none" w:sz="0" w:space="0" w:color="auto"/>
        <w:bottom w:val="none" w:sz="0" w:space="0" w:color="auto"/>
        <w:right w:val="none" w:sz="0" w:space="0" w:color="auto"/>
      </w:divBdr>
    </w:div>
    <w:div w:id="2090349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image" Target="media/image5.png"/><Relationship Id="rId26" Type="http://schemas.openxmlformats.org/officeDocument/2006/relationships/hyperlink" Target="https://www.sciencedirect.com/topics/medicine-and-dentistry/staphylococcus-aureus" TargetMode="External"/><Relationship Id="rId39" Type="http://schemas.openxmlformats.org/officeDocument/2006/relationships/image" Target="media/image21.jpeg"/><Relationship Id="rId21" Type="http://schemas.openxmlformats.org/officeDocument/2006/relationships/image" Target="media/image8.pn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tiff"/><Relationship Id="rId50" Type="http://schemas.openxmlformats.org/officeDocument/2006/relationships/image" Target="media/image32.tiff"/><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image" Target="media/image11.jpeg"/><Relationship Id="rId11" Type="http://schemas.openxmlformats.org/officeDocument/2006/relationships/image" Target="media/image3.jpeg"/><Relationship Id="rId24" Type="http://schemas.openxmlformats.org/officeDocument/2006/relationships/hyperlink" Target="https://www.sciencedirect.com/topics/medicine-and-dentistry/peritoneal-dialysis-fluid" TargetMode="External"/><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tiff"/><Relationship Id="rId53" Type="http://schemas.openxmlformats.org/officeDocument/2006/relationships/image" Target="media/image35.tiff"/><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3.jpeg"/><Relationship Id="rId44" Type="http://schemas.openxmlformats.org/officeDocument/2006/relationships/image" Target="media/image26.tiff"/><Relationship Id="rId52" Type="http://schemas.openxmlformats.org/officeDocument/2006/relationships/image" Target="media/image34.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diagramLayout" Target="diagrams/layout1.xml"/><Relationship Id="rId22" Type="http://schemas.openxmlformats.org/officeDocument/2006/relationships/image" Target="media/image9.tmp"/><Relationship Id="rId27" Type="http://schemas.openxmlformats.org/officeDocument/2006/relationships/hyperlink" Target="https://www.sciencedirect.com/topics/medicine-and-dentistry/surgical-anastomosis" TargetMode="External"/><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tiff"/><Relationship Id="rId48" Type="http://schemas.openxmlformats.org/officeDocument/2006/relationships/image" Target="media/image30.tiff"/><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3.tiff"/><Relationship Id="rId3" Type="http://schemas.openxmlformats.org/officeDocument/2006/relationships/styles" Target="styles.xml"/><Relationship Id="rId12" Type="http://schemas.openxmlformats.org/officeDocument/2006/relationships/image" Target="media/image4.jpeg"/><Relationship Id="rId17" Type="http://schemas.microsoft.com/office/2007/relationships/diagramDrawing" Target="diagrams/drawing1.xml"/><Relationship Id="rId25" Type="http://schemas.openxmlformats.org/officeDocument/2006/relationships/hyperlink" Target="https://www.sciencedirect.com/topics/medicine-and-dentistry/pseudomonas-aeruginosa" TargetMode="Externa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tiff"/><Relationship Id="rId20" Type="http://schemas.openxmlformats.org/officeDocument/2006/relationships/image" Target="media/image7.tmp"/><Relationship Id="rId41" Type="http://schemas.openxmlformats.org/officeDocument/2006/relationships/image" Target="media/image23.jpeg"/><Relationship Id="rId54" Type="http://schemas.openxmlformats.org/officeDocument/2006/relationships/image" Target="media/image36.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10.png"/><Relationship Id="rId28" Type="http://schemas.openxmlformats.org/officeDocument/2006/relationships/hyperlink" Target="https://www.sciencedirect.com/topics/medicine-and-dentistry/reperfusion-injury" TargetMode="External"/><Relationship Id="rId36" Type="http://schemas.openxmlformats.org/officeDocument/2006/relationships/image" Target="media/image18.jpeg"/><Relationship Id="rId49" Type="http://schemas.openxmlformats.org/officeDocument/2006/relationships/image" Target="media/image31.tif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BDA754-8A6C-4A88-9093-33CF8B26518E}" type="doc">
      <dgm:prSet loTypeId="urn:microsoft.com/office/officeart/2005/8/layout/cycle7" loCatId="cycle" qsTypeId="urn:microsoft.com/office/officeart/2005/8/quickstyle/simple1" qsCatId="simple" csTypeId="urn:microsoft.com/office/officeart/2005/8/colors/accent1_2" csCatId="accent1" phldr="1"/>
      <dgm:spPr/>
      <dgm:t>
        <a:bodyPr/>
        <a:lstStyle/>
        <a:p>
          <a:endParaRPr lang="tr-TR"/>
        </a:p>
      </dgm:t>
    </dgm:pt>
    <dgm:pt modelId="{7F1D9DDF-4D8F-475E-A31A-F5A6BC6F74CA}">
      <dgm:prSet phldrT="[Metin]">
        <dgm:style>
          <a:lnRef idx="2">
            <a:schemeClr val="dk1"/>
          </a:lnRef>
          <a:fillRef idx="1">
            <a:schemeClr val="lt1"/>
          </a:fillRef>
          <a:effectRef idx="0">
            <a:schemeClr val="dk1"/>
          </a:effectRef>
          <a:fontRef idx="minor">
            <a:schemeClr val="dk1"/>
          </a:fontRef>
        </dgm:style>
      </dgm:prSet>
      <dgm:spPr/>
      <dgm:t>
        <a:bodyPr/>
        <a:lstStyle/>
        <a:p>
          <a:r>
            <a:rPr lang="tr-TR">
              <a:solidFill>
                <a:sysClr val="windowText" lastClr="000000"/>
              </a:solidFill>
            </a:rPr>
            <a:t>sistemik enflamasyon</a:t>
          </a:r>
        </a:p>
      </dgm:t>
    </dgm:pt>
    <dgm:pt modelId="{3933C79C-90A1-4345-9718-2D4F5DF2835E}" type="parTrans" cxnId="{2A3597F6-79AF-48D5-BC26-A624DD806CBE}">
      <dgm:prSet/>
      <dgm:spPr/>
      <dgm:t>
        <a:bodyPr/>
        <a:lstStyle/>
        <a:p>
          <a:endParaRPr lang="tr-TR"/>
        </a:p>
      </dgm:t>
    </dgm:pt>
    <dgm:pt modelId="{E0BBD6FE-F944-44E5-8E10-FC5E6B2A962D}" type="sibTrans" cxnId="{2A3597F6-79AF-48D5-BC26-A624DD806CBE}">
      <dgm:prSet/>
      <dgm:spPr/>
      <dgm:t>
        <a:bodyPr/>
        <a:lstStyle/>
        <a:p>
          <a:endParaRPr lang="tr-TR"/>
        </a:p>
      </dgm:t>
    </dgm:pt>
    <dgm:pt modelId="{6A0B1179-B08C-4606-B06A-72D3C13FD886}">
      <dgm:prSet phldrT="[Metin]">
        <dgm:style>
          <a:lnRef idx="2">
            <a:schemeClr val="dk1"/>
          </a:lnRef>
          <a:fillRef idx="1">
            <a:schemeClr val="lt1"/>
          </a:fillRef>
          <a:effectRef idx="0">
            <a:schemeClr val="dk1"/>
          </a:effectRef>
          <a:fontRef idx="minor">
            <a:schemeClr val="dk1"/>
          </a:fontRef>
        </dgm:style>
      </dgm:prSet>
      <dgm:spPr/>
      <dgm:t>
        <a:bodyPr/>
        <a:lstStyle/>
        <a:p>
          <a:r>
            <a:rPr lang="tr-TR">
              <a:solidFill>
                <a:sysClr val="windowText" lastClr="000000"/>
              </a:solidFill>
            </a:rPr>
            <a:t>bozulmuş fibrinoliz</a:t>
          </a:r>
        </a:p>
      </dgm:t>
    </dgm:pt>
    <dgm:pt modelId="{BA1872DB-247D-45FD-ABAD-E63734919BFB}" type="parTrans" cxnId="{2224C10F-1986-49D6-A1E3-4CA192374F9F}">
      <dgm:prSet/>
      <dgm:spPr/>
      <dgm:t>
        <a:bodyPr/>
        <a:lstStyle/>
        <a:p>
          <a:endParaRPr lang="tr-TR"/>
        </a:p>
      </dgm:t>
    </dgm:pt>
    <dgm:pt modelId="{4CACEA01-448B-4983-B675-BFA9067632CE}" type="sibTrans" cxnId="{2224C10F-1986-49D6-A1E3-4CA192374F9F}">
      <dgm:prSet/>
      <dgm:spPr/>
      <dgm:t>
        <a:bodyPr/>
        <a:lstStyle/>
        <a:p>
          <a:endParaRPr lang="tr-TR"/>
        </a:p>
      </dgm:t>
    </dgm:pt>
    <dgm:pt modelId="{B14993A7-55F6-4726-9428-4E63A3152AA8}">
      <dgm:prSet phldrT="[Metin]">
        <dgm:style>
          <a:lnRef idx="2">
            <a:schemeClr val="dk1"/>
          </a:lnRef>
          <a:fillRef idx="1">
            <a:schemeClr val="lt1"/>
          </a:fillRef>
          <a:effectRef idx="0">
            <a:schemeClr val="dk1"/>
          </a:effectRef>
          <a:fontRef idx="minor">
            <a:schemeClr val="dk1"/>
          </a:fontRef>
        </dgm:style>
      </dgm:prSet>
      <dgm:spPr/>
      <dgm:t>
        <a:bodyPr/>
        <a:lstStyle/>
        <a:p>
          <a:r>
            <a:rPr lang="tr-TR">
              <a:solidFill>
                <a:sysClr val="windowText" lastClr="000000"/>
              </a:solidFill>
            </a:rPr>
            <a:t>koagülasyon</a:t>
          </a:r>
          <a:r>
            <a:rPr lang="tr-TR"/>
            <a:t> </a:t>
          </a:r>
        </a:p>
      </dgm:t>
    </dgm:pt>
    <dgm:pt modelId="{8CC4933A-6D69-4FFF-8F5D-D52C4279CB7C}" type="parTrans" cxnId="{936C03D7-A6C5-417C-B552-B43B71B0563E}">
      <dgm:prSet/>
      <dgm:spPr/>
      <dgm:t>
        <a:bodyPr/>
        <a:lstStyle/>
        <a:p>
          <a:endParaRPr lang="tr-TR"/>
        </a:p>
      </dgm:t>
    </dgm:pt>
    <dgm:pt modelId="{2C18490F-10F7-4EDD-921B-9C88BBD8F74F}" type="sibTrans" cxnId="{936C03D7-A6C5-417C-B552-B43B71B0563E}">
      <dgm:prSet/>
      <dgm:spPr/>
      <dgm:t>
        <a:bodyPr/>
        <a:lstStyle/>
        <a:p>
          <a:endParaRPr lang="tr-TR"/>
        </a:p>
      </dgm:t>
    </dgm:pt>
    <dgm:pt modelId="{C2CEED20-1215-4F3D-9767-3B5263030AD2}" type="pres">
      <dgm:prSet presAssocID="{6CBDA754-8A6C-4A88-9093-33CF8B26518E}" presName="Name0" presStyleCnt="0">
        <dgm:presLayoutVars>
          <dgm:dir/>
          <dgm:resizeHandles val="exact"/>
        </dgm:presLayoutVars>
      </dgm:prSet>
      <dgm:spPr/>
      <dgm:t>
        <a:bodyPr/>
        <a:lstStyle/>
        <a:p>
          <a:endParaRPr lang="tr-TR"/>
        </a:p>
      </dgm:t>
    </dgm:pt>
    <dgm:pt modelId="{4D101E57-7552-488B-8809-E523F633F327}" type="pres">
      <dgm:prSet presAssocID="{7F1D9DDF-4D8F-475E-A31A-F5A6BC6F74CA}" presName="node" presStyleLbl="node1" presStyleIdx="0" presStyleCnt="3">
        <dgm:presLayoutVars>
          <dgm:bulletEnabled val="1"/>
        </dgm:presLayoutVars>
      </dgm:prSet>
      <dgm:spPr/>
      <dgm:t>
        <a:bodyPr/>
        <a:lstStyle/>
        <a:p>
          <a:endParaRPr lang="tr-TR"/>
        </a:p>
      </dgm:t>
    </dgm:pt>
    <dgm:pt modelId="{C3CDC53E-47B6-4176-A8CE-77F23769AC62}" type="pres">
      <dgm:prSet presAssocID="{E0BBD6FE-F944-44E5-8E10-FC5E6B2A962D}" presName="sibTrans" presStyleLbl="sibTrans2D1" presStyleIdx="0" presStyleCnt="3"/>
      <dgm:spPr/>
      <dgm:t>
        <a:bodyPr/>
        <a:lstStyle/>
        <a:p>
          <a:endParaRPr lang="tr-TR"/>
        </a:p>
      </dgm:t>
    </dgm:pt>
    <dgm:pt modelId="{B1BDB5A8-0AB2-4B76-876C-A23203624321}" type="pres">
      <dgm:prSet presAssocID="{E0BBD6FE-F944-44E5-8E10-FC5E6B2A962D}" presName="connectorText" presStyleLbl="sibTrans2D1" presStyleIdx="0" presStyleCnt="3"/>
      <dgm:spPr/>
      <dgm:t>
        <a:bodyPr/>
        <a:lstStyle/>
        <a:p>
          <a:endParaRPr lang="tr-TR"/>
        </a:p>
      </dgm:t>
    </dgm:pt>
    <dgm:pt modelId="{7157D671-EC1F-4AC3-B98D-839585AC6973}" type="pres">
      <dgm:prSet presAssocID="{6A0B1179-B08C-4606-B06A-72D3C13FD886}" presName="node" presStyleLbl="node1" presStyleIdx="1" presStyleCnt="3">
        <dgm:presLayoutVars>
          <dgm:bulletEnabled val="1"/>
        </dgm:presLayoutVars>
      </dgm:prSet>
      <dgm:spPr/>
      <dgm:t>
        <a:bodyPr/>
        <a:lstStyle/>
        <a:p>
          <a:endParaRPr lang="tr-TR"/>
        </a:p>
      </dgm:t>
    </dgm:pt>
    <dgm:pt modelId="{40962F6F-F7E4-4406-A61D-2411ECE262FE}" type="pres">
      <dgm:prSet presAssocID="{4CACEA01-448B-4983-B675-BFA9067632CE}" presName="sibTrans" presStyleLbl="sibTrans2D1" presStyleIdx="1" presStyleCnt="3"/>
      <dgm:spPr/>
      <dgm:t>
        <a:bodyPr/>
        <a:lstStyle/>
        <a:p>
          <a:endParaRPr lang="tr-TR"/>
        </a:p>
      </dgm:t>
    </dgm:pt>
    <dgm:pt modelId="{6449C926-35BA-4C7E-8996-D0FDF40E5A04}" type="pres">
      <dgm:prSet presAssocID="{4CACEA01-448B-4983-B675-BFA9067632CE}" presName="connectorText" presStyleLbl="sibTrans2D1" presStyleIdx="1" presStyleCnt="3"/>
      <dgm:spPr/>
      <dgm:t>
        <a:bodyPr/>
        <a:lstStyle/>
        <a:p>
          <a:endParaRPr lang="tr-TR"/>
        </a:p>
      </dgm:t>
    </dgm:pt>
    <dgm:pt modelId="{40521B5C-A0C7-4EDA-A5E9-6FE1E68C5540}" type="pres">
      <dgm:prSet presAssocID="{B14993A7-55F6-4726-9428-4E63A3152AA8}" presName="node" presStyleLbl="node1" presStyleIdx="2" presStyleCnt="3">
        <dgm:presLayoutVars>
          <dgm:bulletEnabled val="1"/>
        </dgm:presLayoutVars>
      </dgm:prSet>
      <dgm:spPr/>
      <dgm:t>
        <a:bodyPr/>
        <a:lstStyle/>
        <a:p>
          <a:endParaRPr lang="tr-TR"/>
        </a:p>
      </dgm:t>
    </dgm:pt>
    <dgm:pt modelId="{0732BA62-E306-4CF2-BD72-3A27E7AA8ADB}" type="pres">
      <dgm:prSet presAssocID="{2C18490F-10F7-4EDD-921B-9C88BBD8F74F}" presName="sibTrans" presStyleLbl="sibTrans2D1" presStyleIdx="2" presStyleCnt="3"/>
      <dgm:spPr/>
      <dgm:t>
        <a:bodyPr/>
        <a:lstStyle/>
        <a:p>
          <a:endParaRPr lang="tr-TR"/>
        </a:p>
      </dgm:t>
    </dgm:pt>
    <dgm:pt modelId="{4C999CBD-EFAE-4F3A-A8C6-A0754443A541}" type="pres">
      <dgm:prSet presAssocID="{2C18490F-10F7-4EDD-921B-9C88BBD8F74F}" presName="connectorText" presStyleLbl="sibTrans2D1" presStyleIdx="2" presStyleCnt="3"/>
      <dgm:spPr/>
      <dgm:t>
        <a:bodyPr/>
        <a:lstStyle/>
        <a:p>
          <a:endParaRPr lang="tr-TR"/>
        </a:p>
      </dgm:t>
    </dgm:pt>
  </dgm:ptLst>
  <dgm:cxnLst>
    <dgm:cxn modelId="{D763E034-47E6-470F-94D0-AFF45896B964}" type="presOf" srcId="{B14993A7-55F6-4726-9428-4E63A3152AA8}" destId="{40521B5C-A0C7-4EDA-A5E9-6FE1E68C5540}" srcOrd="0" destOrd="0" presId="urn:microsoft.com/office/officeart/2005/8/layout/cycle7"/>
    <dgm:cxn modelId="{EEFAF299-418D-4E7A-9E48-ABB5B4C6A253}" type="presOf" srcId="{E0BBD6FE-F944-44E5-8E10-FC5E6B2A962D}" destId="{C3CDC53E-47B6-4176-A8CE-77F23769AC62}" srcOrd="0" destOrd="0" presId="urn:microsoft.com/office/officeart/2005/8/layout/cycle7"/>
    <dgm:cxn modelId="{F4D3CA94-5D1E-49CF-A830-4AB253F40E0D}" type="presOf" srcId="{2C18490F-10F7-4EDD-921B-9C88BBD8F74F}" destId="{4C999CBD-EFAE-4F3A-A8C6-A0754443A541}" srcOrd="1" destOrd="0" presId="urn:microsoft.com/office/officeart/2005/8/layout/cycle7"/>
    <dgm:cxn modelId="{CC1E85C8-2643-42B4-A922-0D33413A0AAF}" type="presOf" srcId="{6CBDA754-8A6C-4A88-9093-33CF8B26518E}" destId="{C2CEED20-1215-4F3D-9767-3B5263030AD2}" srcOrd="0" destOrd="0" presId="urn:microsoft.com/office/officeart/2005/8/layout/cycle7"/>
    <dgm:cxn modelId="{2224C10F-1986-49D6-A1E3-4CA192374F9F}" srcId="{6CBDA754-8A6C-4A88-9093-33CF8B26518E}" destId="{6A0B1179-B08C-4606-B06A-72D3C13FD886}" srcOrd="1" destOrd="0" parTransId="{BA1872DB-247D-45FD-ABAD-E63734919BFB}" sibTransId="{4CACEA01-448B-4983-B675-BFA9067632CE}"/>
    <dgm:cxn modelId="{AF3FCA1A-B779-4A8A-9776-01DCA2DC004A}" type="presOf" srcId="{7F1D9DDF-4D8F-475E-A31A-F5A6BC6F74CA}" destId="{4D101E57-7552-488B-8809-E523F633F327}" srcOrd="0" destOrd="0" presId="urn:microsoft.com/office/officeart/2005/8/layout/cycle7"/>
    <dgm:cxn modelId="{936C03D7-A6C5-417C-B552-B43B71B0563E}" srcId="{6CBDA754-8A6C-4A88-9093-33CF8B26518E}" destId="{B14993A7-55F6-4726-9428-4E63A3152AA8}" srcOrd="2" destOrd="0" parTransId="{8CC4933A-6D69-4FFF-8F5D-D52C4279CB7C}" sibTransId="{2C18490F-10F7-4EDD-921B-9C88BBD8F74F}"/>
    <dgm:cxn modelId="{AACEA7A6-98F5-4C73-97C5-6C0BC92DF354}" type="presOf" srcId="{2C18490F-10F7-4EDD-921B-9C88BBD8F74F}" destId="{0732BA62-E306-4CF2-BD72-3A27E7AA8ADB}" srcOrd="0" destOrd="0" presId="urn:microsoft.com/office/officeart/2005/8/layout/cycle7"/>
    <dgm:cxn modelId="{F1314760-6219-45EA-8E5D-AD0C36162F9A}" type="presOf" srcId="{4CACEA01-448B-4983-B675-BFA9067632CE}" destId="{40962F6F-F7E4-4406-A61D-2411ECE262FE}" srcOrd="0" destOrd="0" presId="urn:microsoft.com/office/officeart/2005/8/layout/cycle7"/>
    <dgm:cxn modelId="{1DBEA406-8880-47AD-B172-FA42527A9AAC}" type="presOf" srcId="{4CACEA01-448B-4983-B675-BFA9067632CE}" destId="{6449C926-35BA-4C7E-8996-D0FDF40E5A04}" srcOrd="1" destOrd="0" presId="urn:microsoft.com/office/officeart/2005/8/layout/cycle7"/>
    <dgm:cxn modelId="{2A3597F6-79AF-48D5-BC26-A624DD806CBE}" srcId="{6CBDA754-8A6C-4A88-9093-33CF8B26518E}" destId="{7F1D9DDF-4D8F-475E-A31A-F5A6BC6F74CA}" srcOrd="0" destOrd="0" parTransId="{3933C79C-90A1-4345-9718-2D4F5DF2835E}" sibTransId="{E0BBD6FE-F944-44E5-8E10-FC5E6B2A962D}"/>
    <dgm:cxn modelId="{27F3E993-336E-48C9-8B0D-F9795B270488}" type="presOf" srcId="{E0BBD6FE-F944-44E5-8E10-FC5E6B2A962D}" destId="{B1BDB5A8-0AB2-4B76-876C-A23203624321}" srcOrd="1" destOrd="0" presId="urn:microsoft.com/office/officeart/2005/8/layout/cycle7"/>
    <dgm:cxn modelId="{9FCCAA3E-BD6E-4AAC-B9E4-398BB9C177CA}" type="presOf" srcId="{6A0B1179-B08C-4606-B06A-72D3C13FD886}" destId="{7157D671-EC1F-4AC3-B98D-839585AC6973}" srcOrd="0" destOrd="0" presId="urn:microsoft.com/office/officeart/2005/8/layout/cycle7"/>
    <dgm:cxn modelId="{8C22AEBC-0E7D-4066-BDD8-73040A7E4A70}" type="presParOf" srcId="{C2CEED20-1215-4F3D-9767-3B5263030AD2}" destId="{4D101E57-7552-488B-8809-E523F633F327}" srcOrd="0" destOrd="0" presId="urn:microsoft.com/office/officeart/2005/8/layout/cycle7"/>
    <dgm:cxn modelId="{FEA7B50C-40A3-4A4D-98AB-B72BDD2DCF13}" type="presParOf" srcId="{C2CEED20-1215-4F3D-9767-3B5263030AD2}" destId="{C3CDC53E-47B6-4176-A8CE-77F23769AC62}" srcOrd="1" destOrd="0" presId="urn:microsoft.com/office/officeart/2005/8/layout/cycle7"/>
    <dgm:cxn modelId="{4D6218A2-FEC9-4B40-AB41-5CC854E4CF02}" type="presParOf" srcId="{C3CDC53E-47B6-4176-A8CE-77F23769AC62}" destId="{B1BDB5A8-0AB2-4B76-876C-A23203624321}" srcOrd="0" destOrd="0" presId="urn:microsoft.com/office/officeart/2005/8/layout/cycle7"/>
    <dgm:cxn modelId="{CE87D29E-BC4F-40EF-89B8-94D1BD4B2B7F}" type="presParOf" srcId="{C2CEED20-1215-4F3D-9767-3B5263030AD2}" destId="{7157D671-EC1F-4AC3-B98D-839585AC6973}" srcOrd="2" destOrd="0" presId="urn:microsoft.com/office/officeart/2005/8/layout/cycle7"/>
    <dgm:cxn modelId="{3093021E-DEE5-432A-94C8-D9096ED73C15}" type="presParOf" srcId="{C2CEED20-1215-4F3D-9767-3B5263030AD2}" destId="{40962F6F-F7E4-4406-A61D-2411ECE262FE}" srcOrd="3" destOrd="0" presId="urn:microsoft.com/office/officeart/2005/8/layout/cycle7"/>
    <dgm:cxn modelId="{BF343FC7-3A0B-40CE-BC7D-2F232E3B6366}" type="presParOf" srcId="{40962F6F-F7E4-4406-A61D-2411ECE262FE}" destId="{6449C926-35BA-4C7E-8996-D0FDF40E5A04}" srcOrd="0" destOrd="0" presId="urn:microsoft.com/office/officeart/2005/8/layout/cycle7"/>
    <dgm:cxn modelId="{6E39CC91-763E-4945-88BC-1B1748CFB683}" type="presParOf" srcId="{C2CEED20-1215-4F3D-9767-3B5263030AD2}" destId="{40521B5C-A0C7-4EDA-A5E9-6FE1E68C5540}" srcOrd="4" destOrd="0" presId="urn:microsoft.com/office/officeart/2005/8/layout/cycle7"/>
    <dgm:cxn modelId="{2B75CAE7-6590-492F-8193-4E3238E1E37F}" type="presParOf" srcId="{C2CEED20-1215-4F3D-9767-3B5263030AD2}" destId="{0732BA62-E306-4CF2-BD72-3A27E7AA8ADB}" srcOrd="5" destOrd="0" presId="urn:microsoft.com/office/officeart/2005/8/layout/cycle7"/>
    <dgm:cxn modelId="{709D23D1-37C0-4350-8870-1AC896B7EBDA}" type="presParOf" srcId="{0732BA62-E306-4CF2-BD72-3A27E7AA8ADB}" destId="{4C999CBD-EFAE-4F3A-A8C6-A0754443A541}" srcOrd="0" destOrd="0" presId="urn:microsoft.com/office/officeart/2005/8/layout/cycle7"/>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101E57-7552-488B-8809-E523F633F327}">
      <dsp:nvSpPr>
        <dsp:cNvPr id="0" name=""/>
        <dsp:cNvSpPr/>
      </dsp:nvSpPr>
      <dsp:spPr>
        <a:xfrm>
          <a:off x="1264471" y="470"/>
          <a:ext cx="700031" cy="350015"/>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solidFill>
                <a:sysClr val="windowText" lastClr="000000"/>
              </a:solidFill>
            </a:rPr>
            <a:t>sistemik enflamasyon</a:t>
          </a:r>
        </a:p>
      </dsp:txBody>
      <dsp:txXfrm>
        <a:off x="1274723" y="10722"/>
        <a:ext cx="679527" cy="329511"/>
      </dsp:txXfrm>
    </dsp:sp>
    <dsp:sp modelId="{C3CDC53E-47B6-4176-A8CE-77F23769AC62}">
      <dsp:nvSpPr>
        <dsp:cNvPr id="0" name=""/>
        <dsp:cNvSpPr/>
      </dsp:nvSpPr>
      <dsp:spPr>
        <a:xfrm rot="3600000">
          <a:off x="1721018" y="615022"/>
          <a:ext cx="365207" cy="122505"/>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757770" y="639523"/>
        <a:ext cx="291704" cy="73503"/>
      </dsp:txXfrm>
    </dsp:sp>
    <dsp:sp modelId="{7157D671-EC1F-4AC3-B98D-839585AC6973}">
      <dsp:nvSpPr>
        <dsp:cNvPr id="0" name=""/>
        <dsp:cNvSpPr/>
      </dsp:nvSpPr>
      <dsp:spPr>
        <a:xfrm>
          <a:off x="1842742" y="1002064"/>
          <a:ext cx="700031" cy="350015"/>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solidFill>
                <a:sysClr val="windowText" lastClr="000000"/>
              </a:solidFill>
            </a:rPr>
            <a:t>bozulmuş fibrinoliz</a:t>
          </a:r>
        </a:p>
      </dsp:txBody>
      <dsp:txXfrm>
        <a:off x="1852994" y="1012316"/>
        <a:ext cx="679527" cy="329511"/>
      </dsp:txXfrm>
    </dsp:sp>
    <dsp:sp modelId="{40962F6F-F7E4-4406-A61D-2411ECE262FE}">
      <dsp:nvSpPr>
        <dsp:cNvPr id="0" name=""/>
        <dsp:cNvSpPr/>
      </dsp:nvSpPr>
      <dsp:spPr>
        <a:xfrm rot="10800000">
          <a:off x="1431883" y="1115819"/>
          <a:ext cx="365207" cy="122505"/>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rot="10800000">
        <a:off x="1468634" y="1140320"/>
        <a:ext cx="291704" cy="73503"/>
      </dsp:txXfrm>
    </dsp:sp>
    <dsp:sp modelId="{40521B5C-A0C7-4EDA-A5E9-6FE1E68C5540}">
      <dsp:nvSpPr>
        <dsp:cNvPr id="0" name=""/>
        <dsp:cNvSpPr/>
      </dsp:nvSpPr>
      <dsp:spPr>
        <a:xfrm>
          <a:off x="686201" y="1002064"/>
          <a:ext cx="700031" cy="350015"/>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solidFill>
                <a:sysClr val="windowText" lastClr="000000"/>
              </a:solidFill>
            </a:rPr>
            <a:t>koagülasyon</a:t>
          </a:r>
          <a:r>
            <a:rPr lang="tr-TR" sz="900" kern="1200"/>
            <a:t> </a:t>
          </a:r>
        </a:p>
      </dsp:txBody>
      <dsp:txXfrm>
        <a:off x="696453" y="1012316"/>
        <a:ext cx="679527" cy="329511"/>
      </dsp:txXfrm>
    </dsp:sp>
    <dsp:sp modelId="{0732BA62-E306-4CF2-BD72-3A27E7AA8ADB}">
      <dsp:nvSpPr>
        <dsp:cNvPr id="0" name=""/>
        <dsp:cNvSpPr/>
      </dsp:nvSpPr>
      <dsp:spPr>
        <a:xfrm rot="18000000">
          <a:off x="1142748" y="615022"/>
          <a:ext cx="365207" cy="122505"/>
        </a:xfrm>
        <a:prstGeom prst="lef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79500" y="639523"/>
        <a:ext cx="291704" cy="73503"/>
      </dsp:txXfrm>
    </dsp:sp>
  </dsp:spTree>
</dsp:drawing>
</file>

<file path=word/diagrams/layout1.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Sayısal Başvuru" Version="1987"/>
</file>

<file path=customXml/itemProps1.xml><?xml version="1.0" encoding="utf-8"?>
<ds:datastoreItem xmlns:ds="http://schemas.openxmlformats.org/officeDocument/2006/customXml" ds:itemID="{48615E1E-A42D-45BE-BB07-1C2AADBF0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1</Pages>
  <Words>90217</Words>
  <Characters>514242</Characters>
  <Application>Microsoft Office Word</Application>
  <DocSecurity>0</DocSecurity>
  <Lines>4285</Lines>
  <Paragraphs>1206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SilentAll Team</Company>
  <LinksUpToDate>false</LinksUpToDate>
  <CharactersWithSpaces>603253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totm</dc:creator>
  <cp:keywords/>
  <dc:description/>
  <cp:lastModifiedBy>TOPRAK</cp:lastModifiedBy>
  <cp:revision>25</cp:revision>
  <cp:lastPrinted>2020-08-31T23:19:00Z</cp:lastPrinted>
  <dcterms:created xsi:type="dcterms:W3CDTF">2020-11-10T11:15:00Z</dcterms:created>
  <dcterms:modified xsi:type="dcterms:W3CDTF">2020-11-16T22:18:00Z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http://www.zotero.org/styles/elsevier-with-titles</vt:lpwstr>
  </property>
  <property fmtid="{D5CDD505-2E9C-101B-9397-08002B2CF9AE}" pid="9" name="Mendeley Recent Style Name 3_1">
    <vt:lpwstr>Elsevier (numeric, with titles)</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http://www.zotero.org/styles/inter-research-science-center</vt:lpwstr>
  </property>
  <property fmtid="{D5CDD505-2E9C-101B-9397-08002B2CF9AE}" pid="13" name="Mendeley Recent Style Name 5_1">
    <vt:lpwstr>Inter-Research Science Center</vt:lpwstr>
  </property>
  <property fmtid="{D5CDD505-2E9C-101B-9397-08002B2CF9AE}" pid="14" name="Mendeley Recent Style Id 6_1">
    <vt:lpwstr>http://www.zotero.org/styles/national-library-of-medicine</vt:lpwstr>
  </property>
  <property fmtid="{D5CDD505-2E9C-101B-9397-08002B2CF9AE}" pid="15" name="Mendeley Recent Style Name 6_1">
    <vt:lpwstr>National Library of Medicine</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http://csl.mendeley.com/styles/533011321/sage-vancouver-fatma1</vt:lpwstr>
  </property>
  <property fmtid="{D5CDD505-2E9C-101B-9397-08002B2CF9AE}" pid="19" name="Mendeley Recent Style Name 8_1">
    <vt:lpwstr>SAGE - Vancouver (brackets) - Fatma Şahin</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d5721e4f-fc78-39b4-94e9-b96ea9e89195</vt:lpwstr>
  </property>
  <property fmtid="{D5CDD505-2E9C-101B-9397-08002B2CF9AE}" pid="24" name="Mendeley Citation Style_1">
    <vt:lpwstr>http://www.zotero.org/styles/vancouver</vt:lpwstr>
  </property>
</Properties>
</file>